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B34265" w14:textId="77777777" w:rsidR="00552E26" w:rsidRPr="002A28E1" w:rsidRDefault="00552E26" w:rsidP="00552E26">
      <w:pPr>
        <w:rPr>
          <w:sz w:val="48"/>
          <w:szCs w:val="48"/>
        </w:rPr>
      </w:pPr>
    </w:p>
    <w:p w14:paraId="48C77313" w14:textId="77777777" w:rsidR="00552E26" w:rsidRPr="002A28E1" w:rsidRDefault="00552E26" w:rsidP="00552E26">
      <w:pPr>
        <w:rPr>
          <w:sz w:val="48"/>
          <w:szCs w:val="48"/>
        </w:rPr>
      </w:pPr>
    </w:p>
    <w:p w14:paraId="762AFB4C" w14:textId="77777777" w:rsidR="00552E26" w:rsidRPr="002A28E1" w:rsidRDefault="00552E26" w:rsidP="00552E26">
      <w:pPr>
        <w:rPr>
          <w:sz w:val="48"/>
          <w:szCs w:val="48"/>
        </w:rPr>
      </w:pPr>
    </w:p>
    <w:p w14:paraId="55F6B347" w14:textId="77777777" w:rsidR="00552E26" w:rsidRPr="002A28E1" w:rsidRDefault="00552E26" w:rsidP="00552E26">
      <w:pPr>
        <w:rPr>
          <w:sz w:val="48"/>
          <w:szCs w:val="48"/>
        </w:rPr>
      </w:pPr>
    </w:p>
    <w:p w14:paraId="21117E9D" w14:textId="77777777" w:rsidR="00552E26" w:rsidRPr="002A28E1" w:rsidRDefault="00552E26" w:rsidP="00552E26">
      <w:pPr>
        <w:rPr>
          <w:sz w:val="48"/>
          <w:szCs w:val="48"/>
        </w:rPr>
      </w:pPr>
    </w:p>
    <w:p w14:paraId="5B03A99B" w14:textId="77777777" w:rsidR="00552E26" w:rsidRPr="002A28E1" w:rsidRDefault="00552E26" w:rsidP="00552E26">
      <w:pPr>
        <w:rPr>
          <w:sz w:val="48"/>
          <w:szCs w:val="48"/>
        </w:rPr>
      </w:pPr>
    </w:p>
    <w:p w14:paraId="5176EDF0" w14:textId="77777777" w:rsidR="00552E26" w:rsidRPr="002A28E1" w:rsidRDefault="00552E26" w:rsidP="00552E26">
      <w:pPr>
        <w:rPr>
          <w:sz w:val="48"/>
          <w:szCs w:val="48"/>
        </w:rPr>
      </w:pPr>
    </w:p>
    <w:p w14:paraId="66F9DB1E" w14:textId="77777777" w:rsidR="00552E26" w:rsidRPr="002A28E1" w:rsidRDefault="00552E26" w:rsidP="00552E26">
      <w:pPr>
        <w:rPr>
          <w:sz w:val="48"/>
          <w:szCs w:val="48"/>
        </w:rPr>
      </w:pPr>
    </w:p>
    <w:p w14:paraId="62A4843E" w14:textId="08F1F68D" w:rsidR="00F6328B" w:rsidRPr="008D1833" w:rsidRDefault="00F6328B" w:rsidP="00431429">
      <w:pPr>
        <w:jc w:val="center"/>
        <w:rPr>
          <w:sz w:val="52"/>
          <w:szCs w:val="52"/>
        </w:rPr>
      </w:pPr>
      <w:r w:rsidRPr="008D1833">
        <w:rPr>
          <w:sz w:val="52"/>
          <w:szCs w:val="52"/>
        </w:rPr>
        <w:t>Law Reform on Legal Capacity &amp; Supported Decision</w:t>
      </w:r>
      <w:r w:rsidR="00CC3164">
        <w:rPr>
          <w:sz w:val="52"/>
          <w:szCs w:val="52"/>
        </w:rPr>
        <w:t>-</w:t>
      </w:r>
      <w:r w:rsidRPr="008D1833">
        <w:rPr>
          <w:sz w:val="52"/>
          <w:szCs w:val="52"/>
        </w:rPr>
        <w:t>Making: Initiatives</w:t>
      </w:r>
    </w:p>
    <w:p w14:paraId="7740FD69" w14:textId="2C61596F" w:rsidR="00AD0C07" w:rsidRPr="008D1833" w:rsidRDefault="0091040F" w:rsidP="00AD0C07">
      <w:pPr>
        <w:jc w:val="center"/>
        <w:rPr>
          <w:sz w:val="52"/>
          <w:szCs w:val="52"/>
        </w:rPr>
      </w:pPr>
      <w:proofErr w:type="gramStart"/>
      <w:r w:rsidRPr="008D1833">
        <w:rPr>
          <w:sz w:val="52"/>
          <w:szCs w:val="52"/>
        </w:rPr>
        <w:t>from</w:t>
      </w:r>
      <w:proofErr w:type="gramEnd"/>
      <w:r w:rsidRPr="008D1833">
        <w:rPr>
          <w:sz w:val="52"/>
          <w:szCs w:val="52"/>
        </w:rPr>
        <w:t xml:space="preserve"> Around the World</w:t>
      </w:r>
    </w:p>
    <w:p w14:paraId="3EE6293A" w14:textId="7CA23E67" w:rsidR="00552E26" w:rsidRPr="008D1833" w:rsidRDefault="004A5E9D" w:rsidP="00AD0C07">
      <w:pPr>
        <w:jc w:val="center"/>
        <w:rPr>
          <w:sz w:val="52"/>
          <w:szCs w:val="52"/>
        </w:rPr>
      </w:pPr>
      <w:r w:rsidRPr="008D1833">
        <w:rPr>
          <w:sz w:val="52"/>
          <w:szCs w:val="52"/>
        </w:rPr>
        <w:t xml:space="preserve"> </w:t>
      </w:r>
    </w:p>
    <w:p w14:paraId="1EC8668C" w14:textId="77777777" w:rsidR="00552E26" w:rsidRPr="002A28E1" w:rsidRDefault="00552E26" w:rsidP="00552E26">
      <w:pPr>
        <w:jc w:val="center"/>
        <w:rPr>
          <w:sz w:val="20"/>
          <w:szCs w:val="20"/>
        </w:rPr>
      </w:pPr>
    </w:p>
    <w:p w14:paraId="0912BF7C" w14:textId="18685FB3" w:rsidR="00552E26" w:rsidRPr="002A28E1" w:rsidRDefault="00552E26" w:rsidP="00552E26">
      <w:pPr>
        <w:jc w:val="center"/>
        <w:rPr>
          <w:sz w:val="48"/>
          <w:szCs w:val="48"/>
        </w:rPr>
      </w:pPr>
    </w:p>
    <w:p w14:paraId="772C0980" w14:textId="77777777" w:rsidR="00F629D2" w:rsidRPr="002A28E1" w:rsidRDefault="00F629D2" w:rsidP="00552E26">
      <w:pPr>
        <w:jc w:val="center"/>
        <w:rPr>
          <w:sz w:val="48"/>
          <w:szCs w:val="48"/>
        </w:rPr>
      </w:pPr>
    </w:p>
    <w:p w14:paraId="2F48BB7C" w14:textId="76DF965B" w:rsidR="00552E26" w:rsidRPr="002A28E1" w:rsidRDefault="00552E26" w:rsidP="00552E26">
      <w:pPr>
        <w:jc w:val="center"/>
        <w:rPr>
          <w:sz w:val="40"/>
          <w:szCs w:val="40"/>
        </w:rPr>
      </w:pPr>
      <w:r w:rsidRPr="002A28E1">
        <w:rPr>
          <w:sz w:val="40"/>
          <w:szCs w:val="40"/>
        </w:rPr>
        <w:t>Prepared for the Bulgarian Center for Not-for-Profit Law</w:t>
      </w:r>
    </w:p>
    <w:p w14:paraId="7A981BCA" w14:textId="6F756B88" w:rsidR="00700F37" w:rsidRPr="002A28E1" w:rsidRDefault="00700F37" w:rsidP="00552E26">
      <w:pPr>
        <w:jc w:val="center"/>
        <w:rPr>
          <w:sz w:val="40"/>
          <w:szCs w:val="40"/>
        </w:rPr>
      </w:pPr>
    </w:p>
    <w:p w14:paraId="06AB4050" w14:textId="77777777" w:rsidR="00F629D2" w:rsidRPr="002A28E1" w:rsidRDefault="00F629D2" w:rsidP="00552E26">
      <w:pPr>
        <w:jc w:val="center"/>
        <w:rPr>
          <w:sz w:val="40"/>
          <w:szCs w:val="40"/>
        </w:rPr>
      </w:pPr>
    </w:p>
    <w:p w14:paraId="1073D2FF" w14:textId="1A7BBF58" w:rsidR="00552E26" w:rsidRPr="002A28E1" w:rsidRDefault="00552E26" w:rsidP="00F629D2">
      <w:pPr>
        <w:jc w:val="center"/>
        <w:rPr>
          <w:sz w:val="40"/>
          <w:szCs w:val="40"/>
        </w:rPr>
      </w:pPr>
      <w:r w:rsidRPr="002A28E1">
        <w:rPr>
          <w:sz w:val="40"/>
          <w:szCs w:val="40"/>
        </w:rPr>
        <w:t xml:space="preserve">By: Samantha </w:t>
      </w:r>
      <w:proofErr w:type="spellStart"/>
      <w:r w:rsidRPr="002A28E1">
        <w:rPr>
          <w:sz w:val="40"/>
          <w:szCs w:val="40"/>
        </w:rPr>
        <w:t>Backman</w:t>
      </w:r>
      <w:proofErr w:type="spellEnd"/>
      <w:r w:rsidRPr="002A28E1">
        <w:rPr>
          <w:sz w:val="40"/>
          <w:szCs w:val="40"/>
        </w:rPr>
        <w:t xml:space="preserve">, student, McGill </w:t>
      </w:r>
      <w:r w:rsidR="000611CD" w:rsidRPr="002A28E1">
        <w:rPr>
          <w:sz w:val="40"/>
          <w:szCs w:val="40"/>
        </w:rPr>
        <w:t>University</w:t>
      </w:r>
      <w:r w:rsidR="00E30FFC" w:rsidRPr="002A28E1">
        <w:rPr>
          <w:sz w:val="40"/>
          <w:szCs w:val="40"/>
        </w:rPr>
        <w:t xml:space="preserve"> </w:t>
      </w:r>
      <w:r w:rsidRPr="002A28E1">
        <w:rPr>
          <w:sz w:val="40"/>
          <w:szCs w:val="40"/>
        </w:rPr>
        <w:t>Faculty of Law</w:t>
      </w:r>
    </w:p>
    <w:p w14:paraId="4672341D" w14:textId="77777777" w:rsidR="00552E26" w:rsidRPr="002A28E1" w:rsidRDefault="00552E26" w:rsidP="00552E26">
      <w:pPr>
        <w:jc w:val="center"/>
        <w:rPr>
          <w:i/>
        </w:rPr>
      </w:pPr>
    </w:p>
    <w:p w14:paraId="26460E35" w14:textId="72CEF2EF" w:rsidR="00552E26" w:rsidRPr="002A28E1" w:rsidRDefault="00552E26" w:rsidP="00552E26">
      <w:pPr>
        <w:jc w:val="center"/>
        <w:rPr>
          <w:sz w:val="36"/>
          <w:szCs w:val="36"/>
        </w:rPr>
      </w:pPr>
    </w:p>
    <w:p w14:paraId="3F05E82B" w14:textId="77777777" w:rsidR="00552E26" w:rsidRPr="002A28E1" w:rsidRDefault="00552E26" w:rsidP="00D6711D">
      <w:pPr>
        <w:rPr>
          <w:sz w:val="36"/>
          <w:szCs w:val="36"/>
        </w:rPr>
      </w:pPr>
    </w:p>
    <w:p w14:paraId="60A8855F" w14:textId="79BE7328" w:rsidR="00552E26" w:rsidRPr="002A28E1" w:rsidRDefault="000A031F" w:rsidP="00552E26">
      <w:pPr>
        <w:jc w:val="center"/>
        <w:rPr>
          <w:sz w:val="36"/>
          <w:szCs w:val="36"/>
        </w:rPr>
      </w:pPr>
      <w:r>
        <w:rPr>
          <w:sz w:val="36"/>
          <w:szCs w:val="36"/>
        </w:rPr>
        <w:t>Summer</w:t>
      </w:r>
      <w:r w:rsidR="00F629D2" w:rsidRPr="002A28E1">
        <w:rPr>
          <w:sz w:val="36"/>
          <w:szCs w:val="36"/>
        </w:rPr>
        <w:t xml:space="preserve"> 2019</w:t>
      </w:r>
    </w:p>
    <w:p w14:paraId="3C117FDA" w14:textId="77777777" w:rsidR="00552E26" w:rsidRPr="002A28E1" w:rsidRDefault="00552E26" w:rsidP="00552E26">
      <w:pPr>
        <w:rPr>
          <w:sz w:val="20"/>
          <w:szCs w:val="20"/>
          <w:highlight w:val="yellow"/>
        </w:rPr>
      </w:pPr>
    </w:p>
    <w:p w14:paraId="0662AF15" w14:textId="77777777" w:rsidR="00552E26" w:rsidRPr="002A28E1" w:rsidRDefault="00552E26" w:rsidP="00552E26">
      <w:pPr>
        <w:rPr>
          <w:sz w:val="20"/>
          <w:szCs w:val="20"/>
        </w:rPr>
      </w:pPr>
    </w:p>
    <w:p w14:paraId="4EC2B28B" w14:textId="1E484FA5" w:rsidR="00552E26" w:rsidRPr="002A28E1" w:rsidRDefault="00552E26" w:rsidP="00F8548E"/>
    <w:sdt>
      <w:sdtPr>
        <w:rPr>
          <w:rFonts w:ascii="Times New Roman" w:eastAsiaTheme="minorHAnsi" w:hAnsi="Times New Roman" w:cs="Times New Roman"/>
          <w:b w:val="0"/>
          <w:bCs w:val="0"/>
          <w:color w:val="auto"/>
          <w:sz w:val="24"/>
          <w:szCs w:val="24"/>
          <w:lang w:val="en-CA"/>
        </w:rPr>
        <w:id w:val="966628285"/>
        <w:docPartObj>
          <w:docPartGallery w:val="Table of Contents"/>
          <w:docPartUnique/>
        </w:docPartObj>
      </w:sdtPr>
      <w:sdtEndPr>
        <w:rPr>
          <w:rFonts w:eastAsia="Times New Roman"/>
          <w:noProof/>
        </w:rPr>
      </w:sdtEndPr>
      <w:sdtContent>
        <w:p w14:paraId="53BF8A22" w14:textId="128F4175" w:rsidR="00056A8F" w:rsidRPr="002A28E1" w:rsidRDefault="00056A8F">
          <w:pPr>
            <w:pStyle w:val="TOCHeading"/>
            <w:rPr>
              <w:lang w:val="en-CA"/>
            </w:rPr>
          </w:pPr>
          <w:r w:rsidRPr="002A28E1">
            <w:rPr>
              <w:lang w:val="en-CA"/>
            </w:rPr>
            <w:t>Table of Contents</w:t>
          </w:r>
        </w:p>
        <w:p w14:paraId="3F91F6E4" w14:textId="26A93DDF" w:rsidR="00D45930" w:rsidRDefault="00056A8F">
          <w:pPr>
            <w:pStyle w:val="TOC1"/>
            <w:tabs>
              <w:tab w:val="right" w:leader="dot" w:pos="9350"/>
            </w:tabs>
            <w:rPr>
              <w:rFonts w:eastAsiaTheme="minorEastAsia" w:cstheme="minorBidi"/>
              <w:b w:val="0"/>
              <w:bCs w:val="0"/>
              <w:i w:val="0"/>
              <w:iCs w:val="0"/>
              <w:noProof/>
            </w:rPr>
          </w:pPr>
          <w:r w:rsidRPr="002A28E1">
            <w:rPr>
              <w:b w:val="0"/>
              <w:bCs w:val="0"/>
            </w:rPr>
            <w:fldChar w:fldCharType="begin"/>
          </w:r>
          <w:r w:rsidRPr="002A28E1">
            <w:instrText xml:space="preserve"> TOC \o "1-3" \h \z \u </w:instrText>
          </w:r>
          <w:r w:rsidRPr="002A28E1">
            <w:rPr>
              <w:b w:val="0"/>
              <w:bCs w:val="0"/>
            </w:rPr>
            <w:fldChar w:fldCharType="separate"/>
          </w:r>
          <w:hyperlink w:anchor="_Toc16081749" w:history="1">
            <w:r w:rsidR="00D45930" w:rsidRPr="00416228">
              <w:rPr>
                <w:rStyle w:val="Hyperlink"/>
                <w:noProof/>
              </w:rPr>
              <w:t>Introduction</w:t>
            </w:r>
            <w:r w:rsidR="00D45930">
              <w:rPr>
                <w:noProof/>
                <w:webHidden/>
              </w:rPr>
              <w:tab/>
            </w:r>
            <w:r w:rsidR="00D45930">
              <w:rPr>
                <w:noProof/>
                <w:webHidden/>
              </w:rPr>
              <w:fldChar w:fldCharType="begin"/>
            </w:r>
            <w:r w:rsidR="00D45930">
              <w:rPr>
                <w:noProof/>
                <w:webHidden/>
              </w:rPr>
              <w:instrText xml:space="preserve"> PAGEREF _Toc16081749 \h </w:instrText>
            </w:r>
            <w:r w:rsidR="00D45930">
              <w:rPr>
                <w:noProof/>
                <w:webHidden/>
              </w:rPr>
            </w:r>
            <w:r w:rsidR="00D45930">
              <w:rPr>
                <w:noProof/>
                <w:webHidden/>
              </w:rPr>
              <w:fldChar w:fldCharType="separate"/>
            </w:r>
            <w:r w:rsidR="00D45930">
              <w:rPr>
                <w:noProof/>
                <w:webHidden/>
              </w:rPr>
              <w:t>3</w:t>
            </w:r>
            <w:r w:rsidR="00D45930">
              <w:rPr>
                <w:noProof/>
                <w:webHidden/>
              </w:rPr>
              <w:fldChar w:fldCharType="end"/>
            </w:r>
          </w:hyperlink>
        </w:p>
        <w:p w14:paraId="5DB968CF" w14:textId="0388A2FB" w:rsidR="00D45930" w:rsidRDefault="00A83FD7">
          <w:pPr>
            <w:pStyle w:val="TOC1"/>
            <w:tabs>
              <w:tab w:val="right" w:leader="dot" w:pos="9350"/>
            </w:tabs>
            <w:rPr>
              <w:rFonts w:eastAsiaTheme="minorEastAsia" w:cstheme="minorBidi"/>
              <w:b w:val="0"/>
              <w:bCs w:val="0"/>
              <w:i w:val="0"/>
              <w:iCs w:val="0"/>
              <w:noProof/>
            </w:rPr>
          </w:pPr>
          <w:hyperlink w:anchor="_Toc16081750" w:history="1">
            <w:r w:rsidR="00D45930" w:rsidRPr="00416228">
              <w:rPr>
                <w:rStyle w:val="Hyperlink"/>
                <w:noProof/>
              </w:rPr>
              <w:t>Overview</w:t>
            </w:r>
            <w:r w:rsidR="00D45930">
              <w:rPr>
                <w:noProof/>
                <w:webHidden/>
              </w:rPr>
              <w:tab/>
            </w:r>
            <w:r w:rsidR="00D45930">
              <w:rPr>
                <w:noProof/>
                <w:webHidden/>
              </w:rPr>
              <w:fldChar w:fldCharType="begin"/>
            </w:r>
            <w:r w:rsidR="00D45930">
              <w:rPr>
                <w:noProof/>
                <w:webHidden/>
              </w:rPr>
              <w:instrText xml:space="preserve"> PAGEREF _Toc16081750 \h </w:instrText>
            </w:r>
            <w:r w:rsidR="00D45930">
              <w:rPr>
                <w:noProof/>
                <w:webHidden/>
              </w:rPr>
            </w:r>
            <w:r w:rsidR="00D45930">
              <w:rPr>
                <w:noProof/>
                <w:webHidden/>
              </w:rPr>
              <w:fldChar w:fldCharType="separate"/>
            </w:r>
            <w:r w:rsidR="00D45930">
              <w:rPr>
                <w:noProof/>
                <w:webHidden/>
              </w:rPr>
              <w:t>6</w:t>
            </w:r>
            <w:r w:rsidR="00D45930">
              <w:rPr>
                <w:noProof/>
                <w:webHidden/>
              </w:rPr>
              <w:fldChar w:fldCharType="end"/>
            </w:r>
          </w:hyperlink>
        </w:p>
        <w:p w14:paraId="2CF6C131" w14:textId="73C40644" w:rsidR="00D45930" w:rsidRDefault="00A83FD7">
          <w:pPr>
            <w:pStyle w:val="TOC1"/>
            <w:tabs>
              <w:tab w:val="right" w:leader="dot" w:pos="9350"/>
            </w:tabs>
            <w:rPr>
              <w:rFonts w:eastAsiaTheme="minorEastAsia" w:cstheme="minorBidi"/>
              <w:b w:val="0"/>
              <w:bCs w:val="0"/>
              <w:i w:val="0"/>
              <w:iCs w:val="0"/>
              <w:noProof/>
            </w:rPr>
          </w:pPr>
          <w:hyperlink w:anchor="_Toc16081751" w:history="1">
            <w:r w:rsidR="00D45930" w:rsidRPr="00416228">
              <w:rPr>
                <w:rStyle w:val="Hyperlink"/>
                <w:noProof/>
              </w:rPr>
              <w:t>Peru</w:t>
            </w:r>
            <w:r w:rsidR="00D45930">
              <w:rPr>
                <w:noProof/>
                <w:webHidden/>
              </w:rPr>
              <w:tab/>
            </w:r>
            <w:r w:rsidR="00D45930">
              <w:rPr>
                <w:noProof/>
                <w:webHidden/>
              </w:rPr>
              <w:fldChar w:fldCharType="begin"/>
            </w:r>
            <w:r w:rsidR="00D45930">
              <w:rPr>
                <w:noProof/>
                <w:webHidden/>
              </w:rPr>
              <w:instrText xml:space="preserve"> PAGEREF _Toc16081751 \h </w:instrText>
            </w:r>
            <w:r w:rsidR="00D45930">
              <w:rPr>
                <w:noProof/>
                <w:webHidden/>
              </w:rPr>
            </w:r>
            <w:r w:rsidR="00D45930">
              <w:rPr>
                <w:noProof/>
                <w:webHidden/>
              </w:rPr>
              <w:fldChar w:fldCharType="separate"/>
            </w:r>
            <w:r w:rsidR="00D45930">
              <w:rPr>
                <w:noProof/>
                <w:webHidden/>
              </w:rPr>
              <w:t>9</w:t>
            </w:r>
            <w:r w:rsidR="00D45930">
              <w:rPr>
                <w:noProof/>
                <w:webHidden/>
              </w:rPr>
              <w:fldChar w:fldCharType="end"/>
            </w:r>
          </w:hyperlink>
        </w:p>
        <w:p w14:paraId="115E2F2C" w14:textId="0FBE5A60" w:rsidR="00D45930" w:rsidRDefault="00A83FD7">
          <w:pPr>
            <w:pStyle w:val="TOC1"/>
            <w:tabs>
              <w:tab w:val="right" w:leader="dot" w:pos="9350"/>
            </w:tabs>
            <w:rPr>
              <w:rFonts w:eastAsiaTheme="minorEastAsia" w:cstheme="minorBidi"/>
              <w:b w:val="0"/>
              <w:bCs w:val="0"/>
              <w:i w:val="0"/>
              <w:iCs w:val="0"/>
              <w:noProof/>
            </w:rPr>
          </w:pPr>
          <w:hyperlink w:anchor="_Toc16081752" w:history="1">
            <w:r w:rsidR="00D45930" w:rsidRPr="00416228">
              <w:rPr>
                <w:rStyle w:val="Hyperlink"/>
                <w:noProof/>
              </w:rPr>
              <w:t>Costa Rica</w:t>
            </w:r>
            <w:r w:rsidR="00D45930">
              <w:rPr>
                <w:noProof/>
                <w:webHidden/>
              </w:rPr>
              <w:tab/>
            </w:r>
            <w:r w:rsidR="00D45930">
              <w:rPr>
                <w:noProof/>
                <w:webHidden/>
              </w:rPr>
              <w:fldChar w:fldCharType="begin"/>
            </w:r>
            <w:r w:rsidR="00D45930">
              <w:rPr>
                <w:noProof/>
                <w:webHidden/>
              </w:rPr>
              <w:instrText xml:space="preserve"> PAGEREF _Toc16081752 \h </w:instrText>
            </w:r>
            <w:r w:rsidR="00D45930">
              <w:rPr>
                <w:noProof/>
                <w:webHidden/>
              </w:rPr>
            </w:r>
            <w:r w:rsidR="00D45930">
              <w:rPr>
                <w:noProof/>
                <w:webHidden/>
              </w:rPr>
              <w:fldChar w:fldCharType="separate"/>
            </w:r>
            <w:r w:rsidR="00D45930">
              <w:rPr>
                <w:noProof/>
                <w:webHidden/>
              </w:rPr>
              <w:t>14</w:t>
            </w:r>
            <w:r w:rsidR="00D45930">
              <w:rPr>
                <w:noProof/>
                <w:webHidden/>
              </w:rPr>
              <w:fldChar w:fldCharType="end"/>
            </w:r>
          </w:hyperlink>
        </w:p>
        <w:p w14:paraId="65447191" w14:textId="4AC95FF4" w:rsidR="00D45930" w:rsidRDefault="00A83FD7">
          <w:pPr>
            <w:pStyle w:val="TOC1"/>
            <w:tabs>
              <w:tab w:val="right" w:leader="dot" w:pos="9350"/>
            </w:tabs>
            <w:rPr>
              <w:rFonts w:eastAsiaTheme="minorEastAsia" w:cstheme="minorBidi"/>
              <w:b w:val="0"/>
              <w:bCs w:val="0"/>
              <w:i w:val="0"/>
              <w:iCs w:val="0"/>
              <w:noProof/>
            </w:rPr>
          </w:pPr>
          <w:hyperlink w:anchor="_Toc16081753" w:history="1">
            <w:r w:rsidR="00D45930" w:rsidRPr="00416228">
              <w:rPr>
                <w:rStyle w:val="Hyperlink"/>
                <w:noProof/>
              </w:rPr>
              <w:t>Argentina</w:t>
            </w:r>
            <w:r w:rsidR="00D45930">
              <w:rPr>
                <w:noProof/>
                <w:webHidden/>
              </w:rPr>
              <w:tab/>
            </w:r>
            <w:r w:rsidR="00D45930">
              <w:rPr>
                <w:noProof/>
                <w:webHidden/>
              </w:rPr>
              <w:fldChar w:fldCharType="begin"/>
            </w:r>
            <w:r w:rsidR="00D45930">
              <w:rPr>
                <w:noProof/>
                <w:webHidden/>
              </w:rPr>
              <w:instrText xml:space="preserve"> PAGEREF _Toc16081753 \h </w:instrText>
            </w:r>
            <w:r w:rsidR="00D45930">
              <w:rPr>
                <w:noProof/>
                <w:webHidden/>
              </w:rPr>
            </w:r>
            <w:r w:rsidR="00D45930">
              <w:rPr>
                <w:noProof/>
                <w:webHidden/>
              </w:rPr>
              <w:fldChar w:fldCharType="separate"/>
            </w:r>
            <w:r w:rsidR="00D45930">
              <w:rPr>
                <w:noProof/>
                <w:webHidden/>
              </w:rPr>
              <w:t>19</w:t>
            </w:r>
            <w:r w:rsidR="00D45930">
              <w:rPr>
                <w:noProof/>
                <w:webHidden/>
              </w:rPr>
              <w:fldChar w:fldCharType="end"/>
            </w:r>
          </w:hyperlink>
        </w:p>
        <w:p w14:paraId="0DC5A590" w14:textId="0F34D503" w:rsidR="00D45930" w:rsidRDefault="00A83FD7">
          <w:pPr>
            <w:pStyle w:val="TOC1"/>
            <w:tabs>
              <w:tab w:val="right" w:leader="dot" w:pos="9350"/>
            </w:tabs>
            <w:rPr>
              <w:rFonts w:eastAsiaTheme="minorEastAsia" w:cstheme="minorBidi"/>
              <w:b w:val="0"/>
              <w:bCs w:val="0"/>
              <w:i w:val="0"/>
              <w:iCs w:val="0"/>
              <w:noProof/>
            </w:rPr>
          </w:pPr>
          <w:hyperlink w:anchor="_Toc16081754" w:history="1">
            <w:r w:rsidR="00D45930" w:rsidRPr="00416228">
              <w:rPr>
                <w:rStyle w:val="Hyperlink"/>
                <w:noProof/>
              </w:rPr>
              <w:t>Colombia</w:t>
            </w:r>
            <w:r w:rsidR="00D45930">
              <w:rPr>
                <w:noProof/>
                <w:webHidden/>
              </w:rPr>
              <w:tab/>
            </w:r>
            <w:r w:rsidR="00D45930">
              <w:rPr>
                <w:noProof/>
                <w:webHidden/>
              </w:rPr>
              <w:fldChar w:fldCharType="begin"/>
            </w:r>
            <w:r w:rsidR="00D45930">
              <w:rPr>
                <w:noProof/>
                <w:webHidden/>
              </w:rPr>
              <w:instrText xml:space="preserve"> PAGEREF _Toc16081754 \h </w:instrText>
            </w:r>
            <w:r w:rsidR="00D45930">
              <w:rPr>
                <w:noProof/>
                <w:webHidden/>
              </w:rPr>
            </w:r>
            <w:r w:rsidR="00D45930">
              <w:rPr>
                <w:noProof/>
                <w:webHidden/>
              </w:rPr>
              <w:fldChar w:fldCharType="separate"/>
            </w:r>
            <w:r w:rsidR="00D45930">
              <w:rPr>
                <w:noProof/>
                <w:webHidden/>
              </w:rPr>
              <w:t>22</w:t>
            </w:r>
            <w:r w:rsidR="00D45930">
              <w:rPr>
                <w:noProof/>
                <w:webHidden/>
              </w:rPr>
              <w:fldChar w:fldCharType="end"/>
            </w:r>
          </w:hyperlink>
        </w:p>
        <w:p w14:paraId="726D4FA3" w14:textId="0CB59171" w:rsidR="00D45930" w:rsidRDefault="00A83FD7">
          <w:pPr>
            <w:pStyle w:val="TOC1"/>
            <w:tabs>
              <w:tab w:val="right" w:leader="dot" w:pos="9350"/>
            </w:tabs>
            <w:rPr>
              <w:rFonts w:eastAsiaTheme="minorEastAsia" w:cstheme="minorBidi"/>
              <w:b w:val="0"/>
              <w:bCs w:val="0"/>
              <w:i w:val="0"/>
              <w:iCs w:val="0"/>
              <w:noProof/>
            </w:rPr>
          </w:pPr>
          <w:hyperlink w:anchor="_Toc16081755" w:history="1">
            <w:r w:rsidR="00D45930" w:rsidRPr="00416228">
              <w:rPr>
                <w:rStyle w:val="Hyperlink"/>
                <w:noProof/>
              </w:rPr>
              <w:t>India</w:t>
            </w:r>
            <w:r w:rsidR="00D45930">
              <w:rPr>
                <w:noProof/>
                <w:webHidden/>
              </w:rPr>
              <w:tab/>
            </w:r>
            <w:r w:rsidR="00D45930">
              <w:rPr>
                <w:noProof/>
                <w:webHidden/>
              </w:rPr>
              <w:fldChar w:fldCharType="begin"/>
            </w:r>
            <w:r w:rsidR="00D45930">
              <w:rPr>
                <w:noProof/>
                <w:webHidden/>
              </w:rPr>
              <w:instrText xml:space="preserve"> PAGEREF _Toc16081755 \h </w:instrText>
            </w:r>
            <w:r w:rsidR="00D45930">
              <w:rPr>
                <w:noProof/>
                <w:webHidden/>
              </w:rPr>
            </w:r>
            <w:r w:rsidR="00D45930">
              <w:rPr>
                <w:noProof/>
                <w:webHidden/>
              </w:rPr>
              <w:fldChar w:fldCharType="separate"/>
            </w:r>
            <w:r w:rsidR="00D45930">
              <w:rPr>
                <w:noProof/>
                <w:webHidden/>
              </w:rPr>
              <w:t>27</w:t>
            </w:r>
            <w:r w:rsidR="00D45930">
              <w:rPr>
                <w:noProof/>
                <w:webHidden/>
              </w:rPr>
              <w:fldChar w:fldCharType="end"/>
            </w:r>
          </w:hyperlink>
        </w:p>
        <w:p w14:paraId="6695279C" w14:textId="73488CAA" w:rsidR="00D45930" w:rsidRDefault="00A83FD7">
          <w:pPr>
            <w:pStyle w:val="TOC1"/>
            <w:tabs>
              <w:tab w:val="right" w:leader="dot" w:pos="9350"/>
            </w:tabs>
            <w:rPr>
              <w:rFonts w:eastAsiaTheme="minorEastAsia" w:cstheme="minorBidi"/>
              <w:b w:val="0"/>
              <w:bCs w:val="0"/>
              <w:i w:val="0"/>
              <w:iCs w:val="0"/>
              <w:noProof/>
            </w:rPr>
          </w:pPr>
          <w:hyperlink w:anchor="_Toc16081756" w:history="1">
            <w:r w:rsidR="00D45930" w:rsidRPr="00416228">
              <w:rPr>
                <w:rStyle w:val="Hyperlink"/>
                <w:noProof/>
              </w:rPr>
              <w:t>Israel</w:t>
            </w:r>
            <w:r w:rsidR="00D45930">
              <w:rPr>
                <w:noProof/>
                <w:webHidden/>
              </w:rPr>
              <w:tab/>
            </w:r>
            <w:r w:rsidR="00D45930">
              <w:rPr>
                <w:noProof/>
                <w:webHidden/>
              </w:rPr>
              <w:fldChar w:fldCharType="begin"/>
            </w:r>
            <w:r w:rsidR="00D45930">
              <w:rPr>
                <w:noProof/>
                <w:webHidden/>
              </w:rPr>
              <w:instrText xml:space="preserve"> PAGEREF _Toc16081756 \h </w:instrText>
            </w:r>
            <w:r w:rsidR="00D45930">
              <w:rPr>
                <w:noProof/>
                <w:webHidden/>
              </w:rPr>
            </w:r>
            <w:r w:rsidR="00D45930">
              <w:rPr>
                <w:noProof/>
                <w:webHidden/>
              </w:rPr>
              <w:fldChar w:fldCharType="separate"/>
            </w:r>
            <w:r w:rsidR="00D45930">
              <w:rPr>
                <w:noProof/>
                <w:webHidden/>
              </w:rPr>
              <w:t>32</w:t>
            </w:r>
            <w:r w:rsidR="00D45930">
              <w:rPr>
                <w:noProof/>
                <w:webHidden/>
              </w:rPr>
              <w:fldChar w:fldCharType="end"/>
            </w:r>
          </w:hyperlink>
        </w:p>
        <w:p w14:paraId="031D6E35" w14:textId="4B744FD8" w:rsidR="00D45930" w:rsidRDefault="00A83FD7">
          <w:pPr>
            <w:pStyle w:val="TOC1"/>
            <w:tabs>
              <w:tab w:val="right" w:leader="dot" w:pos="9350"/>
            </w:tabs>
            <w:rPr>
              <w:rFonts w:eastAsiaTheme="minorEastAsia" w:cstheme="minorBidi"/>
              <w:b w:val="0"/>
              <w:bCs w:val="0"/>
              <w:i w:val="0"/>
              <w:iCs w:val="0"/>
              <w:noProof/>
            </w:rPr>
          </w:pPr>
          <w:hyperlink w:anchor="_Toc16081757" w:history="1">
            <w:r w:rsidR="00D45930" w:rsidRPr="00416228">
              <w:rPr>
                <w:rStyle w:val="Hyperlink"/>
                <w:noProof/>
              </w:rPr>
              <w:t>Georgia</w:t>
            </w:r>
            <w:r w:rsidR="00D45930">
              <w:rPr>
                <w:noProof/>
                <w:webHidden/>
              </w:rPr>
              <w:tab/>
            </w:r>
            <w:r w:rsidR="00D45930">
              <w:rPr>
                <w:noProof/>
                <w:webHidden/>
              </w:rPr>
              <w:fldChar w:fldCharType="begin"/>
            </w:r>
            <w:r w:rsidR="00D45930">
              <w:rPr>
                <w:noProof/>
                <w:webHidden/>
              </w:rPr>
              <w:instrText xml:space="preserve"> PAGEREF _Toc16081757 \h </w:instrText>
            </w:r>
            <w:r w:rsidR="00D45930">
              <w:rPr>
                <w:noProof/>
                <w:webHidden/>
              </w:rPr>
            </w:r>
            <w:r w:rsidR="00D45930">
              <w:rPr>
                <w:noProof/>
                <w:webHidden/>
              </w:rPr>
              <w:fldChar w:fldCharType="separate"/>
            </w:r>
            <w:r w:rsidR="00D45930">
              <w:rPr>
                <w:noProof/>
                <w:webHidden/>
              </w:rPr>
              <w:t>37</w:t>
            </w:r>
            <w:r w:rsidR="00D45930">
              <w:rPr>
                <w:noProof/>
                <w:webHidden/>
              </w:rPr>
              <w:fldChar w:fldCharType="end"/>
            </w:r>
          </w:hyperlink>
        </w:p>
        <w:p w14:paraId="1B199543" w14:textId="184C342F" w:rsidR="00D45930" w:rsidRDefault="00A83FD7">
          <w:pPr>
            <w:pStyle w:val="TOC1"/>
            <w:tabs>
              <w:tab w:val="right" w:leader="dot" w:pos="9350"/>
            </w:tabs>
            <w:rPr>
              <w:rFonts w:eastAsiaTheme="minorEastAsia" w:cstheme="minorBidi"/>
              <w:b w:val="0"/>
              <w:bCs w:val="0"/>
              <w:i w:val="0"/>
              <w:iCs w:val="0"/>
              <w:noProof/>
            </w:rPr>
          </w:pPr>
          <w:hyperlink w:anchor="_Toc16081758" w:history="1">
            <w:r w:rsidR="00D45930" w:rsidRPr="00416228">
              <w:rPr>
                <w:rStyle w:val="Hyperlink"/>
                <w:noProof/>
              </w:rPr>
              <w:t>Czech Republic</w:t>
            </w:r>
            <w:r w:rsidR="00D45930">
              <w:rPr>
                <w:noProof/>
                <w:webHidden/>
              </w:rPr>
              <w:tab/>
            </w:r>
            <w:r w:rsidR="00D45930">
              <w:rPr>
                <w:noProof/>
                <w:webHidden/>
              </w:rPr>
              <w:fldChar w:fldCharType="begin"/>
            </w:r>
            <w:r w:rsidR="00D45930">
              <w:rPr>
                <w:noProof/>
                <w:webHidden/>
              </w:rPr>
              <w:instrText xml:space="preserve"> PAGEREF _Toc16081758 \h </w:instrText>
            </w:r>
            <w:r w:rsidR="00D45930">
              <w:rPr>
                <w:noProof/>
                <w:webHidden/>
              </w:rPr>
            </w:r>
            <w:r w:rsidR="00D45930">
              <w:rPr>
                <w:noProof/>
                <w:webHidden/>
              </w:rPr>
              <w:fldChar w:fldCharType="separate"/>
            </w:r>
            <w:r w:rsidR="00D45930">
              <w:rPr>
                <w:noProof/>
                <w:webHidden/>
              </w:rPr>
              <w:t>43</w:t>
            </w:r>
            <w:r w:rsidR="00D45930">
              <w:rPr>
                <w:noProof/>
                <w:webHidden/>
              </w:rPr>
              <w:fldChar w:fldCharType="end"/>
            </w:r>
          </w:hyperlink>
        </w:p>
        <w:p w14:paraId="3F7FF30D" w14:textId="18556A0E" w:rsidR="00D45930" w:rsidRDefault="00A83FD7">
          <w:pPr>
            <w:pStyle w:val="TOC1"/>
            <w:tabs>
              <w:tab w:val="right" w:leader="dot" w:pos="9350"/>
            </w:tabs>
            <w:rPr>
              <w:rFonts w:eastAsiaTheme="minorEastAsia" w:cstheme="minorBidi"/>
              <w:b w:val="0"/>
              <w:bCs w:val="0"/>
              <w:i w:val="0"/>
              <w:iCs w:val="0"/>
              <w:noProof/>
            </w:rPr>
          </w:pPr>
          <w:hyperlink w:anchor="_Toc16081759" w:history="1">
            <w:r w:rsidR="00D45930" w:rsidRPr="00416228">
              <w:rPr>
                <w:rStyle w:val="Hyperlink"/>
                <w:noProof/>
              </w:rPr>
              <w:t>Latvia</w:t>
            </w:r>
            <w:r w:rsidR="00D45930">
              <w:rPr>
                <w:noProof/>
                <w:webHidden/>
              </w:rPr>
              <w:tab/>
            </w:r>
            <w:r w:rsidR="00D45930">
              <w:rPr>
                <w:noProof/>
                <w:webHidden/>
              </w:rPr>
              <w:fldChar w:fldCharType="begin"/>
            </w:r>
            <w:r w:rsidR="00D45930">
              <w:rPr>
                <w:noProof/>
                <w:webHidden/>
              </w:rPr>
              <w:instrText xml:space="preserve"> PAGEREF _Toc16081759 \h </w:instrText>
            </w:r>
            <w:r w:rsidR="00D45930">
              <w:rPr>
                <w:noProof/>
                <w:webHidden/>
              </w:rPr>
            </w:r>
            <w:r w:rsidR="00D45930">
              <w:rPr>
                <w:noProof/>
                <w:webHidden/>
              </w:rPr>
              <w:fldChar w:fldCharType="separate"/>
            </w:r>
            <w:r w:rsidR="00D45930">
              <w:rPr>
                <w:noProof/>
                <w:webHidden/>
              </w:rPr>
              <w:t>47</w:t>
            </w:r>
            <w:r w:rsidR="00D45930">
              <w:rPr>
                <w:noProof/>
                <w:webHidden/>
              </w:rPr>
              <w:fldChar w:fldCharType="end"/>
            </w:r>
          </w:hyperlink>
        </w:p>
        <w:p w14:paraId="2A9BFDAF" w14:textId="6288D568" w:rsidR="00D45930" w:rsidRDefault="00A83FD7">
          <w:pPr>
            <w:pStyle w:val="TOC1"/>
            <w:tabs>
              <w:tab w:val="right" w:leader="dot" w:pos="9350"/>
            </w:tabs>
            <w:rPr>
              <w:rFonts w:eastAsiaTheme="minorEastAsia" w:cstheme="minorBidi"/>
              <w:b w:val="0"/>
              <w:bCs w:val="0"/>
              <w:i w:val="0"/>
              <w:iCs w:val="0"/>
              <w:noProof/>
            </w:rPr>
          </w:pPr>
          <w:hyperlink w:anchor="_Toc16081760" w:history="1">
            <w:r w:rsidR="00D45930" w:rsidRPr="00416228">
              <w:rPr>
                <w:rStyle w:val="Hyperlink"/>
                <w:noProof/>
              </w:rPr>
              <w:t>Croatia</w:t>
            </w:r>
            <w:r w:rsidR="00D45930">
              <w:rPr>
                <w:noProof/>
                <w:webHidden/>
              </w:rPr>
              <w:tab/>
            </w:r>
            <w:r w:rsidR="00D45930">
              <w:rPr>
                <w:noProof/>
                <w:webHidden/>
              </w:rPr>
              <w:fldChar w:fldCharType="begin"/>
            </w:r>
            <w:r w:rsidR="00D45930">
              <w:rPr>
                <w:noProof/>
                <w:webHidden/>
              </w:rPr>
              <w:instrText xml:space="preserve"> PAGEREF _Toc16081760 \h </w:instrText>
            </w:r>
            <w:r w:rsidR="00D45930">
              <w:rPr>
                <w:noProof/>
                <w:webHidden/>
              </w:rPr>
            </w:r>
            <w:r w:rsidR="00D45930">
              <w:rPr>
                <w:noProof/>
                <w:webHidden/>
              </w:rPr>
              <w:fldChar w:fldCharType="separate"/>
            </w:r>
            <w:r w:rsidR="00D45930">
              <w:rPr>
                <w:noProof/>
                <w:webHidden/>
              </w:rPr>
              <w:t>51</w:t>
            </w:r>
            <w:r w:rsidR="00D45930">
              <w:rPr>
                <w:noProof/>
                <w:webHidden/>
              </w:rPr>
              <w:fldChar w:fldCharType="end"/>
            </w:r>
          </w:hyperlink>
        </w:p>
        <w:p w14:paraId="3D5FF2BF" w14:textId="792B7F1F" w:rsidR="00D45930" w:rsidRDefault="00A83FD7">
          <w:pPr>
            <w:pStyle w:val="TOC1"/>
            <w:tabs>
              <w:tab w:val="right" w:leader="dot" w:pos="9350"/>
            </w:tabs>
            <w:rPr>
              <w:rFonts w:eastAsiaTheme="minorEastAsia" w:cstheme="minorBidi"/>
              <w:b w:val="0"/>
              <w:bCs w:val="0"/>
              <w:i w:val="0"/>
              <w:iCs w:val="0"/>
              <w:noProof/>
            </w:rPr>
          </w:pPr>
          <w:hyperlink w:anchor="_Toc16081761" w:history="1">
            <w:r w:rsidR="00D45930" w:rsidRPr="00416228">
              <w:rPr>
                <w:rStyle w:val="Hyperlink"/>
                <w:noProof/>
              </w:rPr>
              <w:t>Lithuania</w:t>
            </w:r>
            <w:r w:rsidR="00D45930">
              <w:rPr>
                <w:noProof/>
                <w:webHidden/>
              </w:rPr>
              <w:tab/>
            </w:r>
            <w:r w:rsidR="00D45930">
              <w:rPr>
                <w:noProof/>
                <w:webHidden/>
              </w:rPr>
              <w:fldChar w:fldCharType="begin"/>
            </w:r>
            <w:r w:rsidR="00D45930">
              <w:rPr>
                <w:noProof/>
                <w:webHidden/>
              </w:rPr>
              <w:instrText xml:space="preserve"> PAGEREF _Toc16081761 \h </w:instrText>
            </w:r>
            <w:r w:rsidR="00D45930">
              <w:rPr>
                <w:noProof/>
                <w:webHidden/>
              </w:rPr>
            </w:r>
            <w:r w:rsidR="00D45930">
              <w:rPr>
                <w:noProof/>
                <w:webHidden/>
              </w:rPr>
              <w:fldChar w:fldCharType="separate"/>
            </w:r>
            <w:r w:rsidR="00D45930">
              <w:rPr>
                <w:noProof/>
                <w:webHidden/>
              </w:rPr>
              <w:t>54</w:t>
            </w:r>
            <w:r w:rsidR="00D45930">
              <w:rPr>
                <w:noProof/>
                <w:webHidden/>
              </w:rPr>
              <w:fldChar w:fldCharType="end"/>
            </w:r>
          </w:hyperlink>
        </w:p>
        <w:p w14:paraId="24F070DD" w14:textId="274B13E0" w:rsidR="00D45930" w:rsidRDefault="00A83FD7">
          <w:pPr>
            <w:pStyle w:val="TOC1"/>
            <w:tabs>
              <w:tab w:val="right" w:leader="dot" w:pos="9350"/>
            </w:tabs>
            <w:rPr>
              <w:rFonts w:eastAsiaTheme="minorEastAsia" w:cstheme="minorBidi"/>
              <w:b w:val="0"/>
              <w:bCs w:val="0"/>
              <w:i w:val="0"/>
              <w:iCs w:val="0"/>
              <w:noProof/>
            </w:rPr>
          </w:pPr>
          <w:hyperlink w:anchor="_Toc16081762" w:history="1">
            <w:r w:rsidR="00D45930" w:rsidRPr="00416228">
              <w:rPr>
                <w:rStyle w:val="Hyperlink"/>
                <w:noProof/>
              </w:rPr>
              <w:t>Hungary</w:t>
            </w:r>
            <w:r w:rsidR="00D45930">
              <w:rPr>
                <w:noProof/>
                <w:webHidden/>
              </w:rPr>
              <w:tab/>
            </w:r>
            <w:r w:rsidR="00D45930">
              <w:rPr>
                <w:noProof/>
                <w:webHidden/>
              </w:rPr>
              <w:fldChar w:fldCharType="begin"/>
            </w:r>
            <w:r w:rsidR="00D45930">
              <w:rPr>
                <w:noProof/>
                <w:webHidden/>
              </w:rPr>
              <w:instrText xml:space="preserve"> PAGEREF _Toc16081762 \h </w:instrText>
            </w:r>
            <w:r w:rsidR="00D45930">
              <w:rPr>
                <w:noProof/>
                <w:webHidden/>
              </w:rPr>
            </w:r>
            <w:r w:rsidR="00D45930">
              <w:rPr>
                <w:noProof/>
                <w:webHidden/>
              </w:rPr>
              <w:fldChar w:fldCharType="separate"/>
            </w:r>
            <w:r w:rsidR="00D45930">
              <w:rPr>
                <w:noProof/>
                <w:webHidden/>
              </w:rPr>
              <w:t>58</w:t>
            </w:r>
            <w:r w:rsidR="00D45930">
              <w:rPr>
                <w:noProof/>
                <w:webHidden/>
              </w:rPr>
              <w:fldChar w:fldCharType="end"/>
            </w:r>
          </w:hyperlink>
        </w:p>
        <w:p w14:paraId="3726A235" w14:textId="7A78930C" w:rsidR="00D45930" w:rsidRDefault="00A83FD7">
          <w:pPr>
            <w:pStyle w:val="TOC1"/>
            <w:tabs>
              <w:tab w:val="right" w:leader="dot" w:pos="9350"/>
            </w:tabs>
            <w:rPr>
              <w:rFonts w:eastAsiaTheme="minorEastAsia" w:cstheme="minorBidi"/>
              <w:b w:val="0"/>
              <w:bCs w:val="0"/>
              <w:i w:val="0"/>
              <w:iCs w:val="0"/>
              <w:noProof/>
            </w:rPr>
          </w:pPr>
          <w:hyperlink w:anchor="_Toc16081763" w:history="1">
            <w:r w:rsidR="00D45930" w:rsidRPr="00416228">
              <w:rPr>
                <w:rStyle w:val="Hyperlink"/>
                <w:noProof/>
              </w:rPr>
              <w:t>Ireland</w:t>
            </w:r>
            <w:r w:rsidR="00D45930">
              <w:rPr>
                <w:noProof/>
                <w:webHidden/>
              </w:rPr>
              <w:tab/>
            </w:r>
            <w:r w:rsidR="00D45930">
              <w:rPr>
                <w:noProof/>
                <w:webHidden/>
              </w:rPr>
              <w:fldChar w:fldCharType="begin"/>
            </w:r>
            <w:r w:rsidR="00D45930">
              <w:rPr>
                <w:noProof/>
                <w:webHidden/>
              </w:rPr>
              <w:instrText xml:space="preserve"> PAGEREF _Toc16081763 \h </w:instrText>
            </w:r>
            <w:r w:rsidR="00D45930">
              <w:rPr>
                <w:noProof/>
                <w:webHidden/>
              </w:rPr>
            </w:r>
            <w:r w:rsidR="00D45930">
              <w:rPr>
                <w:noProof/>
                <w:webHidden/>
              </w:rPr>
              <w:fldChar w:fldCharType="separate"/>
            </w:r>
            <w:r w:rsidR="00D45930">
              <w:rPr>
                <w:noProof/>
                <w:webHidden/>
              </w:rPr>
              <w:t>64</w:t>
            </w:r>
            <w:r w:rsidR="00D45930">
              <w:rPr>
                <w:noProof/>
                <w:webHidden/>
              </w:rPr>
              <w:fldChar w:fldCharType="end"/>
            </w:r>
          </w:hyperlink>
        </w:p>
        <w:p w14:paraId="60298F83" w14:textId="0644868D" w:rsidR="00D45930" w:rsidRDefault="00A83FD7">
          <w:pPr>
            <w:pStyle w:val="TOC1"/>
            <w:tabs>
              <w:tab w:val="right" w:leader="dot" w:pos="9350"/>
            </w:tabs>
            <w:rPr>
              <w:rFonts w:eastAsiaTheme="minorEastAsia" w:cstheme="minorBidi"/>
              <w:b w:val="0"/>
              <w:bCs w:val="0"/>
              <w:i w:val="0"/>
              <w:iCs w:val="0"/>
              <w:noProof/>
            </w:rPr>
          </w:pPr>
          <w:hyperlink w:anchor="_Toc16081764" w:history="1">
            <w:r w:rsidR="00D45930" w:rsidRPr="00416228">
              <w:rPr>
                <w:rStyle w:val="Hyperlink"/>
                <w:noProof/>
              </w:rPr>
              <w:t>Austria</w:t>
            </w:r>
            <w:r w:rsidR="00D45930">
              <w:rPr>
                <w:noProof/>
                <w:webHidden/>
              </w:rPr>
              <w:tab/>
            </w:r>
            <w:r w:rsidR="00D45930">
              <w:rPr>
                <w:noProof/>
                <w:webHidden/>
              </w:rPr>
              <w:fldChar w:fldCharType="begin"/>
            </w:r>
            <w:r w:rsidR="00D45930">
              <w:rPr>
                <w:noProof/>
                <w:webHidden/>
              </w:rPr>
              <w:instrText xml:space="preserve"> PAGEREF _Toc16081764 \h </w:instrText>
            </w:r>
            <w:r w:rsidR="00D45930">
              <w:rPr>
                <w:noProof/>
                <w:webHidden/>
              </w:rPr>
            </w:r>
            <w:r w:rsidR="00D45930">
              <w:rPr>
                <w:noProof/>
                <w:webHidden/>
              </w:rPr>
              <w:fldChar w:fldCharType="separate"/>
            </w:r>
            <w:r w:rsidR="00D45930">
              <w:rPr>
                <w:noProof/>
                <w:webHidden/>
              </w:rPr>
              <w:t>70</w:t>
            </w:r>
            <w:r w:rsidR="00D45930">
              <w:rPr>
                <w:noProof/>
                <w:webHidden/>
              </w:rPr>
              <w:fldChar w:fldCharType="end"/>
            </w:r>
          </w:hyperlink>
        </w:p>
        <w:p w14:paraId="357380A3" w14:textId="168BF02E" w:rsidR="00D45930" w:rsidRDefault="00A83FD7">
          <w:pPr>
            <w:pStyle w:val="TOC1"/>
            <w:tabs>
              <w:tab w:val="right" w:leader="dot" w:pos="9350"/>
            </w:tabs>
            <w:rPr>
              <w:rFonts w:eastAsiaTheme="minorEastAsia" w:cstheme="minorBidi"/>
              <w:b w:val="0"/>
              <w:bCs w:val="0"/>
              <w:i w:val="0"/>
              <w:iCs w:val="0"/>
              <w:noProof/>
            </w:rPr>
          </w:pPr>
          <w:hyperlink w:anchor="_Toc16081765" w:history="1">
            <w:r w:rsidR="00D45930" w:rsidRPr="00416228">
              <w:rPr>
                <w:rStyle w:val="Hyperlink"/>
                <w:noProof/>
              </w:rPr>
              <w:t>Belgium</w:t>
            </w:r>
            <w:r w:rsidR="00D45930">
              <w:rPr>
                <w:noProof/>
                <w:webHidden/>
              </w:rPr>
              <w:tab/>
            </w:r>
            <w:r w:rsidR="00D45930">
              <w:rPr>
                <w:noProof/>
                <w:webHidden/>
              </w:rPr>
              <w:fldChar w:fldCharType="begin"/>
            </w:r>
            <w:r w:rsidR="00D45930">
              <w:rPr>
                <w:noProof/>
                <w:webHidden/>
              </w:rPr>
              <w:instrText xml:space="preserve"> PAGEREF _Toc16081765 \h </w:instrText>
            </w:r>
            <w:r w:rsidR="00D45930">
              <w:rPr>
                <w:noProof/>
                <w:webHidden/>
              </w:rPr>
            </w:r>
            <w:r w:rsidR="00D45930">
              <w:rPr>
                <w:noProof/>
                <w:webHidden/>
              </w:rPr>
              <w:fldChar w:fldCharType="separate"/>
            </w:r>
            <w:r w:rsidR="00D45930">
              <w:rPr>
                <w:noProof/>
                <w:webHidden/>
              </w:rPr>
              <w:t>75</w:t>
            </w:r>
            <w:r w:rsidR="00D45930">
              <w:rPr>
                <w:noProof/>
                <w:webHidden/>
              </w:rPr>
              <w:fldChar w:fldCharType="end"/>
            </w:r>
          </w:hyperlink>
        </w:p>
        <w:p w14:paraId="2B1AC435" w14:textId="04D157F1" w:rsidR="00D45930" w:rsidRDefault="00A83FD7">
          <w:pPr>
            <w:pStyle w:val="TOC1"/>
            <w:tabs>
              <w:tab w:val="right" w:leader="dot" w:pos="9350"/>
            </w:tabs>
            <w:rPr>
              <w:rFonts w:eastAsiaTheme="minorEastAsia" w:cstheme="minorBidi"/>
              <w:b w:val="0"/>
              <w:bCs w:val="0"/>
              <w:i w:val="0"/>
              <w:iCs w:val="0"/>
              <w:noProof/>
            </w:rPr>
          </w:pPr>
          <w:hyperlink w:anchor="_Toc16081766" w:history="1">
            <w:r w:rsidR="00D45930" w:rsidRPr="00416228">
              <w:rPr>
                <w:rStyle w:val="Hyperlink"/>
                <w:noProof/>
              </w:rPr>
              <w:t>Canada: British Columbia</w:t>
            </w:r>
            <w:r w:rsidR="00D45930">
              <w:rPr>
                <w:noProof/>
                <w:webHidden/>
              </w:rPr>
              <w:tab/>
            </w:r>
            <w:r w:rsidR="00D45930">
              <w:rPr>
                <w:noProof/>
                <w:webHidden/>
              </w:rPr>
              <w:fldChar w:fldCharType="begin"/>
            </w:r>
            <w:r w:rsidR="00D45930">
              <w:rPr>
                <w:noProof/>
                <w:webHidden/>
              </w:rPr>
              <w:instrText xml:space="preserve"> PAGEREF _Toc16081766 \h </w:instrText>
            </w:r>
            <w:r w:rsidR="00D45930">
              <w:rPr>
                <w:noProof/>
                <w:webHidden/>
              </w:rPr>
            </w:r>
            <w:r w:rsidR="00D45930">
              <w:rPr>
                <w:noProof/>
                <w:webHidden/>
              </w:rPr>
              <w:fldChar w:fldCharType="separate"/>
            </w:r>
            <w:r w:rsidR="00D45930">
              <w:rPr>
                <w:noProof/>
                <w:webHidden/>
              </w:rPr>
              <w:t>80</w:t>
            </w:r>
            <w:r w:rsidR="00D45930">
              <w:rPr>
                <w:noProof/>
                <w:webHidden/>
              </w:rPr>
              <w:fldChar w:fldCharType="end"/>
            </w:r>
          </w:hyperlink>
        </w:p>
        <w:p w14:paraId="3CE5FAAC" w14:textId="5FBAA8A6" w:rsidR="00D45930" w:rsidRDefault="00A83FD7">
          <w:pPr>
            <w:pStyle w:val="TOC1"/>
            <w:tabs>
              <w:tab w:val="right" w:leader="dot" w:pos="9350"/>
            </w:tabs>
            <w:rPr>
              <w:rFonts w:eastAsiaTheme="minorEastAsia" w:cstheme="minorBidi"/>
              <w:b w:val="0"/>
              <w:bCs w:val="0"/>
              <w:i w:val="0"/>
              <w:iCs w:val="0"/>
              <w:noProof/>
            </w:rPr>
          </w:pPr>
          <w:hyperlink w:anchor="_Toc16081767" w:history="1">
            <w:r w:rsidR="00D45930" w:rsidRPr="00416228">
              <w:rPr>
                <w:rStyle w:val="Hyperlink"/>
                <w:noProof/>
              </w:rPr>
              <w:t>United States of America: Texas</w:t>
            </w:r>
            <w:r w:rsidR="00D45930">
              <w:rPr>
                <w:noProof/>
                <w:webHidden/>
              </w:rPr>
              <w:tab/>
            </w:r>
            <w:r w:rsidR="00D45930">
              <w:rPr>
                <w:noProof/>
                <w:webHidden/>
              </w:rPr>
              <w:fldChar w:fldCharType="begin"/>
            </w:r>
            <w:r w:rsidR="00D45930">
              <w:rPr>
                <w:noProof/>
                <w:webHidden/>
              </w:rPr>
              <w:instrText xml:space="preserve"> PAGEREF _Toc16081767 \h </w:instrText>
            </w:r>
            <w:r w:rsidR="00D45930">
              <w:rPr>
                <w:noProof/>
                <w:webHidden/>
              </w:rPr>
            </w:r>
            <w:r w:rsidR="00D45930">
              <w:rPr>
                <w:noProof/>
                <w:webHidden/>
              </w:rPr>
              <w:fldChar w:fldCharType="separate"/>
            </w:r>
            <w:r w:rsidR="00D45930">
              <w:rPr>
                <w:noProof/>
                <w:webHidden/>
              </w:rPr>
              <w:t>87</w:t>
            </w:r>
            <w:r w:rsidR="00D45930">
              <w:rPr>
                <w:noProof/>
                <w:webHidden/>
              </w:rPr>
              <w:fldChar w:fldCharType="end"/>
            </w:r>
          </w:hyperlink>
        </w:p>
        <w:p w14:paraId="5DCE7505" w14:textId="2E97AEE8" w:rsidR="00D45930" w:rsidRDefault="00A83FD7">
          <w:pPr>
            <w:pStyle w:val="TOC1"/>
            <w:tabs>
              <w:tab w:val="right" w:leader="dot" w:pos="9350"/>
            </w:tabs>
            <w:rPr>
              <w:rFonts w:eastAsiaTheme="minorEastAsia" w:cstheme="minorBidi"/>
              <w:b w:val="0"/>
              <w:bCs w:val="0"/>
              <w:i w:val="0"/>
              <w:iCs w:val="0"/>
              <w:noProof/>
            </w:rPr>
          </w:pPr>
          <w:hyperlink w:anchor="_Toc16081768" w:history="1">
            <w:r w:rsidR="00D45930" w:rsidRPr="00416228">
              <w:rPr>
                <w:rStyle w:val="Hyperlink"/>
                <w:noProof/>
              </w:rPr>
              <w:t>Australia: Victoria</w:t>
            </w:r>
            <w:r w:rsidR="00D45930">
              <w:rPr>
                <w:noProof/>
                <w:webHidden/>
              </w:rPr>
              <w:tab/>
            </w:r>
            <w:r w:rsidR="00D45930">
              <w:rPr>
                <w:noProof/>
                <w:webHidden/>
              </w:rPr>
              <w:fldChar w:fldCharType="begin"/>
            </w:r>
            <w:r w:rsidR="00D45930">
              <w:rPr>
                <w:noProof/>
                <w:webHidden/>
              </w:rPr>
              <w:instrText xml:space="preserve"> PAGEREF _Toc16081768 \h </w:instrText>
            </w:r>
            <w:r w:rsidR="00D45930">
              <w:rPr>
                <w:noProof/>
                <w:webHidden/>
              </w:rPr>
            </w:r>
            <w:r w:rsidR="00D45930">
              <w:rPr>
                <w:noProof/>
                <w:webHidden/>
              </w:rPr>
              <w:fldChar w:fldCharType="separate"/>
            </w:r>
            <w:r w:rsidR="00D45930">
              <w:rPr>
                <w:noProof/>
                <w:webHidden/>
              </w:rPr>
              <w:t>91</w:t>
            </w:r>
            <w:r w:rsidR="00D45930">
              <w:rPr>
                <w:noProof/>
                <w:webHidden/>
              </w:rPr>
              <w:fldChar w:fldCharType="end"/>
            </w:r>
          </w:hyperlink>
        </w:p>
        <w:p w14:paraId="546C272B" w14:textId="4803939A" w:rsidR="00D45930" w:rsidRDefault="00A83FD7">
          <w:pPr>
            <w:pStyle w:val="TOC1"/>
            <w:tabs>
              <w:tab w:val="right" w:leader="dot" w:pos="9350"/>
            </w:tabs>
            <w:rPr>
              <w:rFonts w:eastAsiaTheme="minorEastAsia" w:cstheme="minorBidi"/>
              <w:b w:val="0"/>
              <w:bCs w:val="0"/>
              <w:i w:val="0"/>
              <w:iCs w:val="0"/>
              <w:noProof/>
            </w:rPr>
          </w:pPr>
          <w:hyperlink w:anchor="_Toc16081769" w:history="1">
            <w:r w:rsidR="00D45930" w:rsidRPr="00416228">
              <w:rPr>
                <w:rStyle w:val="Hyperlink"/>
                <w:noProof/>
              </w:rPr>
              <w:t>Discussion</w:t>
            </w:r>
            <w:r w:rsidR="00D45930">
              <w:rPr>
                <w:noProof/>
                <w:webHidden/>
              </w:rPr>
              <w:tab/>
            </w:r>
            <w:r w:rsidR="00D45930">
              <w:rPr>
                <w:noProof/>
                <w:webHidden/>
              </w:rPr>
              <w:fldChar w:fldCharType="begin"/>
            </w:r>
            <w:r w:rsidR="00D45930">
              <w:rPr>
                <w:noProof/>
                <w:webHidden/>
              </w:rPr>
              <w:instrText xml:space="preserve"> PAGEREF _Toc16081769 \h </w:instrText>
            </w:r>
            <w:r w:rsidR="00D45930">
              <w:rPr>
                <w:noProof/>
                <w:webHidden/>
              </w:rPr>
            </w:r>
            <w:r w:rsidR="00D45930">
              <w:rPr>
                <w:noProof/>
                <w:webHidden/>
              </w:rPr>
              <w:fldChar w:fldCharType="separate"/>
            </w:r>
            <w:r w:rsidR="00D45930">
              <w:rPr>
                <w:noProof/>
                <w:webHidden/>
              </w:rPr>
              <w:t>98</w:t>
            </w:r>
            <w:r w:rsidR="00D45930">
              <w:rPr>
                <w:noProof/>
                <w:webHidden/>
              </w:rPr>
              <w:fldChar w:fldCharType="end"/>
            </w:r>
          </w:hyperlink>
        </w:p>
        <w:p w14:paraId="54277B1B" w14:textId="0B6C9EA2" w:rsidR="00D45930" w:rsidRDefault="00A83FD7">
          <w:pPr>
            <w:pStyle w:val="TOC2"/>
            <w:tabs>
              <w:tab w:val="right" w:leader="dot" w:pos="9350"/>
            </w:tabs>
            <w:rPr>
              <w:rFonts w:eastAsiaTheme="minorEastAsia" w:cstheme="minorBidi"/>
              <w:b w:val="0"/>
              <w:bCs w:val="0"/>
              <w:noProof/>
              <w:sz w:val="24"/>
              <w:szCs w:val="24"/>
            </w:rPr>
          </w:pPr>
          <w:hyperlink w:anchor="_Toc16081770" w:history="1">
            <w:r w:rsidR="00D45930" w:rsidRPr="00416228">
              <w:rPr>
                <w:rStyle w:val="Hyperlink"/>
                <w:noProof/>
              </w:rPr>
              <w:t>The Role of Civil Society</w:t>
            </w:r>
            <w:r w:rsidR="00D45930">
              <w:rPr>
                <w:noProof/>
                <w:webHidden/>
              </w:rPr>
              <w:tab/>
            </w:r>
            <w:r w:rsidR="00D45930">
              <w:rPr>
                <w:noProof/>
                <w:webHidden/>
              </w:rPr>
              <w:fldChar w:fldCharType="begin"/>
            </w:r>
            <w:r w:rsidR="00D45930">
              <w:rPr>
                <w:noProof/>
                <w:webHidden/>
              </w:rPr>
              <w:instrText xml:space="preserve"> PAGEREF _Toc16081770 \h </w:instrText>
            </w:r>
            <w:r w:rsidR="00D45930">
              <w:rPr>
                <w:noProof/>
                <w:webHidden/>
              </w:rPr>
            </w:r>
            <w:r w:rsidR="00D45930">
              <w:rPr>
                <w:noProof/>
                <w:webHidden/>
              </w:rPr>
              <w:fldChar w:fldCharType="separate"/>
            </w:r>
            <w:r w:rsidR="00D45930">
              <w:rPr>
                <w:noProof/>
                <w:webHidden/>
              </w:rPr>
              <w:t>98</w:t>
            </w:r>
            <w:r w:rsidR="00D45930">
              <w:rPr>
                <w:noProof/>
                <w:webHidden/>
              </w:rPr>
              <w:fldChar w:fldCharType="end"/>
            </w:r>
          </w:hyperlink>
        </w:p>
        <w:p w14:paraId="09AA9686" w14:textId="5336EFAA" w:rsidR="00D45930" w:rsidRDefault="00A83FD7">
          <w:pPr>
            <w:pStyle w:val="TOC2"/>
            <w:tabs>
              <w:tab w:val="right" w:leader="dot" w:pos="9350"/>
            </w:tabs>
            <w:rPr>
              <w:rFonts w:eastAsiaTheme="minorEastAsia" w:cstheme="minorBidi"/>
              <w:b w:val="0"/>
              <w:bCs w:val="0"/>
              <w:noProof/>
              <w:sz w:val="24"/>
              <w:szCs w:val="24"/>
            </w:rPr>
          </w:pPr>
          <w:hyperlink w:anchor="_Toc16081771" w:history="1">
            <w:r w:rsidR="00D45930" w:rsidRPr="00416228">
              <w:rPr>
                <w:rStyle w:val="Hyperlink"/>
                <w:noProof/>
              </w:rPr>
              <w:t>Recognizing Full Legal Capacity for Persons with Disabilities</w:t>
            </w:r>
            <w:r w:rsidR="00D45930">
              <w:rPr>
                <w:noProof/>
                <w:webHidden/>
              </w:rPr>
              <w:tab/>
            </w:r>
            <w:r w:rsidR="00D45930">
              <w:rPr>
                <w:noProof/>
                <w:webHidden/>
              </w:rPr>
              <w:fldChar w:fldCharType="begin"/>
            </w:r>
            <w:r w:rsidR="00D45930">
              <w:rPr>
                <w:noProof/>
                <w:webHidden/>
              </w:rPr>
              <w:instrText xml:space="preserve"> PAGEREF _Toc16081771 \h </w:instrText>
            </w:r>
            <w:r w:rsidR="00D45930">
              <w:rPr>
                <w:noProof/>
                <w:webHidden/>
              </w:rPr>
            </w:r>
            <w:r w:rsidR="00D45930">
              <w:rPr>
                <w:noProof/>
                <w:webHidden/>
              </w:rPr>
              <w:fldChar w:fldCharType="separate"/>
            </w:r>
            <w:r w:rsidR="00D45930">
              <w:rPr>
                <w:noProof/>
                <w:webHidden/>
              </w:rPr>
              <w:t>99</w:t>
            </w:r>
            <w:r w:rsidR="00D45930">
              <w:rPr>
                <w:noProof/>
                <w:webHidden/>
              </w:rPr>
              <w:fldChar w:fldCharType="end"/>
            </w:r>
          </w:hyperlink>
        </w:p>
        <w:p w14:paraId="705D52BE" w14:textId="5EC40C8B" w:rsidR="00D45930" w:rsidRDefault="00A83FD7">
          <w:pPr>
            <w:pStyle w:val="TOC2"/>
            <w:tabs>
              <w:tab w:val="right" w:leader="dot" w:pos="9350"/>
            </w:tabs>
            <w:rPr>
              <w:rFonts w:eastAsiaTheme="minorEastAsia" w:cstheme="minorBidi"/>
              <w:b w:val="0"/>
              <w:bCs w:val="0"/>
              <w:noProof/>
              <w:sz w:val="24"/>
              <w:szCs w:val="24"/>
            </w:rPr>
          </w:pPr>
          <w:hyperlink w:anchor="_Toc16081772" w:history="1">
            <w:r w:rsidR="00D45930" w:rsidRPr="00416228">
              <w:rPr>
                <w:rStyle w:val="Hyperlink"/>
                <w:noProof/>
              </w:rPr>
              <w:t>Substitute Decision-Making</w:t>
            </w:r>
            <w:r w:rsidR="00D45930">
              <w:rPr>
                <w:noProof/>
                <w:webHidden/>
              </w:rPr>
              <w:tab/>
            </w:r>
            <w:r w:rsidR="00D45930">
              <w:rPr>
                <w:noProof/>
                <w:webHidden/>
              </w:rPr>
              <w:fldChar w:fldCharType="begin"/>
            </w:r>
            <w:r w:rsidR="00D45930">
              <w:rPr>
                <w:noProof/>
                <w:webHidden/>
              </w:rPr>
              <w:instrText xml:space="preserve"> PAGEREF _Toc16081772 \h </w:instrText>
            </w:r>
            <w:r w:rsidR="00D45930">
              <w:rPr>
                <w:noProof/>
                <w:webHidden/>
              </w:rPr>
            </w:r>
            <w:r w:rsidR="00D45930">
              <w:rPr>
                <w:noProof/>
                <w:webHidden/>
              </w:rPr>
              <w:fldChar w:fldCharType="separate"/>
            </w:r>
            <w:r w:rsidR="00D45930">
              <w:rPr>
                <w:noProof/>
                <w:webHidden/>
              </w:rPr>
              <w:t>99</w:t>
            </w:r>
            <w:r w:rsidR="00D45930">
              <w:rPr>
                <w:noProof/>
                <w:webHidden/>
              </w:rPr>
              <w:fldChar w:fldCharType="end"/>
            </w:r>
          </w:hyperlink>
        </w:p>
        <w:p w14:paraId="473C287A" w14:textId="5D0EC356" w:rsidR="00D45930" w:rsidRDefault="00A83FD7">
          <w:pPr>
            <w:pStyle w:val="TOC2"/>
            <w:tabs>
              <w:tab w:val="right" w:leader="dot" w:pos="9350"/>
            </w:tabs>
            <w:rPr>
              <w:rFonts w:eastAsiaTheme="minorEastAsia" w:cstheme="minorBidi"/>
              <w:b w:val="0"/>
              <w:bCs w:val="0"/>
              <w:noProof/>
              <w:sz w:val="24"/>
              <w:szCs w:val="24"/>
            </w:rPr>
          </w:pPr>
          <w:hyperlink w:anchor="_Toc16081773" w:history="1">
            <w:r w:rsidR="00D45930" w:rsidRPr="00416228">
              <w:rPr>
                <w:rStyle w:val="Hyperlink"/>
                <w:noProof/>
              </w:rPr>
              <w:t>Making Supported Decision-Making Accessible to All Persons with Disabilities</w:t>
            </w:r>
            <w:r w:rsidR="00D45930">
              <w:rPr>
                <w:noProof/>
                <w:webHidden/>
              </w:rPr>
              <w:tab/>
            </w:r>
            <w:r w:rsidR="00D45930">
              <w:rPr>
                <w:noProof/>
                <w:webHidden/>
              </w:rPr>
              <w:fldChar w:fldCharType="begin"/>
            </w:r>
            <w:r w:rsidR="00D45930">
              <w:rPr>
                <w:noProof/>
                <w:webHidden/>
              </w:rPr>
              <w:instrText xml:space="preserve"> PAGEREF _Toc16081773 \h </w:instrText>
            </w:r>
            <w:r w:rsidR="00D45930">
              <w:rPr>
                <w:noProof/>
                <w:webHidden/>
              </w:rPr>
            </w:r>
            <w:r w:rsidR="00D45930">
              <w:rPr>
                <w:noProof/>
                <w:webHidden/>
              </w:rPr>
              <w:fldChar w:fldCharType="separate"/>
            </w:r>
            <w:r w:rsidR="00D45930">
              <w:rPr>
                <w:noProof/>
                <w:webHidden/>
              </w:rPr>
              <w:t>100</w:t>
            </w:r>
            <w:r w:rsidR="00D45930">
              <w:rPr>
                <w:noProof/>
                <w:webHidden/>
              </w:rPr>
              <w:fldChar w:fldCharType="end"/>
            </w:r>
          </w:hyperlink>
        </w:p>
        <w:p w14:paraId="69E9A80F" w14:textId="46EE636D" w:rsidR="00D45930" w:rsidRDefault="00A83FD7">
          <w:pPr>
            <w:pStyle w:val="TOC2"/>
            <w:tabs>
              <w:tab w:val="right" w:leader="dot" w:pos="9350"/>
            </w:tabs>
            <w:rPr>
              <w:rFonts w:eastAsiaTheme="minorEastAsia" w:cstheme="minorBidi"/>
              <w:b w:val="0"/>
              <w:bCs w:val="0"/>
              <w:noProof/>
              <w:sz w:val="24"/>
              <w:szCs w:val="24"/>
            </w:rPr>
          </w:pPr>
          <w:hyperlink w:anchor="_Toc16081774" w:history="1">
            <w:r w:rsidR="00D45930" w:rsidRPr="00416228">
              <w:rPr>
                <w:rStyle w:val="Hyperlink"/>
                <w:noProof/>
              </w:rPr>
              <w:t>Advance Directives</w:t>
            </w:r>
            <w:r w:rsidR="00D45930">
              <w:rPr>
                <w:noProof/>
                <w:webHidden/>
              </w:rPr>
              <w:tab/>
            </w:r>
            <w:r w:rsidR="00D45930">
              <w:rPr>
                <w:noProof/>
                <w:webHidden/>
              </w:rPr>
              <w:fldChar w:fldCharType="begin"/>
            </w:r>
            <w:r w:rsidR="00D45930">
              <w:rPr>
                <w:noProof/>
                <w:webHidden/>
              </w:rPr>
              <w:instrText xml:space="preserve"> PAGEREF _Toc16081774 \h </w:instrText>
            </w:r>
            <w:r w:rsidR="00D45930">
              <w:rPr>
                <w:noProof/>
                <w:webHidden/>
              </w:rPr>
            </w:r>
            <w:r w:rsidR="00D45930">
              <w:rPr>
                <w:noProof/>
                <w:webHidden/>
              </w:rPr>
              <w:fldChar w:fldCharType="separate"/>
            </w:r>
            <w:r w:rsidR="00D45930">
              <w:rPr>
                <w:noProof/>
                <w:webHidden/>
              </w:rPr>
              <w:t>101</w:t>
            </w:r>
            <w:r w:rsidR="00D45930">
              <w:rPr>
                <w:noProof/>
                <w:webHidden/>
              </w:rPr>
              <w:fldChar w:fldCharType="end"/>
            </w:r>
          </w:hyperlink>
        </w:p>
        <w:p w14:paraId="43E13C30" w14:textId="66F8F040" w:rsidR="00D45930" w:rsidRDefault="00A83FD7">
          <w:pPr>
            <w:pStyle w:val="TOC2"/>
            <w:tabs>
              <w:tab w:val="right" w:leader="dot" w:pos="9350"/>
            </w:tabs>
            <w:rPr>
              <w:rFonts w:eastAsiaTheme="minorEastAsia" w:cstheme="minorBidi"/>
              <w:b w:val="0"/>
              <w:bCs w:val="0"/>
              <w:noProof/>
              <w:sz w:val="24"/>
              <w:szCs w:val="24"/>
            </w:rPr>
          </w:pPr>
          <w:hyperlink w:anchor="_Toc16081775" w:history="1">
            <w:r w:rsidR="00D45930" w:rsidRPr="00416228">
              <w:rPr>
                <w:rStyle w:val="Hyperlink"/>
                <w:noProof/>
              </w:rPr>
              <w:t>Appointment of Supporters</w:t>
            </w:r>
            <w:r w:rsidR="00D45930">
              <w:rPr>
                <w:noProof/>
                <w:webHidden/>
              </w:rPr>
              <w:tab/>
            </w:r>
            <w:r w:rsidR="00D45930">
              <w:rPr>
                <w:noProof/>
                <w:webHidden/>
              </w:rPr>
              <w:fldChar w:fldCharType="begin"/>
            </w:r>
            <w:r w:rsidR="00D45930">
              <w:rPr>
                <w:noProof/>
                <w:webHidden/>
              </w:rPr>
              <w:instrText xml:space="preserve"> PAGEREF _Toc16081775 \h </w:instrText>
            </w:r>
            <w:r w:rsidR="00D45930">
              <w:rPr>
                <w:noProof/>
                <w:webHidden/>
              </w:rPr>
            </w:r>
            <w:r w:rsidR="00D45930">
              <w:rPr>
                <w:noProof/>
                <w:webHidden/>
              </w:rPr>
              <w:fldChar w:fldCharType="separate"/>
            </w:r>
            <w:r w:rsidR="00D45930">
              <w:rPr>
                <w:noProof/>
                <w:webHidden/>
              </w:rPr>
              <w:t>102</w:t>
            </w:r>
            <w:r w:rsidR="00D45930">
              <w:rPr>
                <w:noProof/>
                <w:webHidden/>
              </w:rPr>
              <w:fldChar w:fldCharType="end"/>
            </w:r>
          </w:hyperlink>
        </w:p>
        <w:p w14:paraId="32CED721" w14:textId="5870AECA" w:rsidR="00D45930" w:rsidRDefault="00A83FD7">
          <w:pPr>
            <w:pStyle w:val="TOC2"/>
            <w:tabs>
              <w:tab w:val="right" w:leader="dot" w:pos="9350"/>
            </w:tabs>
            <w:rPr>
              <w:rFonts w:eastAsiaTheme="minorEastAsia" w:cstheme="minorBidi"/>
              <w:b w:val="0"/>
              <w:bCs w:val="0"/>
              <w:noProof/>
              <w:sz w:val="24"/>
              <w:szCs w:val="24"/>
            </w:rPr>
          </w:pPr>
          <w:hyperlink w:anchor="_Toc16081776" w:history="1">
            <w:r w:rsidR="00D45930" w:rsidRPr="00416228">
              <w:rPr>
                <w:rStyle w:val="Hyperlink"/>
                <w:noProof/>
              </w:rPr>
              <w:t>Other Safeguards</w:t>
            </w:r>
            <w:r w:rsidR="00D45930">
              <w:rPr>
                <w:noProof/>
                <w:webHidden/>
              </w:rPr>
              <w:tab/>
            </w:r>
            <w:r w:rsidR="00D45930">
              <w:rPr>
                <w:noProof/>
                <w:webHidden/>
              </w:rPr>
              <w:fldChar w:fldCharType="begin"/>
            </w:r>
            <w:r w:rsidR="00D45930">
              <w:rPr>
                <w:noProof/>
                <w:webHidden/>
              </w:rPr>
              <w:instrText xml:space="preserve"> PAGEREF _Toc16081776 \h </w:instrText>
            </w:r>
            <w:r w:rsidR="00D45930">
              <w:rPr>
                <w:noProof/>
                <w:webHidden/>
              </w:rPr>
            </w:r>
            <w:r w:rsidR="00D45930">
              <w:rPr>
                <w:noProof/>
                <w:webHidden/>
              </w:rPr>
              <w:fldChar w:fldCharType="separate"/>
            </w:r>
            <w:r w:rsidR="00D45930">
              <w:rPr>
                <w:noProof/>
                <w:webHidden/>
              </w:rPr>
              <w:t>104</w:t>
            </w:r>
            <w:r w:rsidR="00D45930">
              <w:rPr>
                <w:noProof/>
                <w:webHidden/>
              </w:rPr>
              <w:fldChar w:fldCharType="end"/>
            </w:r>
          </w:hyperlink>
        </w:p>
        <w:p w14:paraId="441FD0B9" w14:textId="4F826CC4" w:rsidR="00D45930" w:rsidRDefault="00A83FD7">
          <w:pPr>
            <w:pStyle w:val="TOC2"/>
            <w:tabs>
              <w:tab w:val="right" w:leader="dot" w:pos="9350"/>
            </w:tabs>
            <w:rPr>
              <w:rFonts w:eastAsiaTheme="minorEastAsia" w:cstheme="minorBidi"/>
              <w:b w:val="0"/>
              <w:bCs w:val="0"/>
              <w:noProof/>
              <w:sz w:val="24"/>
              <w:szCs w:val="24"/>
            </w:rPr>
          </w:pPr>
          <w:hyperlink w:anchor="_Toc16081777" w:history="1">
            <w:r w:rsidR="00D45930" w:rsidRPr="00416228">
              <w:rPr>
                <w:rStyle w:val="Hyperlink"/>
                <w:noProof/>
              </w:rPr>
              <w:t>Similar Challenges Ahead?</w:t>
            </w:r>
            <w:r w:rsidR="00D45930">
              <w:rPr>
                <w:noProof/>
                <w:webHidden/>
              </w:rPr>
              <w:tab/>
            </w:r>
            <w:r w:rsidR="00D45930">
              <w:rPr>
                <w:noProof/>
                <w:webHidden/>
              </w:rPr>
              <w:fldChar w:fldCharType="begin"/>
            </w:r>
            <w:r w:rsidR="00D45930">
              <w:rPr>
                <w:noProof/>
                <w:webHidden/>
              </w:rPr>
              <w:instrText xml:space="preserve"> PAGEREF _Toc16081777 \h </w:instrText>
            </w:r>
            <w:r w:rsidR="00D45930">
              <w:rPr>
                <w:noProof/>
                <w:webHidden/>
              </w:rPr>
            </w:r>
            <w:r w:rsidR="00D45930">
              <w:rPr>
                <w:noProof/>
                <w:webHidden/>
              </w:rPr>
              <w:fldChar w:fldCharType="separate"/>
            </w:r>
            <w:r w:rsidR="00D45930">
              <w:rPr>
                <w:noProof/>
                <w:webHidden/>
              </w:rPr>
              <w:t>106</w:t>
            </w:r>
            <w:r w:rsidR="00D45930">
              <w:rPr>
                <w:noProof/>
                <w:webHidden/>
              </w:rPr>
              <w:fldChar w:fldCharType="end"/>
            </w:r>
          </w:hyperlink>
        </w:p>
        <w:p w14:paraId="76231264" w14:textId="7BFF5109" w:rsidR="00056A8F" w:rsidRPr="002A28E1" w:rsidRDefault="00056A8F">
          <w:r w:rsidRPr="002A28E1">
            <w:rPr>
              <w:b/>
              <w:bCs/>
              <w:noProof/>
            </w:rPr>
            <w:fldChar w:fldCharType="end"/>
          </w:r>
        </w:p>
      </w:sdtContent>
    </w:sdt>
    <w:p w14:paraId="316B7774" w14:textId="272FEFB3" w:rsidR="00D157E7" w:rsidRPr="002A28E1" w:rsidRDefault="00D157E7">
      <w:pPr>
        <w:rPr>
          <w:b/>
          <w:sz w:val="32"/>
          <w:szCs w:val="32"/>
        </w:rPr>
      </w:pPr>
      <w:r w:rsidRPr="002A28E1">
        <w:rPr>
          <w:b/>
          <w:sz w:val="32"/>
          <w:szCs w:val="32"/>
        </w:rPr>
        <w:br w:type="page"/>
      </w:r>
    </w:p>
    <w:p w14:paraId="298B76A4" w14:textId="579605DB" w:rsidR="004B45FD" w:rsidRPr="002A28E1" w:rsidRDefault="004B45FD" w:rsidP="00056A8F">
      <w:pPr>
        <w:pStyle w:val="Heading1"/>
      </w:pPr>
      <w:bookmarkStart w:id="0" w:name="_Toc16081749"/>
      <w:r w:rsidRPr="002A28E1">
        <w:lastRenderedPageBreak/>
        <w:t>Introduction</w:t>
      </w:r>
      <w:bookmarkEnd w:id="0"/>
    </w:p>
    <w:p w14:paraId="04EA85FE" w14:textId="483FD8C4" w:rsidR="00726D23" w:rsidRDefault="00726D23">
      <w:r>
        <w:t xml:space="preserve">The adoption of the </w:t>
      </w:r>
      <w:r w:rsidR="00865497">
        <w:t>Convention on the Rights of Persons</w:t>
      </w:r>
      <w:r w:rsidR="00BE7865">
        <w:t xml:space="preserve"> with Disabilities</w:t>
      </w:r>
      <w:r w:rsidR="00E23D0B">
        <w:t xml:space="preserve"> (CRPD)</w:t>
      </w:r>
      <w:r w:rsidR="00BE7865">
        <w:t xml:space="preserve"> </w:t>
      </w:r>
      <w:r w:rsidR="00E316D3">
        <w:t xml:space="preserve">in 2006 </w:t>
      </w:r>
      <w:r w:rsidR="00681BCA">
        <w:t xml:space="preserve">marked a </w:t>
      </w:r>
      <w:r w:rsidR="000150F4">
        <w:t>momentous</w:t>
      </w:r>
      <w:r w:rsidR="00681BCA">
        <w:t xml:space="preserve"> milestone </w:t>
      </w:r>
      <w:r w:rsidR="007B295F">
        <w:t>for</w:t>
      </w:r>
      <w:r w:rsidR="00681BCA">
        <w:t xml:space="preserve"> </w:t>
      </w:r>
      <w:r w:rsidR="00ED2D83">
        <w:t>the disability rights movement</w:t>
      </w:r>
      <w:r w:rsidR="0093704C">
        <w:t>.</w:t>
      </w:r>
      <w:r w:rsidR="00BF16BE">
        <w:rPr>
          <w:rStyle w:val="FootnoteReference"/>
        </w:rPr>
        <w:footnoteReference w:id="1"/>
      </w:r>
      <w:r w:rsidR="00ED2D83">
        <w:t xml:space="preserve"> </w:t>
      </w:r>
      <w:r w:rsidR="00CF2B30">
        <w:t xml:space="preserve">The </w:t>
      </w:r>
      <w:r w:rsidR="00AD0C07">
        <w:t xml:space="preserve">United Nations </w:t>
      </w:r>
      <w:r w:rsidR="00CF2B30">
        <w:t>Convention aims to “promote, protect and ensure the full and equal enjoyment of all human rights and fundamental freedoms by all persons with disabilities, and to promote respect for their inherent dignity.”</w:t>
      </w:r>
      <w:r w:rsidR="00CF2B30">
        <w:rPr>
          <w:rStyle w:val="FootnoteReference"/>
        </w:rPr>
        <w:footnoteReference w:id="2"/>
      </w:r>
      <w:r w:rsidR="00CF2B30">
        <w:t xml:space="preserve"> </w:t>
      </w:r>
      <w:r w:rsidR="00EB26B3">
        <w:t>The Convention breaks from historical conceptions of persons with disabilities as objects of charity, medical treatment, and social protection, and promulgates a vision of persons with disabilities as subjects of rights and involved members of society</w:t>
      </w:r>
      <w:r w:rsidR="0027003C">
        <w:t>.</w:t>
      </w:r>
      <w:r w:rsidR="00957B4F">
        <w:rPr>
          <w:rStyle w:val="FootnoteReference"/>
        </w:rPr>
        <w:footnoteReference w:id="3"/>
      </w:r>
      <w:r w:rsidR="00430244" w:rsidRPr="00430244">
        <w:t xml:space="preserve"> </w:t>
      </w:r>
      <w:r w:rsidR="00430244">
        <w:t>The Convention has thus been said to have catalyzed a veritable “paradigm shift.”</w:t>
      </w:r>
      <w:r w:rsidR="00A642A5">
        <w:rPr>
          <w:rStyle w:val="FootnoteReference"/>
        </w:rPr>
        <w:footnoteReference w:id="4"/>
      </w:r>
    </w:p>
    <w:p w14:paraId="1C3126FC" w14:textId="6C4747F6" w:rsidR="00F10CCE" w:rsidRDefault="00F10CCE"/>
    <w:p w14:paraId="05A08881" w14:textId="1A8CD209" w:rsidR="00F10CCE" w:rsidRDefault="00F10CCE">
      <w:r>
        <w:t xml:space="preserve">Article 12 of the CRPD pertains to equal recognition before the </w:t>
      </w:r>
      <w:r w:rsidR="005577B1">
        <w:t xml:space="preserve">law </w:t>
      </w:r>
      <w:r w:rsidR="00C84156">
        <w:t xml:space="preserve">and </w:t>
      </w:r>
      <w:proofErr w:type="gramStart"/>
      <w:r w:rsidR="00C84156">
        <w:t>has been described</w:t>
      </w:r>
      <w:proofErr w:type="gramEnd"/>
      <w:r w:rsidR="00C84156">
        <w:t xml:space="preserve"> as the “core”</w:t>
      </w:r>
      <w:r w:rsidR="002346A8">
        <w:t xml:space="preserve"> of the Convention.</w:t>
      </w:r>
      <w:r w:rsidR="002346A8">
        <w:rPr>
          <w:rStyle w:val="FootnoteReference"/>
        </w:rPr>
        <w:footnoteReference w:id="5"/>
      </w:r>
      <w:r w:rsidR="00F931A5">
        <w:t xml:space="preserve"> </w:t>
      </w:r>
      <w:r w:rsidR="00B15F2A">
        <w:t xml:space="preserve">It </w:t>
      </w:r>
      <w:proofErr w:type="gramStart"/>
      <w:r w:rsidR="00B15F2A">
        <w:t xml:space="preserve">has </w:t>
      </w:r>
      <w:r w:rsidR="00D01336">
        <w:t xml:space="preserve">also </w:t>
      </w:r>
      <w:r w:rsidR="00B15F2A">
        <w:t>been</w:t>
      </w:r>
      <w:r w:rsidR="00066BEF">
        <w:t xml:space="preserve"> maintain</w:t>
      </w:r>
      <w:r w:rsidR="008F52B3">
        <w:t>ed</w:t>
      </w:r>
      <w:proofErr w:type="gramEnd"/>
      <w:r w:rsidR="00066BEF">
        <w:t xml:space="preserve"> that t</w:t>
      </w:r>
      <w:r w:rsidR="009239E3">
        <w:t>h</w:t>
      </w:r>
      <w:r w:rsidR="00F759F7">
        <w:t>is provision</w:t>
      </w:r>
      <w:r w:rsidR="001B395E">
        <w:t xml:space="preserve"> </w:t>
      </w:r>
      <w:r w:rsidR="001952ED">
        <w:t>present</w:t>
      </w:r>
      <w:r w:rsidR="009A2BF6">
        <w:t>s</w:t>
      </w:r>
      <w:r w:rsidR="001952ED">
        <w:t xml:space="preserve"> the most </w:t>
      </w:r>
      <w:r w:rsidR="003365BD">
        <w:t xml:space="preserve">challenges for states </w:t>
      </w:r>
      <w:r w:rsidR="00FF5A7B">
        <w:t>during</w:t>
      </w:r>
      <w:r w:rsidR="003365BD">
        <w:t xml:space="preserve"> </w:t>
      </w:r>
      <w:r w:rsidR="00995925">
        <w:t xml:space="preserve">their </w:t>
      </w:r>
      <w:r w:rsidR="003365BD">
        <w:t>internal ratification process</w:t>
      </w:r>
      <w:r w:rsidR="00EE661D">
        <w:t>es</w:t>
      </w:r>
      <w:r w:rsidR="003365BD">
        <w:t>.</w:t>
      </w:r>
      <w:r w:rsidR="007957E4">
        <w:rPr>
          <w:rStyle w:val="FootnoteReference"/>
        </w:rPr>
        <w:footnoteReference w:id="6"/>
      </w:r>
      <w:r w:rsidR="00EE661D">
        <w:t xml:space="preserve"> </w:t>
      </w:r>
      <w:r w:rsidR="00DC66C3">
        <w:t xml:space="preserve">Article 12(1) </w:t>
      </w:r>
      <w:r w:rsidR="0060248F">
        <w:t>asserts</w:t>
      </w:r>
      <w:r w:rsidR="00DC66C3">
        <w:t xml:space="preserve"> </w:t>
      </w:r>
      <w:r w:rsidR="0060248F">
        <w:t xml:space="preserve">the right of persons with disabilities to </w:t>
      </w:r>
      <w:proofErr w:type="gramStart"/>
      <w:r w:rsidR="0060248F">
        <w:t>be recognized</w:t>
      </w:r>
      <w:proofErr w:type="gramEnd"/>
      <w:r w:rsidR="0060248F">
        <w:t xml:space="preserve"> as persons before the law. Article 12(2) </w:t>
      </w:r>
      <w:r w:rsidR="00157AC5">
        <w:t>affirms the right of persons with disabilities to enjoy legal capacity on an equal basis with others in all areas of life</w:t>
      </w:r>
      <w:r w:rsidR="00165E0B">
        <w:t>, with the concept of legal capacity encompassing both the ability to hold rights and duties (legal standing) and the ability to exercise those rights and duties (legal agency)</w:t>
      </w:r>
      <w:r w:rsidR="00157AC5">
        <w:t>.</w:t>
      </w:r>
      <w:bookmarkStart w:id="1" w:name="_Ref15295251"/>
      <w:r w:rsidR="00165E0B">
        <w:rPr>
          <w:rStyle w:val="FootnoteReference"/>
        </w:rPr>
        <w:footnoteReference w:id="7"/>
      </w:r>
      <w:bookmarkEnd w:id="1"/>
      <w:r w:rsidR="00157AC5">
        <w:t xml:space="preserve"> Article 12(3)</w:t>
      </w:r>
      <w:r w:rsidR="001D6450">
        <w:t xml:space="preserve"> </w:t>
      </w:r>
      <w:r w:rsidR="0059771B">
        <w:t>asks</w:t>
      </w:r>
      <w:r w:rsidR="00E61852">
        <w:t xml:space="preserve"> states </w:t>
      </w:r>
      <w:r w:rsidR="009352FC">
        <w:t xml:space="preserve">to </w:t>
      </w:r>
      <w:r w:rsidR="00CB4249">
        <w:t xml:space="preserve">provide persons with disabilities with access to support in the exercise of their legal capacity. </w:t>
      </w:r>
      <w:r w:rsidR="0021494F">
        <w:t>Article 12(4)</w:t>
      </w:r>
      <w:r w:rsidR="00070A23">
        <w:t xml:space="preserve"> </w:t>
      </w:r>
      <w:r w:rsidR="00570DC6">
        <w:t>delineates</w:t>
      </w:r>
      <w:r w:rsidR="00DB55A2">
        <w:t xml:space="preserve"> </w:t>
      </w:r>
      <w:r w:rsidR="000B39C4">
        <w:t xml:space="preserve">the safeguards that must be in place in </w:t>
      </w:r>
      <w:r w:rsidR="00C93740">
        <w:t>support systems</w:t>
      </w:r>
      <w:r w:rsidR="004F403A">
        <w:t xml:space="preserve">, while Article 12(5) </w:t>
      </w:r>
      <w:r w:rsidR="00BC4322">
        <w:t>calls upon states to</w:t>
      </w:r>
      <w:r w:rsidR="00136A62">
        <w:t xml:space="preserve"> </w:t>
      </w:r>
      <w:r w:rsidR="00597FDA">
        <w:t>ensure the equal right</w:t>
      </w:r>
      <w:r w:rsidR="00741F7C">
        <w:t>s</w:t>
      </w:r>
      <w:r w:rsidR="00597FDA">
        <w:t xml:space="preserve"> of persons with disabilities</w:t>
      </w:r>
      <w:r w:rsidR="00F300FB">
        <w:t xml:space="preserve"> </w:t>
      </w:r>
      <w:r w:rsidR="00257CB5">
        <w:t>in relation to financial and economic matters.</w:t>
      </w:r>
    </w:p>
    <w:p w14:paraId="3FDFC6C8" w14:textId="587CA372" w:rsidR="00F10CCE" w:rsidRDefault="00F10CCE"/>
    <w:p w14:paraId="40974220" w14:textId="76B57ABD" w:rsidR="0005510E" w:rsidRDefault="0005510E">
      <w:r>
        <w:t xml:space="preserve">Article 12 places four main obligations on </w:t>
      </w:r>
      <w:r w:rsidR="00857A69">
        <w:t>s</w:t>
      </w:r>
      <w:r>
        <w:t xml:space="preserve">tates </w:t>
      </w:r>
      <w:r w:rsidR="00857A69">
        <w:t>p</w:t>
      </w:r>
      <w:r>
        <w:t xml:space="preserve">arties. </w:t>
      </w:r>
      <w:r w:rsidR="00894FBE">
        <w:t xml:space="preserve">Firstly, </w:t>
      </w:r>
      <w:r w:rsidR="005F6342">
        <w:t>s</w:t>
      </w:r>
      <w:r w:rsidR="00894FBE">
        <w:t xml:space="preserve">tates must recognise </w:t>
      </w:r>
      <w:r w:rsidR="00562875">
        <w:t>legal capacity for all persons with disabilities in all aspects of life.</w:t>
      </w:r>
      <w:bookmarkStart w:id="2" w:name="_Ref15295121"/>
      <w:r w:rsidR="000E62D6">
        <w:rPr>
          <w:rStyle w:val="FootnoteReference"/>
        </w:rPr>
        <w:footnoteReference w:id="8"/>
      </w:r>
      <w:bookmarkEnd w:id="2"/>
      <w:r w:rsidR="00CF5050">
        <w:t xml:space="preserve"> Second</w:t>
      </w:r>
      <w:r w:rsidR="00491ED6">
        <w:t xml:space="preserve">, </w:t>
      </w:r>
      <w:r w:rsidR="00796468">
        <w:t>s</w:t>
      </w:r>
      <w:r w:rsidR="006D326C">
        <w:t xml:space="preserve">tates must </w:t>
      </w:r>
      <w:r w:rsidR="004D45AE">
        <w:t xml:space="preserve">eliminate </w:t>
      </w:r>
      <w:r w:rsidR="00041DE7">
        <w:t xml:space="preserve">all </w:t>
      </w:r>
      <w:r w:rsidR="00F74350">
        <w:t>systems</w:t>
      </w:r>
      <w:r w:rsidR="00041DE7">
        <w:t xml:space="preserve"> of substituted decision-making.</w:t>
      </w:r>
      <w:r w:rsidR="002A2E4D">
        <w:rPr>
          <w:rStyle w:val="FootnoteReference"/>
        </w:rPr>
        <w:footnoteReference w:id="9"/>
      </w:r>
      <w:r w:rsidR="00C53702">
        <w:t xml:space="preserve"> </w:t>
      </w:r>
      <w:proofErr w:type="gramStart"/>
      <w:r w:rsidR="003764CA">
        <w:t xml:space="preserve">The Committee on the Rights of Persons with Disabilities </w:t>
      </w:r>
      <w:r w:rsidR="00A746DF">
        <w:t xml:space="preserve">describes substituted decision-making </w:t>
      </w:r>
      <w:r w:rsidR="0008466F">
        <w:t xml:space="preserve">regimes </w:t>
      </w:r>
      <w:r w:rsidR="00F6564B">
        <w:t xml:space="preserve">as </w:t>
      </w:r>
      <w:r w:rsidR="00ED49F1">
        <w:t>frameworks through which</w:t>
      </w:r>
      <w:r w:rsidR="00E55203">
        <w:t>: (i)</w:t>
      </w:r>
      <w:r w:rsidR="00863196">
        <w:t xml:space="preserve"> a person’s</w:t>
      </w:r>
      <w:r w:rsidR="00ED49F1">
        <w:t xml:space="preserve"> legal capacity is </w:t>
      </w:r>
      <w:r w:rsidR="00CB0CF0">
        <w:t>removed (even if only for one decision)</w:t>
      </w:r>
      <w:r w:rsidR="00E9224A">
        <w:t>; (i</w:t>
      </w:r>
      <w:r w:rsidR="005C7604">
        <w:t>i</w:t>
      </w:r>
      <w:r w:rsidR="00E9224A">
        <w:t>)</w:t>
      </w:r>
      <w:r w:rsidR="005C7604">
        <w:t xml:space="preserve"> </w:t>
      </w:r>
      <w:r w:rsidR="0077184D">
        <w:t>a substitute decision</w:t>
      </w:r>
      <w:r w:rsidR="00466383">
        <w:t>-</w:t>
      </w:r>
      <w:r w:rsidR="0077184D">
        <w:t xml:space="preserve">maker </w:t>
      </w:r>
      <w:r w:rsidR="00A655B1">
        <w:t xml:space="preserve">is </w:t>
      </w:r>
      <w:r w:rsidR="0077184D">
        <w:t>designated by a third party</w:t>
      </w:r>
      <w:r w:rsidR="00513D16">
        <w:t>; and (iii) a substitute decision-maker</w:t>
      </w:r>
      <w:r w:rsidR="0077184D">
        <w:t xml:space="preserve"> </w:t>
      </w:r>
      <w:r w:rsidR="00E35A28">
        <w:t>acts</w:t>
      </w:r>
      <w:r w:rsidR="00174113">
        <w:t xml:space="preserve"> </w:t>
      </w:r>
      <w:r w:rsidR="003729F7">
        <w:t xml:space="preserve">on the basis of what </w:t>
      </w:r>
      <w:r w:rsidR="00FB1A7D">
        <w:t xml:space="preserve">they deem to be in the </w:t>
      </w:r>
      <w:r w:rsidR="00466383">
        <w:t xml:space="preserve">given person’s </w:t>
      </w:r>
      <w:r w:rsidR="00FB1A7D">
        <w:t>“best interests</w:t>
      </w:r>
      <w:r w:rsidR="000F123D">
        <w:t>,</w:t>
      </w:r>
      <w:r w:rsidR="00FB1A7D">
        <w:t>”</w:t>
      </w:r>
      <w:r w:rsidR="00036F7C">
        <w:t xml:space="preserve"> </w:t>
      </w:r>
      <w:r w:rsidR="00FF0EB7">
        <w:t xml:space="preserve">even </w:t>
      </w:r>
      <w:r w:rsidR="004860B8">
        <w:t xml:space="preserve">if that contradicts </w:t>
      </w:r>
      <w:r w:rsidR="0003761E">
        <w:t xml:space="preserve">the person’s </w:t>
      </w:r>
      <w:r w:rsidR="0003761E">
        <w:lastRenderedPageBreak/>
        <w:t>will</w:t>
      </w:r>
      <w:r w:rsidR="00F44F9D">
        <w:t xml:space="preserve"> and preferences</w:t>
      </w:r>
      <w:r w:rsidR="0003761E">
        <w:t>.</w:t>
      </w:r>
      <w:r w:rsidR="00960D3E">
        <w:rPr>
          <w:rStyle w:val="FootnoteReference"/>
        </w:rPr>
        <w:footnoteReference w:id="10"/>
      </w:r>
      <w:proofErr w:type="gramEnd"/>
      <w:r w:rsidR="00CF4134">
        <w:t xml:space="preserve"> The third</w:t>
      </w:r>
      <w:r w:rsidR="00F5586B">
        <w:t xml:space="preserve"> principal</w:t>
      </w:r>
      <w:r w:rsidR="00CF4134">
        <w:t xml:space="preserve"> obligation </w:t>
      </w:r>
      <w:r w:rsidR="002650C9">
        <w:t>incumbent</w:t>
      </w:r>
      <w:r w:rsidR="00CF4134">
        <w:t xml:space="preserve"> upon </w:t>
      </w:r>
      <w:r w:rsidR="004F2413">
        <w:t>s</w:t>
      </w:r>
      <w:r w:rsidR="00CF4134">
        <w:t xml:space="preserve">tates under the Convention </w:t>
      </w:r>
      <w:r w:rsidR="002650C9">
        <w:t>is to</w:t>
      </w:r>
      <w:r w:rsidR="009544DB">
        <w:t xml:space="preserve"> establish</w:t>
      </w:r>
      <w:r w:rsidR="00F26383">
        <w:t xml:space="preserve"> </w:t>
      </w:r>
      <w:r w:rsidR="00A94FE4">
        <w:t xml:space="preserve">supported decision-making </w:t>
      </w:r>
      <w:r w:rsidR="0056007E">
        <w:t>mechanisms</w:t>
      </w:r>
      <w:r w:rsidR="000A5FF7">
        <w:t xml:space="preserve"> of differing </w:t>
      </w:r>
      <w:r w:rsidR="0086606F">
        <w:t>kinds</w:t>
      </w:r>
      <w:r w:rsidR="000A5FF7">
        <w:t xml:space="preserve"> and intensities.</w:t>
      </w:r>
      <w:r w:rsidR="00E1651D">
        <w:rPr>
          <w:rStyle w:val="FootnoteReference"/>
        </w:rPr>
        <w:footnoteReference w:id="11"/>
      </w:r>
      <w:r w:rsidR="009E1F18">
        <w:t xml:space="preserve"> </w:t>
      </w:r>
      <w:proofErr w:type="gramStart"/>
      <w:r w:rsidR="005C66CA">
        <w:t>The UN Special Rapporteur</w:t>
      </w:r>
      <w:r w:rsidR="00D1601A">
        <w:t xml:space="preserve"> on the Rights of Persons with Disabilities</w:t>
      </w:r>
      <w:r w:rsidR="005C66CA">
        <w:t xml:space="preserve"> has described the central characteristics of supported decision-making </w:t>
      </w:r>
      <w:r w:rsidR="004B51B6">
        <w:t>regimes</w:t>
      </w:r>
      <w:r w:rsidR="005C66CA">
        <w:t xml:space="preserve"> as follows: “</w:t>
      </w:r>
      <w:r w:rsidR="005C66CA" w:rsidRPr="002A28E1">
        <w:t>Contrary to substitute decision-making regimes, under a supported decision-making arrangement, legal capacity is never removed or restricted; a supporter cannot be appointed by a third party against the will of the person concerned; and support must be provided based on the will and preferences of the individual.”</w:t>
      </w:r>
      <w:r w:rsidR="005C66CA" w:rsidRPr="002A28E1">
        <w:rPr>
          <w:rStyle w:val="FootnoteReference"/>
        </w:rPr>
        <w:footnoteReference w:id="12"/>
      </w:r>
      <w:proofErr w:type="gramEnd"/>
      <w:r w:rsidR="00326184">
        <w:t xml:space="preserve"> Finally, the Convention requires </w:t>
      </w:r>
      <w:r w:rsidR="008530CF">
        <w:t>s</w:t>
      </w:r>
      <w:r w:rsidR="00326184">
        <w:t xml:space="preserve">tates to put in place safeguards to </w:t>
      </w:r>
      <w:r w:rsidR="00292DF3">
        <w:t>secure the respect for the rights, will</w:t>
      </w:r>
      <w:r w:rsidR="00D60664">
        <w:t>,</w:t>
      </w:r>
      <w:r w:rsidR="00292DF3">
        <w:t xml:space="preserve"> and preferences </w:t>
      </w:r>
      <w:r w:rsidR="001E6C65">
        <w:t xml:space="preserve">of </w:t>
      </w:r>
      <w:r w:rsidR="00BF5731">
        <w:t xml:space="preserve">individuals </w:t>
      </w:r>
      <w:r w:rsidR="009136A2">
        <w:t>who receive support.</w:t>
      </w:r>
      <w:r w:rsidR="00D134C1">
        <w:rPr>
          <w:rStyle w:val="FootnoteReference"/>
        </w:rPr>
        <w:footnoteReference w:id="13"/>
      </w:r>
    </w:p>
    <w:p w14:paraId="4FE89C86" w14:textId="29C9962D" w:rsidR="0019107C" w:rsidRDefault="0019107C"/>
    <w:p w14:paraId="19CC2ABA" w14:textId="06477E85" w:rsidR="008B2679" w:rsidRDefault="0019107C">
      <w:r>
        <w:t xml:space="preserve">This report will </w:t>
      </w:r>
      <w:r w:rsidR="00685996">
        <w:t>discuss</w:t>
      </w:r>
      <w:r>
        <w:t xml:space="preserve"> </w:t>
      </w:r>
      <w:r w:rsidR="003A6657">
        <w:t xml:space="preserve">legal reforms undertaken by states from around the world </w:t>
      </w:r>
      <w:r w:rsidR="00EA4BFA">
        <w:t xml:space="preserve">in the area of legal capacity and supported decision-making. </w:t>
      </w:r>
      <w:proofErr w:type="gramStart"/>
      <w:r w:rsidR="00FD3D78">
        <w:t xml:space="preserve">Many of these </w:t>
      </w:r>
      <w:r w:rsidR="00FD3D78" w:rsidRPr="00D60664">
        <w:t xml:space="preserve">states were ostensibly inspired </w:t>
      </w:r>
      <w:r w:rsidR="005477A0" w:rsidRPr="00D60664">
        <w:t xml:space="preserve">by the CRPD </w:t>
      </w:r>
      <w:r w:rsidR="007949F8" w:rsidRPr="00D60664">
        <w:t xml:space="preserve">in the drafting of their legislation, </w:t>
      </w:r>
      <w:r w:rsidR="00B85426" w:rsidRPr="00D60664">
        <w:t xml:space="preserve">although this report </w:t>
      </w:r>
      <w:r w:rsidR="00EF540E" w:rsidRPr="00D60664">
        <w:t>will cover</w:t>
      </w:r>
      <w:r w:rsidR="00ED3BFF">
        <w:t xml:space="preserve"> a</w:t>
      </w:r>
      <w:r w:rsidR="00EF540E" w:rsidRPr="00D60664">
        <w:t xml:space="preserve"> reform </w:t>
      </w:r>
      <w:r w:rsidR="003679B3" w:rsidRPr="00D60664">
        <w:t>adopted in Canada prior to the adoption of the CRPD</w:t>
      </w:r>
      <w:r w:rsidR="004226A3" w:rsidRPr="00D60664">
        <w:t xml:space="preserve"> as well as</w:t>
      </w:r>
      <w:r w:rsidR="00ED3BFF">
        <w:t xml:space="preserve"> a </w:t>
      </w:r>
      <w:r w:rsidR="00EF5B56" w:rsidRPr="00D60664">
        <w:t xml:space="preserve">reform </w:t>
      </w:r>
      <w:r w:rsidR="001F73D2" w:rsidRPr="00D60664">
        <w:t>passed</w:t>
      </w:r>
      <w:r w:rsidR="00EF5B56">
        <w:t xml:space="preserve"> in the United States</w:t>
      </w:r>
      <w:r w:rsidR="00072E76">
        <w:t>,</w:t>
      </w:r>
      <w:r w:rsidR="009307D5">
        <w:t xml:space="preserve"> where the CRPD is of </w:t>
      </w:r>
      <w:r w:rsidR="004D0B42">
        <w:t>questionable relevance due to the fact that this country h</w:t>
      </w:r>
      <w:r w:rsidR="001E2C3D">
        <w:t xml:space="preserve">as </w:t>
      </w:r>
      <w:r w:rsidR="00A2134A">
        <w:t>not ratified th</w:t>
      </w:r>
      <w:r w:rsidR="00940C21">
        <w:t>is Convention</w:t>
      </w:r>
      <w:r w:rsidR="00BD01C1">
        <w:t>.</w:t>
      </w:r>
      <w:proofErr w:type="gramEnd"/>
      <w:r w:rsidR="0069098D">
        <w:t xml:space="preserve"> </w:t>
      </w:r>
    </w:p>
    <w:p w14:paraId="548D7542" w14:textId="77777777" w:rsidR="008B2679" w:rsidRDefault="008B2679">
      <w:pPr>
        <w:rPr>
          <w:highlight w:val="lightGray"/>
        </w:rPr>
      </w:pPr>
    </w:p>
    <w:p w14:paraId="3592F97D" w14:textId="09ED6C3A" w:rsidR="0019107C" w:rsidRPr="00B26C73" w:rsidRDefault="005A098B">
      <w:r w:rsidRPr="00ED3BFF">
        <w:t xml:space="preserve">It should also be </w:t>
      </w:r>
      <w:r w:rsidR="002549AE" w:rsidRPr="00ED3BFF">
        <w:t>clarified</w:t>
      </w:r>
      <w:r w:rsidRPr="00ED3BFF">
        <w:t xml:space="preserve"> </w:t>
      </w:r>
      <w:r w:rsidR="003C28C0" w:rsidRPr="00ED3BFF">
        <w:t>that while</w:t>
      </w:r>
      <w:r w:rsidRPr="00ED3BFF">
        <w:t xml:space="preserve"> </w:t>
      </w:r>
      <w:r w:rsidR="00746AAF" w:rsidRPr="00ED3BFF">
        <w:t xml:space="preserve">some forms of </w:t>
      </w:r>
      <w:r w:rsidRPr="00ED3BFF">
        <w:t>supported decision-making</w:t>
      </w:r>
      <w:r w:rsidR="00F65245" w:rsidRPr="00ED3BFF">
        <w:t xml:space="preserve"> may </w:t>
      </w:r>
      <w:r w:rsidR="00746AAF" w:rsidRPr="00ED3BFF">
        <w:t>function on an informal basis without any particular legal regulation</w:t>
      </w:r>
      <w:r w:rsidR="007A3E9D" w:rsidRPr="00ED3BFF">
        <w:t xml:space="preserve">, this paper will focus on </w:t>
      </w:r>
      <w:r w:rsidR="00693248" w:rsidRPr="00ED3BFF">
        <w:t>formal regimes of supported decision-making that are provided for by legislation.</w:t>
      </w:r>
      <w:r w:rsidR="00693248" w:rsidRPr="00ED3BFF">
        <w:rPr>
          <w:rStyle w:val="FootnoteReference"/>
        </w:rPr>
        <w:footnoteReference w:id="14"/>
      </w:r>
      <w:r w:rsidR="003F5E87" w:rsidRPr="00ED3BFF">
        <w:t xml:space="preserve"> The UN Committee on the Rights of Persons with Disabilities </w:t>
      </w:r>
      <w:r w:rsidR="003647BB" w:rsidRPr="00ED3BFF">
        <w:t xml:space="preserve">has </w:t>
      </w:r>
      <w:proofErr w:type="gramStart"/>
      <w:r w:rsidR="007136EA" w:rsidRPr="00ED3BFF">
        <w:t>declared that</w:t>
      </w:r>
      <w:proofErr w:type="gramEnd"/>
      <w:r w:rsidR="007136EA" w:rsidRPr="00ED3BFF">
        <w:t xml:space="preserve"> </w:t>
      </w:r>
      <w:r w:rsidR="00C703F5" w:rsidRPr="00ED3BFF">
        <w:t>“legal recognition of the support person(s)</w:t>
      </w:r>
      <w:r w:rsidR="00D05AD5" w:rsidRPr="00ED3BFF">
        <w:t xml:space="preserve"> formally chosen by a person must be made available and accessible.”</w:t>
      </w:r>
      <w:r w:rsidR="00D05AD5" w:rsidRPr="00ED3BFF">
        <w:rPr>
          <w:rStyle w:val="FootnoteReference"/>
        </w:rPr>
        <w:footnoteReference w:id="15"/>
      </w:r>
      <w:r w:rsidR="00523D3C" w:rsidRPr="00ED3BFF">
        <w:t xml:space="preserve"> Then et al. affirm that </w:t>
      </w:r>
      <w:r w:rsidR="00DA78C4" w:rsidRPr="00ED3BFF">
        <w:t>although there</w:t>
      </w:r>
      <w:r w:rsidR="002B1696" w:rsidRPr="00ED3BFF">
        <w:t xml:space="preserve"> is a</w:t>
      </w:r>
      <w:r w:rsidR="00523D3C" w:rsidRPr="00ED3BFF">
        <w:t xml:space="preserve"> “growing body of academic literature devoted to </w:t>
      </w:r>
      <w:r w:rsidR="002E37EB" w:rsidRPr="00ED3BFF">
        <w:t>[supported decision-making]</w:t>
      </w:r>
      <w:r w:rsidR="00523D3C" w:rsidRPr="00ED3BFF">
        <w:t xml:space="preserve"> and the desirability of the practical process </w:t>
      </w:r>
      <w:r w:rsidR="00E37299" w:rsidRPr="00ED3BFF">
        <w:t>is</w:t>
      </w:r>
      <w:r w:rsidR="005728E0" w:rsidRPr="00ED3BFF">
        <w:t xml:space="preserve"> recogni</w:t>
      </w:r>
      <w:r w:rsidR="000816DA" w:rsidRPr="00ED3BFF">
        <w:t>se</w:t>
      </w:r>
      <w:r w:rsidR="005728E0" w:rsidRPr="00ED3BFF">
        <w:t>d in many policies of government and non-government bodies</w:t>
      </w:r>
      <w:r w:rsidR="00C3397A" w:rsidRPr="00ED3BFF">
        <w:t xml:space="preserve">,” </w:t>
      </w:r>
      <w:r w:rsidR="005202E5" w:rsidRPr="00ED3BFF">
        <w:t xml:space="preserve">[…] </w:t>
      </w:r>
      <w:r w:rsidR="00DB17DD" w:rsidRPr="00ED3BFF">
        <w:rPr>
          <w:i/>
        </w:rPr>
        <w:t xml:space="preserve">legal </w:t>
      </w:r>
      <w:r w:rsidR="00DB17DD" w:rsidRPr="00ED3BFF">
        <w:t>recognition of supported decision-making is less prevalent, although is steadily increasing.”</w:t>
      </w:r>
      <w:r w:rsidR="00201AE3" w:rsidRPr="00ED3BFF">
        <w:rPr>
          <w:rStyle w:val="FootnoteReference"/>
        </w:rPr>
        <w:footnoteReference w:id="16"/>
      </w:r>
      <w:r w:rsidR="00D45337" w:rsidRPr="00ED3BFF">
        <w:t xml:space="preserve"> </w:t>
      </w:r>
      <w:r w:rsidR="000A07D7" w:rsidRPr="00ED3BFF">
        <w:t xml:space="preserve">Many of the reforms outlined in this report </w:t>
      </w:r>
      <w:proofErr w:type="gramStart"/>
      <w:r w:rsidR="000A07D7" w:rsidRPr="00ED3BFF">
        <w:t xml:space="preserve">have </w:t>
      </w:r>
      <w:r w:rsidR="0000300D" w:rsidRPr="00ED3BFF">
        <w:t>indeed</w:t>
      </w:r>
      <w:r w:rsidR="000A07D7" w:rsidRPr="00ED3BFF">
        <w:t xml:space="preserve"> been enacted</w:t>
      </w:r>
      <w:proofErr w:type="gramEnd"/>
      <w:r w:rsidR="00012B76" w:rsidRPr="00ED3BFF">
        <w:t xml:space="preserve"> very</w:t>
      </w:r>
      <w:r w:rsidR="00722717" w:rsidRPr="00ED3BFF">
        <w:t xml:space="preserve"> r</w:t>
      </w:r>
      <w:r w:rsidR="00743B22" w:rsidRPr="00ED3BFF">
        <w:t>ecently</w:t>
      </w:r>
      <w:r w:rsidR="004A5A3B" w:rsidRPr="00ED3BFF">
        <w:t>. T</w:t>
      </w:r>
      <w:r w:rsidR="00743B22" w:rsidRPr="00ED3BFF">
        <w:t xml:space="preserve">his is </w:t>
      </w:r>
      <w:r w:rsidR="000D52A7" w:rsidRPr="00ED3BFF">
        <w:t>a legislative area</w:t>
      </w:r>
      <w:r w:rsidR="00C309EC" w:rsidRPr="00ED3BFF">
        <w:t xml:space="preserve"> that has</w:t>
      </w:r>
      <w:r w:rsidR="000D52A7" w:rsidRPr="00ED3BFF">
        <w:t xml:space="preserve"> </w:t>
      </w:r>
      <w:r w:rsidR="000C564E" w:rsidRPr="00ED3BFF">
        <w:t>underg</w:t>
      </w:r>
      <w:r w:rsidR="00872AB4" w:rsidRPr="00ED3BFF">
        <w:t xml:space="preserve">one </w:t>
      </w:r>
      <w:r w:rsidR="000C564E" w:rsidRPr="00ED3BFF">
        <w:t>great transformation worldwide</w:t>
      </w:r>
      <w:r w:rsidR="000A6086" w:rsidRPr="00ED3BFF">
        <w:t xml:space="preserve"> of late</w:t>
      </w:r>
      <w:r w:rsidR="000C564E" w:rsidRPr="00ED3BFF">
        <w:t>.</w:t>
      </w:r>
      <w:r w:rsidR="000D7DFC" w:rsidRPr="00ED3BFF">
        <w:t xml:space="preserve"> </w:t>
      </w:r>
      <w:r w:rsidR="00075C11">
        <w:t>Moreover, some legislative reform</w:t>
      </w:r>
      <w:r w:rsidR="00177F19">
        <w:t xml:space="preserve">s </w:t>
      </w:r>
      <w:r w:rsidR="00075C11">
        <w:t>in this field are still underway</w:t>
      </w:r>
      <w:r w:rsidR="00E2048B">
        <w:t xml:space="preserve">, having yet to </w:t>
      </w:r>
      <w:proofErr w:type="gramStart"/>
      <w:r w:rsidR="00E2048B">
        <w:t xml:space="preserve">be successfully </w:t>
      </w:r>
      <w:r w:rsidR="00FF4AC5">
        <w:t>passed</w:t>
      </w:r>
      <w:proofErr w:type="gramEnd"/>
      <w:r w:rsidR="00FF4AC5">
        <w:t xml:space="preserve"> into law. </w:t>
      </w:r>
      <w:r w:rsidR="00B26C73">
        <w:t xml:space="preserve">This is the case in </w:t>
      </w:r>
      <w:r w:rsidR="00CC723A">
        <w:t>Colombia</w:t>
      </w:r>
      <w:r w:rsidR="00561B6B">
        <w:t xml:space="preserve">, where a </w:t>
      </w:r>
      <w:r w:rsidR="00FB3749">
        <w:t>bill</w:t>
      </w:r>
      <w:r w:rsidR="00561B6B">
        <w:t xml:space="preserve"> </w:t>
      </w:r>
      <w:r w:rsidR="00286076">
        <w:t xml:space="preserve">that would </w:t>
      </w:r>
      <w:r w:rsidR="0051626C">
        <w:t xml:space="preserve">recognize universal legal capacity for all persons with disabilities, abolish guardianship, and </w:t>
      </w:r>
      <w:r w:rsidR="00255812">
        <w:t xml:space="preserve">introduce supported decision-making </w:t>
      </w:r>
      <w:r w:rsidR="00CC09E4">
        <w:t>awaits sanction by the President.</w:t>
      </w:r>
      <w:bookmarkStart w:id="3" w:name="_Ref15651291"/>
      <w:r w:rsidR="0083706C">
        <w:rPr>
          <w:rStyle w:val="FootnoteReference"/>
        </w:rPr>
        <w:footnoteReference w:id="17"/>
      </w:r>
      <w:bookmarkEnd w:id="3"/>
    </w:p>
    <w:p w14:paraId="20610BAE" w14:textId="4609E335" w:rsidR="00F90D0F" w:rsidRDefault="00F90D0F">
      <w:pPr>
        <w:rPr>
          <w:highlight w:val="lightGray"/>
        </w:rPr>
      </w:pPr>
    </w:p>
    <w:p w14:paraId="045E4FA9" w14:textId="6B151FFE" w:rsidR="00F90D0F" w:rsidRPr="005B2469" w:rsidRDefault="00320D43">
      <w:r>
        <w:lastRenderedPageBreak/>
        <w:t xml:space="preserve">This report attempts to provide an overview </w:t>
      </w:r>
      <w:r w:rsidR="00962C92">
        <w:t xml:space="preserve">of the </w:t>
      </w:r>
      <w:r w:rsidR="005E345F">
        <w:t xml:space="preserve">substantive content of </w:t>
      </w:r>
      <w:r w:rsidR="00D216FD">
        <w:t xml:space="preserve">several recent </w:t>
      </w:r>
      <w:r w:rsidR="004369B1">
        <w:t>legislative</w:t>
      </w:r>
      <w:r w:rsidR="00D216FD">
        <w:t xml:space="preserve"> reform</w:t>
      </w:r>
      <w:r w:rsidR="00513D98">
        <w:t xml:space="preserve">s </w:t>
      </w:r>
      <w:r w:rsidR="00D216FD">
        <w:t xml:space="preserve">in this field. </w:t>
      </w:r>
      <w:r w:rsidR="007B5274">
        <w:t>For each jurisdiction discussed, the report will provide a description of the legislative history</w:t>
      </w:r>
      <w:r w:rsidR="00F36AAC">
        <w:t>,</w:t>
      </w:r>
      <w:r w:rsidR="00B41E80">
        <w:t xml:space="preserve"> </w:t>
      </w:r>
      <w:r w:rsidR="00C90754">
        <w:t xml:space="preserve">with a special emphasis on the relevant local </w:t>
      </w:r>
      <w:proofErr w:type="spellStart"/>
      <w:r w:rsidR="00C90754">
        <w:t>changemakers</w:t>
      </w:r>
      <w:proofErr w:type="spellEnd"/>
      <w:r w:rsidR="00724C45">
        <w:t xml:space="preserve"> that played an active role in the </w:t>
      </w:r>
      <w:r w:rsidR="00770FFF">
        <w:t>reform</w:t>
      </w:r>
      <w:r w:rsidR="00724C45">
        <w:t xml:space="preserve"> process</w:t>
      </w:r>
      <w:r w:rsidR="00C90754">
        <w:t xml:space="preserve">. </w:t>
      </w:r>
      <w:r w:rsidR="00FC3331">
        <w:t xml:space="preserve">The </w:t>
      </w:r>
      <w:r w:rsidR="00F24F4D">
        <w:t>substance</w:t>
      </w:r>
      <w:r w:rsidR="00FC3331">
        <w:t xml:space="preserve"> of each legislative reform</w:t>
      </w:r>
      <w:r w:rsidR="00265C51">
        <w:t xml:space="preserve"> </w:t>
      </w:r>
      <w:proofErr w:type="gramStart"/>
      <w:r w:rsidR="00265C51">
        <w:t xml:space="preserve">will also be </w:t>
      </w:r>
      <w:r w:rsidR="00450552">
        <w:t>presented</w:t>
      </w:r>
      <w:proofErr w:type="gramEnd"/>
      <w:r w:rsidR="00C5667F">
        <w:t xml:space="preserve">, with a focus </w:t>
      </w:r>
      <w:r w:rsidR="00A9659C">
        <w:t>on</w:t>
      </w:r>
      <w:r w:rsidR="00E22261">
        <w:t xml:space="preserve"> </w:t>
      </w:r>
      <w:r w:rsidR="00C14F2E">
        <w:t>the</w:t>
      </w:r>
      <w:r w:rsidR="004847A0">
        <w:t xml:space="preserve"> details of the</w:t>
      </w:r>
      <w:r w:rsidR="00CA5360">
        <w:t xml:space="preserve"> particular</w:t>
      </w:r>
      <w:r w:rsidR="00C14F2E">
        <w:t xml:space="preserve"> supported decision-making </w:t>
      </w:r>
      <w:r w:rsidR="00324544">
        <w:t>schemes</w:t>
      </w:r>
      <w:r w:rsidR="00781554">
        <w:t xml:space="preserve"> contemplated</w:t>
      </w:r>
      <w:r w:rsidR="004847A0">
        <w:t>.</w:t>
      </w:r>
      <w:r w:rsidR="00BE591F">
        <w:t xml:space="preserve"> </w:t>
      </w:r>
      <w:r w:rsidR="00F37BAF">
        <w:t xml:space="preserve">The report will also discuss </w:t>
      </w:r>
      <w:r w:rsidR="00817A22">
        <w:t xml:space="preserve">the </w:t>
      </w:r>
      <w:r w:rsidR="001641F8">
        <w:t>degree to which</w:t>
      </w:r>
      <w:r w:rsidR="000B7D66">
        <w:t xml:space="preserve"> </w:t>
      </w:r>
      <w:r w:rsidR="00B2519B">
        <w:t>each</w:t>
      </w:r>
      <w:r w:rsidR="00C126D2">
        <w:t xml:space="preserve"> law</w:t>
      </w:r>
      <w:r w:rsidR="00AE486C">
        <w:t xml:space="preserve"> conforms</w:t>
      </w:r>
      <w:r w:rsidR="00275CF4">
        <w:t xml:space="preserve"> </w:t>
      </w:r>
      <w:r w:rsidR="004B7E36">
        <w:t>to</w:t>
      </w:r>
      <w:r w:rsidR="00942C2B">
        <w:t xml:space="preserve"> Article 12 of the CRPD. Finally, </w:t>
      </w:r>
      <w:r w:rsidR="00A92159">
        <w:t>the</w:t>
      </w:r>
      <w:r w:rsidR="00942C2B">
        <w:t xml:space="preserve"> discussion section</w:t>
      </w:r>
      <w:r w:rsidR="00C22A7D">
        <w:t xml:space="preserve"> </w:t>
      </w:r>
      <w:r w:rsidR="00061E50">
        <w:t>reflect</w:t>
      </w:r>
      <w:r w:rsidR="00C64021">
        <w:t>s</w:t>
      </w:r>
      <w:r w:rsidR="00061E50">
        <w:t xml:space="preserve"> upon</w:t>
      </w:r>
      <w:r w:rsidR="005158A8">
        <w:t xml:space="preserve"> </w:t>
      </w:r>
      <w:r w:rsidR="00DC17C6">
        <w:t xml:space="preserve">common themes </w:t>
      </w:r>
      <w:r w:rsidR="00F0107F">
        <w:t>discerned</w:t>
      </w:r>
      <w:r w:rsidR="00C54B7D">
        <w:t xml:space="preserve"> </w:t>
      </w:r>
      <w:r w:rsidR="00733A3D">
        <w:t>among</w:t>
      </w:r>
      <w:r w:rsidR="00E50288">
        <w:t xml:space="preserve"> </w:t>
      </w:r>
      <w:r w:rsidR="00781A35">
        <w:t xml:space="preserve">the </w:t>
      </w:r>
      <w:r w:rsidR="00C65D18">
        <w:t>legislative schemes</w:t>
      </w:r>
      <w:r w:rsidR="00733A3D">
        <w:t xml:space="preserve"> reviewed</w:t>
      </w:r>
      <w:r w:rsidR="00C65D18">
        <w:t xml:space="preserve">, while </w:t>
      </w:r>
      <w:r w:rsidR="00BF2711">
        <w:t xml:space="preserve">also </w:t>
      </w:r>
      <w:r w:rsidR="00C65D18">
        <w:t>highlighting some particularly innovative approaches</w:t>
      </w:r>
      <w:r w:rsidR="00C65D18" w:rsidRPr="007546FD">
        <w:t>.</w:t>
      </w:r>
      <w:r w:rsidR="00226430" w:rsidRPr="007546FD">
        <w:t xml:space="preserve"> </w:t>
      </w:r>
      <w:r w:rsidR="003C55D5" w:rsidRPr="007546FD">
        <w:t>An</w:t>
      </w:r>
      <w:r w:rsidR="00226430" w:rsidRPr="007546FD">
        <w:t xml:space="preserve"> </w:t>
      </w:r>
      <w:r w:rsidR="006F0DED" w:rsidRPr="007546FD">
        <w:t>analysis</w:t>
      </w:r>
      <w:r w:rsidR="00226430" w:rsidRPr="007546FD">
        <w:t xml:space="preserve"> of</w:t>
      </w:r>
      <w:r w:rsidR="00613A0B" w:rsidRPr="007546FD">
        <w:t xml:space="preserve"> </w:t>
      </w:r>
      <w:r w:rsidR="0099525A" w:rsidRPr="007546FD">
        <w:t>different</w:t>
      </w:r>
      <w:r w:rsidR="00C91FDA" w:rsidRPr="007546FD">
        <w:t xml:space="preserve"> legislative </w:t>
      </w:r>
      <w:r w:rsidR="00A07334" w:rsidRPr="007546FD">
        <w:t>initiatives</w:t>
      </w:r>
      <w:r w:rsidR="00C91FDA" w:rsidRPr="007546FD">
        <w:t xml:space="preserve"> in this </w:t>
      </w:r>
      <w:r w:rsidR="00232A15" w:rsidRPr="007546FD">
        <w:t xml:space="preserve">field provides an opportunity for </w:t>
      </w:r>
      <w:r w:rsidR="00A07334" w:rsidRPr="007546FD">
        <w:t xml:space="preserve">intra-jurisdictional </w:t>
      </w:r>
      <w:r w:rsidR="00A86741" w:rsidRPr="007546FD">
        <w:t>comparison</w:t>
      </w:r>
      <w:r w:rsidR="003524BA" w:rsidRPr="007546FD">
        <w:t xml:space="preserve"> and has the potential to catalyze</w:t>
      </w:r>
      <w:r w:rsidR="005F78D2" w:rsidRPr="007546FD">
        <w:t xml:space="preserve"> </w:t>
      </w:r>
      <w:r w:rsidR="00A247EC" w:rsidRPr="007546FD">
        <w:t>mutual learning and</w:t>
      </w:r>
      <w:r w:rsidR="003524BA" w:rsidRPr="007546FD">
        <w:t xml:space="preserve"> the sharing of best practices </w:t>
      </w:r>
      <w:r w:rsidR="000F7801" w:rsidRPr="007546FD">
        <w:t>on the international stage.</w:t>
      </w:r>
    </w:p>
    <w:p w14:paraId="4BA9C267" w14:textId="77777777" w:rsidR="006B119A" w:rsidRDefault="006B119A"/>
    <w:p w14:paraId="0BDB993C" w14:textId="77777777" w:rsidR="00B24A3D" w:rsidRDefault="00B24A3D">
      <w:pPr>
        <w:rPr>
          <w:b/>
          <w:bCs/>
          <w:kern w:val="36"/>
          <w:sz w:val="48"/>
          <w:szCs w:val="48"/>
        </w:rPr>
      </w:pPr>
      <w:r>
        <w:br w:type="page"/>
      </w:r>
    </w:p>
    <w:p w14:paraId="4D642741" w14:textId="2DC13424" w:rsidR="00E32AFC" w:rsidRDefault="00921273" w:rsidP="00921273">
      <w:pPr>
        <w:pStyle w:val="Heading1"/>
      </w:pPr>
      <w:bookmarkStart w:id="4" w:name="_Toc16081750"/>
      <w:r>
        <w:lastRenderedPageBreak/>
        <w:t>Overview</w:t>
      </w:r>
      <w:bookmarkEnd w:id="4"/>
    </w:p>
    <w:p w14:paraId="620154E5" w14:textId="5D71FABB" w:rsidR="001B1EBE" w:rsidRDefault="00B87000">
      <w:pPr>
        <w:rPr>
          <w:noProof/>
        </w:rPr>
      </w:pPr>
      <w:r w:rsidRPr="00B87000">
        <w:rPr>
          <w:noProof/>
          <w:lang w:val="en-US" w:bidi="bn-IN"/>
        </w:rPr>
        <w:drawing>
          <wp:anchor distT="0" distB="0" distL="114300" distR="114300" simplePos="0" relativeHeight="251658240" behindDoc="0" locked="0" layoutInCell="1" allowOverlap="1" wp14:anchorId="03732F83" wp14:editId="03258C50">
            <wp:simplePos x="0" y="0"/>
            <wp:positionH relativeFrom="column">
              <wp:posOffset>6059805</wp:posOffset>
            </wp:positionH>
            <wp:positionV relativeFrom="paragraph">
              <wp:posOffset>104128</wp:posOffset>
            </wp:positionV>
            <wp:extent cx="264160" cy="777240"/>
            <wp:effectExtent l="0" t="0" r="254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160" cy="777240"/>
                    </a:xfrm>
                    <a:prstGeom prst="rect">
                      <a:avLst/>
                    </a:prstGeom>
                  </pic:spPr>
                </pic:pic>
              </a:graphicData>
            </a:graphic>
            <wp14:sizeRelH relativeFrom="page">
              <wp14:pctWidth>0</wp14:pctWidth>
            </wp14:sizeRelH>
            <wp14:sizeRelV relativeFrom="page">
              <wp14:pctHeight>0</wp14:pctHeight>
            </wp14:sizeRelV>
          </wp:anchor>
        </w:drawing>
      </w:r>
      <w:r w:rsidR="002E58B0" w:rsidRPr="002E58B0">
        <w:rPr>
          <w:noProof/>
          <w:lang w:val="en-US" w:bidi="bn-IN"/>
        </w:rPr>
        <w:drawing>
          <wp:inline distT="0" distB="0" distL="0" distR="0" wp14:anchorId="6FDE3455" wp14:editId="409AABB9">
            <wp:extent cx="5943600" cy="679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67945"/>
                    </a:xfrm>
                    <a:prstGeom prst="rect">
                      <a:avLst/>
                    </a:prstGeom>
                  </pic:spPr>
                </pic:pic>
              </a:graphicData>
            </a:graphic>
          </wp:inline>
        </w:drawing>
      </w:r>
      <w:r w:rsidRPr="00B87000">
        <w:rPr>
          <w:noProof/>
        </w:rPr>
        <w:t xml:space="preserve"> </w:t>
      </w:r>
      <w:r w:rsidRPr="00B87000">
        <w:rPr>
          <w:noProof/>
          <w:lang w:val="en-US" w:bidi="bn-IN"/>
        </w:rPr>
        <w:drawing>
          <wp:inline distT="0" distB="0" distL="0" distR="0" wp14:anchorId="6ACBFFF6" wp14:editId="5D19A6D0">
            <wp:extent cx="5943600" cy="8223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822325"/>
                    </a:xfrm>
                    <a:prstGeom prst="rect">
                      <a:avLst/>
                    </a:prstGeom>
                  </pic:spPr>
                </pic:pic>
              </a:graphicData>
            </a:graphic>
          </wp:inline>
        </w:drawing>
      </w:r>
      <w:r w:rsidRPr="00B87000">
        <w:rPr>
          <w:noProof/>
        </w:rPr>
        <w:t xml:space="preserve"> </w:t>
      </w:r>
      <w:r w:rsidR="00377E39" w:rsidRPr="00377E39">
        <w:rPr>
          <w:noProof/>
          <w:lang w:val="en-US" w:bidi="bn-IN"/>
        </w:rPr>
        <w:drawing>
          <wp:inline distT="0" distB="0" distL="0" distR="0" wp14:anchorId="2002E000" wp14:editId="7ADFD8E0">
            <wp:extent cx="5943600" cy="16027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602740"/>
                    </a:xfrm>
                    <a:prstGeom prst="rect">
                      <a:avLst/>
                    </a:prstGeom>
                  </pic:spPr>
                </pic:pic>
              </a:graphicData>
            </a:graphic>
          </wp:inline>
        </w:drawing>
      </w:r>
      <w:r w:rsidR="00D219E9" w:rsidRPr="00D219E9">
        <w:rPr>
          <w:noProof/>
        </w:rPr>
        <w:t xml:space="preserve"> </w:t>
      </w:r>
      <w:r w:rsidR="00D219E9" w:rsidRPr="00D219E9">
        <w:rPr>
          <w:noProof/>
          <w:lang w:val="en-US" w:bidi="bn-IN"/>
        </w:rPr>
        <w:drawing>
          <wp:inline distT="0" distB="0" distL="0" distR="0" wp14:anchorId="2259E2B5" wp14:editId="6350952A">
            <wp:extent cx="594360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949325"/>
                    </a:xfrm>
                    <a:prstGeom prst="rect">
                      <a:avLst/>
                    </a:prstGeom>
                  </pic:spPr>
                </pic:pic>
              </a:graphicData>
            </a:graphic>
          </wp:inline>
        </w:drawing>
      </w:r>
      <w:r w:rsidR="001A6793" w:rsidRPr="001A6793">
        <w:rPr>
          <w:noProof/>
          <w:lang w:val="en-US" w:bidi="bn-IN"/>
        </w:rPr>
        <w:drawing>
          <wp:inline distT="0" distB="0" distL="0" distR="0" wp14:anchorId="36493178" wp14:editId="6CC8D33E">
            <wp:extent cx="5943600" cy="9493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949325"/>
                    </a:xfrm>
                    <a:prstGeom prst="rect">
                      <a:avLst/>
                    </a:prstGeom>
                  </pic:spPr>
                </pic:pic>
              </a:graphicData>
            </a:graphic>
          </wp:inline>
        </w:drawing>
      </w:r>
      <w:r w:rsidR="002F3796" w:rsidRPr="002F3796">
        <w:rPr>
          <w:noProof/>
          <w:lang w:val="en-US" w:bidi="bn-IN"/>
        </w:rPr>
        <w:drawing>
          <wp:inline distT="0" distB="0" distL="0" distR="0" wp14:anchorId="187BA403" wp14:editId="5B3DDEB7">
            <wp:extent cx="5943600" cy="13735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373505"/>
                    </a:xfrm>
                    <a:prstGeom prst="rect">
                      <a:avLst/>
                    </a:prstGeom>
                  </pic:spPr>
                </pic:pic>
              </a:graphicData>
            </a:graphic>
          </wp:inline>
        </w:drawing>
      </w:r>
      <w:r w:rsidR="00683032" w:rsidRPr="00683032">
        <w:rPr>
          <w:noProof/>
        </w:rPr>
        <w:t xml:space="preserve"> </w:t>
      </w:r>
      <w:r w:rsidR="00F52687" w:rsidRPr="00F52687">
        <w:rPr>
          <w:noProof/>
          <w:lang w:val="en-US" w:bidi="bn-IN"/>
        </w:rPr>
        <w:drawing>
          <wp:inline distT="0" distB="0" distL="0" distR="0" wp14:anchorId="78ACC52D" wp14:editId="6F9869CE">
            <wp:extent cx="5943600" cy="117856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178560"/>
                    </a:xfrm>
                    <a:prstGeom prst="rect">
                      <a:avLst/>
                    </a:prstGeom>
                  </pic:spPr>
                </pic:pic>
              </a:graphicData>
            </a:graphic>
          </wp:inline>
        </w:drawing>
      </w:r>
      <w:r w:rsidR="001B1EBE" w:rsidRPr="001B1EBE">
        <w:rPr>
          <w:noProof/>
        </w:rPr>
        <w:t xml:space="preserve"> </w:t>
      </w:r>
    </w:p>
    <w:p w14:paraId="18DA9277" w14:textId="77777777" w:rsidR="001B1EBE" w:rsidRDefault="001B1EBE"/>
    <w:p w14:paraId="4DBED0F3" w14:textId="77777777" w:rsidR="001B1EBE" w:rsidRDefault="001B1EBE"/>
    <w:p w14:paraId="7481218F" w14:textId="77777777" w:rsidR="001B1EBE" w:rsidRDefault="001B1EBE"/>
    <w:p w14:paraId="360C9964" w14:textId="702B4976" w:rsidR="00AD42E8" w:rsidRDefault="001B1EBE">
      <w:r w:rsidRPr="001B1EBE">
        <w:rPr>
          <w:noProof/>
          <w:lang w:val="en-US" w:bidi="bn-IN"/>
        </w:rPr>
        <w:lastRenderedPageBreak/>
        <w:drawing>
          <wp:inline distT="0" distB="0" distL="0" distR="0" wp14:anchorId="20316166" wp14:editId="58F36481">
            <wp:extent cx="5943600" cy="679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67945"/>
                    </a:xfrm>
                    <a:prstGeom prst="rect">
                      <a:avLst/>
                    </a:prstGeom>
                  </pic:spPr>
                </pic:pic>
              </a:graphicData>
            </a:graphic>
          </wp:inline>
        </w:drawing>
      </w:r>
      <w:r w:rsidR="00D85AC1" w:rsidRPr="00D85AC1">
        <w:rPr>
          <w:noProof/>
        </w:rPr>
        <w:t xml:space="preserve"> </w:t>
      </w:r>
      <w:r w:rsidR="00D85AC1" w:rsidRPr="00D85AC1">
        <w:rPr>
          <w:noProof/>
          <w:lang w:val="en-US" w:bidi="bn-IN"/>
        </w:rPr>
        <w:drawing>
          <wp:inline distT="0" distB="0" distL="0" distR="0" wp14:anchorId="40FB12F6" wp14:editId="031A9613">
            <wp:extent cx="5943600" cy="10852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085215"/>
                    </a:xfrm>
                    <a:prstGeom prst="rect">
                      <a:avLst/>
                    </a:prstGeom>
                  </pic:spPr>
                </pic:pic>
              </a:graphicData>
            </a:graphic>
          </wp:inline>
        </w:drawing>
      </w:r>
      <w:r w:rsidR="00606760" w:rsidRPr="00606760">
        <w:rPr>
          <w:noProof/>
        </w:rPr>
        <w:t xml:space="preserve"> </w:t>
      </w:r>
      <w:r w:rsidR="005854FD" w:rsidRPr="005854FD">
        <w:rPr>
          <w:noProof/>
          <w:lang w:val="en-US" w:bidi="bn-IN"/>
        </w:rPr>
        <w:drawing>
          <wp:inline distT="0" distB="0" distL="0" distR="0" wp14:anchorId="47AE38A4" wp14:editId="0C1377E9">
            <wp:extent cx="5943600" cy="12973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297305"/>
                    </a:xfrm>
                    <a:prstGeom prst="rect">
                      <a:avLst/>
                    </a:prstGeom>
                  </pic:spPr>
                </pic:pic>
              </a:graphicData>
            </a:graphic>
          </wp:inline>
        </w:drawing>
      </w:r>
    </w:p>
    <w:p w14:paraId="19983011" w14:textId="77777777" w:rsidR="00EE7290" w:rsidRDefault="00BA7006">
      <w:pPr>
        <w:rPr>
          <w:noProof/>
        </w:rPr>
      </w:pPr>
      <w:r w:rsidRPr="00BA7006">
        <w:rPr>
          <w:noProof/>
          <w:lang w:val="en-US" w:bidi="bn-IN"/>
        </w:rPr>
        <w:drawing>
          <wp:inline distT="0" distB="0" distL="0" distR="0" wp14:anchorId="7CED06FF" wp14:editId="7636C648">
            <wp:extent cx="5943600" cy="6527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652780"/>
                    </a:xfrm>
                    <a:prstGeom prst="rect">
                      <a:avLst/>
                    </a:prstGeom>
                  </pic:spPr>
                </pic:pic>
              </a:graphicData>
            </a:graphic>
          </wp:inline>
        </w:drawing>
      </w:r>
      <w:r w:rsidR="00460285" w:rsidRPr="00460285">
        <w:rPr>
          <w:noProof/>
        </w:rPr>
        <w:t xml:space="preserve"> </w:t>
      </w:r>
      <w:r w:rsidR="00460285" w:rsidRPr="00460285">
        <w:rPr>
          <w:noProof/>
          <w:lang w:val="en-US" w:bidi="bn-IN"/>
        </w:rPr>
        <w:drawing>
          <wp:inline distT="0" distB="0" distL="0" distR="0" wp14:anchorId="388A7DC2" wp14:editId="22D73ED1">
            <wp:extent cx="5943600" cy="5765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576580"/>
                    </a:xfrm>
                    <a:prstGeom prst="rect">
                      <a:avLst/>
                    </a:prstGeom>
                  </pic:spPr>
                </pic:pic>
              </a:graphicData>
            </a:graphic>
          </wp:inline>
        </w:drawing>
      </w:r>
      <w:r w:rsidR="00CE055B" w:rsidRPr="00CE055B">
        <w:rPr>
          <w:noProof/>
          <w:lang w:val="en-US" w:bidi="bn-IN"/>
        </w:rPr>
        <w:drawing>
          <wp:inline distT="0" distB="0" distL="0" distR="0" wp14:anchorId="5B9C1600" wp14:editId="0A3E8D57">
            <wp:extent cx="5943600" cy="10852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085215"/>
                    </a:xfrm>
                    <a:prstGeom prst="rect">
                      <a:avLst/>
                    </a:prstGeom>
                  </pic:spPr>
                </pic:pic>
              </a:graphicData>
            </a:graphic>
          </wp:inline>
        </w:drawing>
      </w:r>
      <w:r w:rsidR="000A7212" w:rsidRPr="000A7212">
        <w:rPr>
          <w:noProof/>
          <w:lang w:val="en-US" w:bidi="bn-IN"/>
        </w:rPr>
        <w:drawing>
          <wp:inline distT="0" distB="0" distL="0" distR="0" wp14:anchorId="1BE325D4" wp14:editId="1D7731F5">
            <wp:extent cx="5943600" cy="115316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153160"/>
                    </a:xfrm>
                    <a:prstGeom prst="rect">
                      <a:avLst/>
                    </a:prstGeom>
                  </pic:spPr>
                </pic:pic>
              </a:graphicData>
            </a:graphic>
          </wp:inline>
        </w:drawing>
      </w:r>
      <w:r w:rsidR="001639E6" w:rsidRPr="001639E6">
        <w:rPr>
          <w:noProof/>
          <w:lang w:val="en-US" w:bidi="bn-IN"/>
        </w:rPr>
        <w:drawing>
          <wp:inline distT="0" distB="0" distL="0" distR="0" wp14:anchorId="11B7BD49" wp14:editId="5F39AADD">
            <wp:extent cx="5943600" cy="16446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644650"/>
                    </a:xfrm>
                    <a:prstGeom prst="rect">
                      <a:avLst/>
                    </a:prstGeom>
                  </pic:spPr>
                </pic:pic>
              </a:graphicData>
            </a:graphic>
          </wp:inline>
        </w:drawing>
      </w:r>
      <w:r w:rsidR="00EE7290" w:rsidRPr="00EE7290">
        <w:rPr>
          <w:noProof/>
        </w:rPr>
        <w:t xml:space="preserve"> </w:t>
      </w:r>
    </w:p>
    <w:p w14:paraId="78EE74B4" w14:textId="77777777" w:rsidR="00EE7290" w:rsidRDefault="00EE7290"/>
    <w:p w14:paraId="7395D54A" w14:textId="77777777" w:rsidR="00EE7290" w:rsidRDefault="00EE7290"/>
    <w:p w14:paraId="4E148D47" w14:textId="77777777" w:rsidR="00EE7290" w:rsidRDefault="00EE7290"/>
    <w:p w14:paraId="4E62A872" w14:textId="56246A72" w:rsidR="00CE1E36" w:rsidRDefault="00EE7290">
      <w:r w:rsidRPr="00EE7290">
        <w:rPr>
          <w:noProof/>
          <w:lang w:val="en-US" w:bidi="bn-IN"/>
        </w:rPr>
        <w:lastRenderedPageBreak/>
        <w:drawing>
          <wp:inline distT="0" distB="0" distL="0" distR="0" wp14:anchorId="09458431" wp14:editId="6EC8DA3B">
            <wp:extent cx="5943600" cy="6794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67945"/>
                    </a:xfrm>
                    <a:prstGeom prst="rect">
                      <a:avLst/>
                    </a:prstGeom>
                  </pic:spPr>
                </pic:pic>
              </a:graphicData>
            </a:graphic>
          </wp:inline>
        </w:drawing>
      </w:r>
    </w:p>
    <w:p w14:paraId="202C059D" w14:textId="1ADC2905" w:rsidR="006521A7" w:rsidRDefault="00CE1E36">
      <w:pPr>
        <w:rPr>
          <w:b/>
          <w:bCs/>
          <w:kern w:val="36"/>
          <w:sz w:val="48"/>
          <w:szCs w:val="48"/>
        </w:rPr>
      </w:pPr>
      <w:r w:rsidRPr="00CE1E36">
        <w:rPr>
          <w:noProof/>
          <w:lang w:val="en-US" w:bidi="bn-IN"/>
        </w:rPr>
        <w:drawing>
          <wp:inline distT="0" distB="0" distL="0" distR="0" wp14:anchorId="049AD066" wp14:editId="03408DB5">
            <wp:extent cx="5943600" cy="173799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737995"/>
                    </a:xfrm>
                    <a:prstGeom prst="rect">
                      <a:avLst/>
                    </a:prstGeom>
                  </pic:spPr>
                </pic:pic>
              </a:graphicData>
            </a:graphic>
          </wp:inline>
        </w:drawing>
      </w:r>
      <w:r w:rsidR="00E65DBC" w:rsidRPr="00E65DBC">
        <w:rPr>
          <w:noProof/>
          <w:lang w:val="en-US" w:bidi="bn-IN"/>
        </w:rPr>
        <w:drawing>
          <wp:inline distT="0" distB="0" distL="0" distR="0" wp14:anchorId="19E3BB9D" wp14:editId="0BBF4122">
            <wp:extent cx="5943600" cy="16446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644650"/>
                    </a:xfrm>
                    <a:prstGeom prst="rect">
                      <a:avLst/>
                    </a:prstGeom>
                  </pic:spPr>
                </pic:pic>
              </a:graphicData>
            </a:graphic>
          </wp:inline>
        </w:drawing>
      </w:r>
      <w:r w:rsidR="0002125F" w:rsidRPr="0002125F">
        <w:rPr>
          <w:noProof/>
        </w:rPr>
        <w:t xml:space="preserve"> </w:t>
      </w:r>
      <w:r w:rsidR="0002125F" w:rsidRPr="0002125F">
        <w:rPr>
          <w:noProof/>
          <w:lang w:val="en-US" w:bidi="bn-IN"/>
        </w:rPr>
        <w:drawing>
          <wp:inline distT="0" distB="0" distL="0" distR="0" wp14:anchorId="79448DDD" wp14:editId="3A724A90">
            <wp:extent cx="5943600" cy="15773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577340"/>
                    </a:xfrm>
                    <a:prstGeom prst="rect">
                      <a:avLst/>
                    </a:prstGeom>
                  </pic:spPr>
                </pic:pic>
              </a:graphicData>
            </a:graphic>
          </wp:inline>
        </w:drawing>
      </w:r>
      <w:r w:rsidR="00FC7C23" w:rsidRPr="00FC7C23">
        <w:rPr>
          <w:noProof/>
        </w:rPr>
        <w:t xml:space="preserve"> </w:t>
      </w:r>
      <w:bookmarkStart w:id="5" w:name="_GoBack"/>
      <w:r w:rsidR="00FC7C23" w:rsidRPr="00FC7C23">
        <w:rPr>
          <w:noProof/>
          <w:lang w:val="en-US" w:bidi="bn-IN"/>
        </w:rPr>
        <w:drawing>
          <wp:inline distT="0" distB="0" distL="0" distR="0" wp14:anchorId="29652F0D" wp14:editId="0D92237F">
            <wp:extent cx="5943600" cy="10852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085215"/>
                    </a:xfrm>
                    <a:prstGeom prst="rect">
                      <a:avLst/>
                    </a:prstGeom>
                  </pic:spPr>
                </pic:pic>
              </a:graphicData>
            </a:graphic>
          </wp:inline>
        </w:drawing>
      </w:r>
      <w:bookmarkEnd w:id="5"/>
      <w:r w:rsidR="00FB708B" w:rsidRPr="00FB708B">
        <w:rPr>
          <w:noProof/>
        </w:rPr>
        <w:t xml:space="preserve"> </w:t>
      </w:r>
      <w:r w:rsidR="00FB708B" w:rsidRPr="00FB708B">
        <w:rPr>
          <w:noProof/>
          <w:lang w:val="en-US" w:bidi="bn-IN"/>
        </w:rPr>
        <w:drawing>
          <wp:inline distT="0" distB="0" distL="0" distR="0" wp14:anchorId="47559E0C" wp14:editId="31D8C598">
            <wp:extent cx="5943600" cy="15773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577340"/>
                    </a:xfrm>
                    <a:prstGeom prst="rect">
                      <a:avLst/>
                    </a:prstGeom>
                  </pic:spPr>
                </pic:pic>
              </a:graphicData>
            </a:graphic>
          </wp:inline>
        </w:drawing>
      </w:r>
      <w:r w:rsidR="006521A7">
        <w:br w:type="page"/>
      </w:r>
    </w:p>
    <w:p w14:paraId="315F5D34" w14:textId="4787788A" w:rsidR="003B4D98" w:rsidRPr="002A28E1" w:rsidRDefault="003B4D98" w:rsidP="00B45F8E">
      <w:pPr>
        <w:pStyle w:val="Heading1"/>
      </w:pPr>
      <w:bookmarkStart w:id="6" w:name="_Toc16081751"/>
      <w:r w:rsidRPr="002A28E1">
        <w:lastRenderedPageBreak/>
        <w:t>Peru</w:t>
      </w:r>
      <w:bookmarkEnd w:id="6"/>
    </w:p>
    <w:p w14:paraId="610DF54B" w14:textId="29081F1B" w:rsidR="00577770" w:rsidRPr="002A28E1" w:rsidRDefault="00B40FDB">
      <w:r w:rsidRPr="002A28E1">
        <w:t xml:space="preserve">In September 2018, </w:t>
      </w:r>
      <w:r w:rsidR="00577770" w:rsidRPr="002A28E1">
        <w:t>the Peruvian Government issued a legislative decree recognizing and regulating the legal capacity of persons with disabilities.</w:t>
      </w:r>
      <w:bookmarkStart w:id="7" w:name="_Ref15295350"/>
      <w:r w:rsidR="00801249" w:rsidRPr="002A28E1">
        <w:rPr>
          <w:rStyle w:val="FootnoteReference"/>
        </w:rPr>
        <w:footnoteReference w:id="18"/>
      </w:r>
      <w:bookmarkEnd w:id="7"/>
      <w:r w:rsidR="00577770" w:rsidRPr="002A28E1">
        <w:t xml:space="preserve"> Legislative Decree No. 1384 </w:t>
      </w:r>
      <w:r w:rsidR="00A91474" w:rsidRPr="002A28E1">
        <w:t>institutes</w:t>
      </w:r>
      <w:r w:rsidR="00577770" w:rsidRPr="002A28E1">
        <w:t xml:space="preserve"> reforms to Peru’s Civil Code, Civil Procedural Code and Notary Act. It </w:t>
      </w:r>
      <w:r w:rsidR="00995F96" w:rsidRPr="002A28E1">
        <w:t>acknowledges</w:t>
      </w:r>
      <w:r w:rsidR="00577770" w:rsidRPr="002A28E1">
        <w:t xml:space="preserve"> full legal capacity for all persons with disabilities, </w:t>
      </w:r>
      <w:r w:rsidR="001747F2" w:rsidRPr="002A28E1">
        <w:t xml:space="preserve">eliminates </w:t>
      </w:r>
      <w:r w:rsidR="00B140A2" w:rsidRPr="002A28E1">
        <w:t>the former guardianship regime for persons with disabilities</w:t>
      </w:r>
      <w:r w:rsidR="00A5566B" w:rsidRPr="002A28E1">
        <w:t xml:space="preserve">, removes restrictions on legal capacity based on disability, and </w:t>
      </w:r>
      <w:r w:rsidR="00FE6CFE" w:rsidRPr="002A28E1">
        <w:t>establishes measures for supported decision-</w:t>
      </w:r>
      <w:r w:rsidR="00FE6CFE" w:rsidRPr="00E541A1">
        <w:t>making.</w:t>
      </w:r>
      <w:bookmarkStart w:id="8" w:name="_Ref15295303"/>
      <w:r w:rsidR="00EA73AC" w:rsidRPr="00E541A1">
        <w:rPr>
          <w:rStyle w:val="FootnoteReference"/>
        </w:rPr>
        <w:footnoteReference w:id="19"/>
      </w:r>
      <w:bookmarkEnd w:id="8"/>
      <w:r w:rsidR="00FE6CFE" w:rsidRPr="002A28E1">
        <w:t xml:space="preserve"> </w:t>
      </w:r>
      <w:r w:rsidR="00577770" w:rsidRPr="002A28E1">
        <w:t xml:space="preserve">  </w:t>
      </w:r>
    </w:p>
    <w:p w14:paraId="0D6F1166" w14:textId="4941987F" w:rsidR="00F33A88" w:rsidRPr="002A28E1" w:rsidRDefault="00F33A88"/>
    <w:p w14:paraId="016555BD" w14:textId="41D2230F" w:rsidR="00863A62" w:rsidRPr="002A28E1" w:rsidRDefault="00A539DF">
      <w:r w:rsidRPr="002A28E1">
        <w:t xml:space="preserve">Peru ratified the </w:t>
      </w:r>
      <w:r w:rsidR="00C128E1">
        <w:t>CRPD</w:t>
      </w:r>
      <w:r w:rsidRPr="002A28E1">
        <w:t xml:space="preserve"> in 2008.</w:t>
      </w:r>
      <w:bookmarkStart w:id="9" w:name="_Ref15297432"/>
      <w:r w:rsidR="00381D51" w:rsidRPr="002A28E1">
        <w:rPr>
          <w:rStyle w:val="FootnoteReference"/>
        </w:rPr>
        <w:footnoteReference w:id="20"/>
      </w:r>
      <w:bookmarkEnd w:id="9"/>
      <w:r w:rsidR="007849EA" w:rsidRPr="002A28E1">
        <w:t xml:space="preserve"> In 2008, Peruvian civil society organisations launched a citizen’s initiative for new</w:t>
      </w:r>
      <w:r w:rsidR="001871B2" w:rsidRPr="002A28E1">
        <w:t xml:space="preserve"> legal capacity</w:t>
      </w:r>
      <w:r w:rsidR="007849EA" w:rsidRPr="002A28E1">
        <w:t xml:space="preserve"> </w:t>
      </w:r>
      <w:r w:rsidR="001871B2" w:rsidRPr="002A28E1">
        <w:t>legislation pertaining to</w:t>
      </w:r>
      <w:r w:rsidR="007849EA" w:rsidRPr="002A28E1">
        <w:t xml:space="preserve"> persons with disabilities.</w:t>
      </w:r>
      <w:r w:rsidR="00167570">
        <w:rPr>
          <w:rStyle w:val="FootnoteReference"/>
        </w:rPr>
        <w:footnoteReference w:id="21"/>
      </w:r>
      <w:r w:rsidR="007849EA" w:rsidRPr="002A28E1">
        <w:t xml:space="preserve"> </w:t>
      </w:r>
      <w:r w:rsidR="001871B2" w:rsidRPr="002A28E1">
        <w:t>T</w:t>
      </w:r>
      <w:r w:rsidR="007849EA" w:rsidRPr="002A28E1">
        <w:t>he</w:t>
      </w:r>
      <w:r w:rsidR="008620F2" w:rsidRPr="002A28E1">
        <w:t xml:space="preserve">se </w:t>
      </w:r>
      <w:r w:rsidR="007849EA" w:rsidRPr="002A28E1">
        <w:t>efforts led to the enactment of</w:t>
      </w:r>
      <w:r w:rsidR="001871B2" w:rsidRPr="002A28E1">
        <w:t xml:space="preserve"> the 2012</w:t>
      </w:r>
      <w:r w:rsidR="007849EA" w:rsidRPr="002A28E1">
        <w:t xml:space="preserve"> General </w:t>
      </w:r>
      <w:r w:rsidR="001871B2" w:rsidRPr="002A28E1">
        <w:t>L</w:t>
      </w:r>
      <w:r w:rsidR="007849EA" w:rsidRPr="002A28E1">
        <w:t xml:space="preserve">aw on Persons with Disabilities </w:t>
      </w:r>
      <w:r w:rsidR="001871B2" w:rsidRPr="002A28E1">
        <w:t>(</w:t>
      </w:r>
      <w:r w:rsidR="007849EA" w:rsidRPr="002A28E1">
        <w:t>Law No. 29973</w:t>
      </w:r>
      <w:r w:rsidR="001871B2" w:rsidRPr="002A28E1">
        <w:t xml:space="preserve">), which guaranteed legal capacity </w:t>
      </w:r>
      <w:proofErr w:type="gramStart"/>
      <w:r w:rsidR="00856C7E" w:rsidRPr="002A28E1">
        <w:t>for</w:t>
      </w:r>
      <w:r w:rsidR="001871B2" w:rsidRPr="002A28E1">
        <w:t xml:space="preserve"> persons with disabilities on an equal basis with others</w:t>
      </w:r>
      <w:proofErr w:type="gramEnd"/>
      <w:r w:rsidR="001871B2" w:rsidRPr="002A28E1">
        <w:t>.</w:t>
      </w:r>
      <w:r w:rsidR="00CE006B">
        <w:rPr>
          <w:rStyle w:val="FootnoteReference"/>
        </w:rPr>
        <w:footnoteReference w:id="22"/>
      </w:r>
      <w:r w:rsidR="001871B2" w:rsidRPr="002A28E1">
        <w:t xml:space="preserve"> In order for this law to </w:t>
      </w:r>
      <w:proofErr w:type="gramStart"/>
      <w:r w:rsidR="001871B2" w:rsidRPr="002A28E1">
        <w:t>be fully implemented</w:t>
      </w:r>
      <w:proofErr w:type="gramEnd"/>
      <w:r w:rsidR="001871B2" w:rsidRPr="002A28E1">
        <w:t xml:space="preserve">, however, </w:t>
      </w:r>
      <w:r w:rsidR="00AD7F00" w:rsidRPr="002A28E1">
        <w:t>amendments</w:t>
      </w:r>
      <w:r w:rsidR="001871B2" w:rsidRPr="002A28E1">
        <w:t xml:space="preserve"> to the Peruvian Civil Code were </w:t>
      </w:r>
      <w:r w:rsidR="00386426" w:rsidRPr="002A28E1">
        <w:t>needed</w:t>
      </w:r>
      <w:r w:rsidR="00863A62" w:rsidRPr="002A28E1">
        <w:t xml:space="preserve">. Law No. 29973 </w:t>
      </w:r>
      <w:r w:rsidR="00976E90" w:rsidRPr="002A28E1">
        <w:t xml:space="preserve">thus </w:t>
      </w:r>
      <w:r w:rsidR="00863A62" w:rsidRPr="002A28E1">
        <w:t xml:space="preserve">called for the establishment of a </w:t>
      </w:r>
      <w:r w:rsidR="007050B5">
        <w:t>multi</w:t>
      </w:r>
      <w:r w:rsidR="00C13CB8">
        <w:t>-</w:t>
      </w:r>
      <w:r w:rsidR="007050B5">
        <w:t xml:space="preserve">stakeholder </w:t>
      </w:r>
      <w:r w:rsidR="00863A62" w:rsidRPr="002A28E1">
        <w:t xml:space="preserve">Special Committee </w:t>
      </w:r>
      <w:r w:rsidR="00A41D32">
        <w:t xml:space="preserve">in the Peruvian Congress </w:t>
      </w:r>
      <w:r w:rsidR="00ED7207" w:rsidRPr="002A28E1">
        <w:t>t</w:t>
      </w:r>
      <w:r w:rsidR="003E27C5" w:rsidRPr="002A28E1">
        <w:t xml:space="preserve">o </w:t>
      </w:r>
      <w:r w:rsidR="00EB038B" w:rsidRPr="002A28E1">
        <w:t xml:space="preserve">address </w:t>
      </w:r>
      <w:r w:rsidR="000E39A1" w:rsidRPr="002A28E1">
        <w:t xml:space="preserve">Civil Code </w:t>
      </w:r>
      <w:r w:rsidR="007B6624" w:rsidRPr="002A28E1">
        <w:t>reform.</w:t>
      </w:r>
      <w:r w:rsidR="009204BD">
        <w:rPr>
          <w:rStyle w:val="FootnoteReference"/>
        </w:rPr>
        <w:footnoteReference w:id="23"/>
      </w:r>
      <w:r w:rsidR="005823F3" w:rsidRPr="002A28E1">
        <w:t xml:space="preserve"> The Special Committee </w:t>
      </w:r>
      <w:r w:rsidR="00FA2B83" w:rsidRPr="002A28E1">
        <w:t xml:space="preserve">prepared </w:t>
      </w:r>
      <w:r w:rsidR="00555576" w:rsidRPr="002A28E1">
        <w:t xml:space="preserve">a draft </w:t>
      </w:r>
      <w:proofErr w:type="gramStart"/>
      <w:r w:rsidR="00555576" w:rsidRPr="002A28E1">
        <w:t xml:space="preserve">bill </w:t>
      </w:r>
      <w:r w:rsidR="007A0CC1" w:rsidRPr="002A28E1">
        <w:t>which</w:t>
      </w:r>
      <w:proofErr w:type="gramEnd"/>
      <w:r w:rsidR="007A0CC1" w:rsidRPr="002A28E1">
        <w:t xml:space="preserve"> was ultimately not adopted, </w:t>
      </w:r>
      <w:r w:rsidR="00D17FE7" w:rsidRPr="007546FD">
        <w:t xml:space="preserve">though </w:t>
      </w:r>
      <w:r w:rsidR="008D72B2" w:rsidRPr="007546FD">
        <w:t>it</w:t>
      </w:r>
      <w:r w:rsidR="0077209D" w:rsidRPr="007546FD">
        <w:t xml:space="preserve"> heavily </w:t>
      </w:r>
      <w:r w:rsidR="00587BE0" w:rsidRPr="007546FD">
        <w:t xml:space="preserve">inspired </w:t>
      </w:r>
      <w:r w:rsidR="00817A35" w:rsidRPr="007546FD">
        <w:t xml:space="preserve">a </w:t>
      </w:r>
      <w:r w:rsidR="00C67F96" w:rsidRPr="007546FD">
        <w:t xml:space="preserve">2016 </w:t>
      </w:r>
      <w:r w:rsidR="00817A35" w:rsidRPr="007546FD">
        <w:t xml:space="preserve">multi-party bill </w:t>
      </w:r>
      <w:r w:rsidR="00C51DE6" w:rsidRPr="007546FD">
        <w:t>drafted by civil society</w:t>
      </w:r>
      <w:r w:rsidR="00283291" w:rsidRPr="007546FD">
        <w:t xml:space="preserve">, </w:t>
      </w:r>
      <w:r w:rsidR="008C5238" w:rsidRPr="007546FD">
        <w:t>which</w:t>
      </w:r>
      <w:r w:rsidR="00E64553" w:rsidRPr="007546FD">
        <w:t xml:space="preserve"> then</w:t>
      </w:r>
      <w:r w:rsidR="008C5238" w:rsidRPr="007546FD">
        <w:t xml:space="preserve"> </w:t>
      </w:r>
      <w:r w:rsidR="00576E91" w:rsidRPr="007546FD">
        <w:t xml:space="preserve">served as the </w:t>
      </w:r>
      <w:r w:rsidR="005E2659" w:rsidRPr="007546FD">
        <w:t>major input</w:t>
      </w:r>
      <w:r w:rsidR="00D6624A" w:rsidRPr="007546FD">
        <w:t xml:space="preserve"> informing</w:t>
      </w:r>
      <w:r w:rsidR="00D053FD" w:rsidRPr="007546FD">
        <w:t xml:space="preserve"> the </w:t>
      </w:r>
      <w:r w:rsidR="00393954" w:rsidRPr="007546FD">
        <w:t xml:space="preserve">government’s </w:t>
      </w:r>
      <w:r w:rsidR="00D053FD" w:rsidRPr="007546FD">
        <w:t>2018 Legislative Decre</w:t>
      </w:r>
      <w:r w:rsidR="006D2494" w:rsidRPr="007546FD">
        <w:t>e.</w:t>
      </w:r>
      <w:r w:rsidR="00F85F94" w:rsidRPr="007546FD">
        <w:rPr>
          <w:rStyle w:val="FootnoteReference"/>
        </w:rPr>
        <w:footnoteReference w:id="24"/>
      </w:r>
    </w:p>
    <w:p w14:paraId="64366F7D" w14:textId="77777777" w:rsidR="00863A62" w:rsidRPr="002A28E1" w:rsidRDefault="00863A62"/>
    <w:p w14:paraId="74841866" w14:textId="6EA84D06" w:rsidR="00F33A88" w:rsidRPr="002A28E1" w:rsidRDefault="00827153">
      <w:proofErr w:type="spellStart"/>
      <w:r w:rsidRPr="002A28E1">
        <w:t>Sodis-Sociedad</w:t>
      </w:r>
      <w:proofErr w:type="spellEnd"/>
      <w:r w:rsidRPr="002A28E1">
        <w:t xml:space="preserve"> y </w:t>
      </w:r>
      <w:proofErr w:type="spellStart"/>
      <w:r w:rsidRPr="002A28E1">
        <w:t>Discapacidad</w:t>
      </w:r>
      <w:proofErr w:type="spellEnd"/>
      <w:r w:rsidRPr="002A28E1">
        <w:t xml:space="preserve"> (Society and Disability) </w:t>
      </w:r>
      <w:r w:rsidR="003106ED" w:rsidRPr="002A28E1">
        <w:t>is</w:t>
      </w:r>
      <w:r w:rsidR="000A564C" w:rsidRPr="002A28E1">
        <w:t xml:space="preserve"> the </w:t>
      </w:r>
      <w:r w:rsidR="001F4835" w:rsidRPr="002A28E1">
        <w:t xml:space="preserve">non-governmental </w:t>
      </w:r>
      <w:r w:rsidR="000A564C" w:rsidRPr="002A28E1">
        <w:t xml:space="preserve">organisation </w:t>
      </w:r>
      <w:r w:rsidR="003F6A95" w:rsidRPr="002A28E1">
        <w:t xml:space="preserve">that </w:t>
      </w:r>
      <w:proofErr w:type="gramStart"/>
      <w:r w:rsidR="00D01C71" w:rsidRPr="002A28E1">
        <w:t>is seen</w:t>
      </w:r>
      <w:proofErr w:type="gramEnd"/>
      <w:r w:rsidR="00E87633" w:rsidRPr="002A28E1">
        <w:t xml:space="preserve"> to have</w:t>
      </w:r>
      <w:r w:rsidR="00D01C71" w:rsidRPr="002A28E1">
        <w:t xml:space="preserve"> </w:t>
      </w:r>
      <w:r w:rsidR="00D658D8" w:rsidRPr="002A28E1">
        <w:t xml:space="preserve">catalyzed </w:t>
      </w:r>
      <w:r w:rsidR="00B07AAA" w:rsidRPr="002A28E1">
        <w:t>Peru’s legal capacity reform.</w:t>
      </w:r>
      <w:r w:rsidR="00942B50" w:rsidRPr="002A28E1">
        <w:t xml:space="preserve"> </w:t>
      </w:r>
      <w:proofErr w:type="spellStart"/>
      <w:r w:rsidR="006930A2" w:rsidRPr="002A28E1">
        <w:t>Sodis</w:t>
      </w:r>
      <w:proofErr w:type="spellEnd"/>
      <w:r w:rsidR="00B07AAA" w:rsidRPr="002A28E1">
        <w:t xml:space="preserve"> </w:t>
      </w:r>
      <w:r w:rsidR="00470EBC" w:rsidRPr="002A28E1">
        <w:t>organized</w:t>
      </w:r>
      <w:r w:rsidR="00B07AAA" w:rsidRPr="002A28E1">
        <w:t xml:space="preserve"> a </w:t>
      </w:r>
      <w:proofErr w:type="gramStart"/>
      <w:r w:rsidR="00B07AAA" w:rsidRPr="002A28E1">
        <w:t>coalition</w:t>
      </w:r>
      <w:r w:rsidR="0036615E" w:rsidRPr="002A28E1">
        <w:t xml:space="preserve"> </w:t>
      </w:r>
      <w:r w:rsidR="00642594" w:rsidRPr="002A28E1">
        <w:t>which</w:t>
      </w:r>
      <w:proofErr w:type="gramEnd"/>
      <w:r w:rsidR="00642594" w:rsidRPr="002A28E1">
        <w:t xml:space="preserve"> assembled</w:t>
      </w:r>
      <w:r w:rsidR="009C4EED" w:rsidRPr="002A28E1">
        <w:t xml:space="preserve"> Peru’s central disability platform</w:t>
      </w:r>
      <w:r w:rsidR="001C40A6" w:rsidRPr="002A28E1">
        <w:t xml:space="preserve">, </w:t>
      </w:r>
      <w:r w:rsidR="009C4EED" w:rsidRPr="002A28E1">
        <w:t>academics</w:t>
      </w:r>
      <w:r w:rsidR="001C40A6" w:rsidRPr="002A28E1">
        <w:t>, as well as</w:t>
      </w:r>
      <w:r w:rsidR="00642594" w:rsidRPr="002A28E1">
        <w:t xml:space="preserve"> </w:t>
      </w:r>
      <w:r w:rsidR="00EF7EFB" w:rsidRPr="002A28E1">
        <w:t xml:space="preserve">smaller organizations </w:t>
      </w:r>
      <w:r w:rsidR="00E57682" w:rsidRPr="002A28E1">
        <w:t xml:space="preserve">such as Alamo (an organisation of mental health </w:t>
      </w:r>
      <w:r w:rsidR="006646FA" w:rsidRPr="002A28E1">
        <w:t xml:space="preserve">service </w:t>
      </w:r>
      <w:r w:rsidR="00B26301" w:rsidRPr="002A28E1">
        <w:t xml:space="preserve">users) and </w:t>
      </w:r>
      <w:r w:rsidR="008E0589" w:rsidRPr="002A28E1">
        <w:t xml:space="preserve">the </w:t>
      </w:r>
      <w:r w:rsidR="00B26301" w:rsidRPr="002A28E1">
        <w:t>Peruvian Down Syndrome Society</w:t>
      </w:r>
      <w:r w:rsidR="00140D25" w:rsidRPr="002A28E1">
        <w:t>.</w:t>
      </w:r>
      <w:bookmarkStart w:id="10" w:name="_Ref15295398"/>
      <w:r w:rsidR="005A7DC9">
        <w:rPr>
          <w:rStyle w:val="FootnoteReference"/>
        </w:rPr>
        <w:footnoteReference w:id="25"/>
      </w:r>
      <w:bookmarkEnd w:id="10"/>
      <w:r w:rsidR="00076F76" w:rsidRPr="002A28E1">
        <w:t xml:space="preserve"> </w:t>
      </w:r>
      <w:proofErr w:type="spellStart"/>
      <w:r w:rsidR="0054642D" w:rsidRPr="002A28E1">
        <w:t>Sodis</w:t>
      </w:r>
      <w:proofErr w:type="spellEnd"/>
      <w:r w:rsidR="0054642D" w:rsidRPr="002A28E1">
        <w:t xml:space="preserve"> </w:t>
      </w:r>
      <w:r w:rsidR="00D437AD" w:rsidRPr="002A28E1">
        <w:t xml:space="preserve">consistently advocated for legislative </w:t>
      </w:r>
      <w:r w:rsidR="00A16B6B" w:rsidRPr="002A28E1">
        <w:t>reform</w:t>
      </w:r>
      <w:r w:rsidR="00D437AD" w:rsidRPr="002A28E1">
        <w:t xml:space="preserve"> in line </w:t>
      </w:r>
      <w:r w:rsidR="00B171D7" w:rsidRPr="002A28E1">
        <w:t xml:space="preserve">with the CRPD and </w:t>
      </w:r>
      <w:r w:rsidR="006C41D1" w:rsidRPr="002A28E1">
        <w:t xml:space="preserve">supplied </w:t>
      </w:r>
      <w:r w:rsidR="002E44AE" w:rsidRPr="002A28E1">
        <w:t>technical</w:t>
      </w:r>
      <w:r w:rsidR="0009773D" w:rsidRPr="002A28E1">
        <w:t xml:space="preserve"> advice </w:t>
      </w:r>
      <w:r w:rsidR="001E26AC" w:rsidRPr="002A28E1">
        <w:t>to achieve this end.</w:t>
      </w:r>
      <w:r w:rsidR="00C21753" w:rsidRPr="002A28E1">
        <w:rPr>
          <w:rStyle w:val="FootnoteReference"/>
        </w:rPr>
        <w:footnoteReference w:id="26"/>
      </w:r>
    </w:p>
    <w:p w14:paraId="04D9CA88" w14:textId="323B8199" w:rsidR="00AC0628" w:rsidRPr="002A28E1" w:rsidRDefault="00AC0628"/>
    <w:p w14:paraId="182A27E4" w14:textId="09C3758A" w:rsidR="00AA22D5" w:rsidRPr="002A28E1" w:rsidRDefault="00A770DB">
      <w:proofErr w:type="gramStart"/>
      <w:r w:rsidRPr="002A28E1">
        <w:lastRenderedPageBreak/>
        <w:t xml:space="preserve">In terms of the </w:t>
      </w:r>
      <w:r w:rsidR="007C4195" w:rsidRPr="002A28E1">
        <w:t>substantive details</w:t>
      </w:r>
      <w:r w:rsidR="00D464D3" w:rsidRPr="002A28E1">
        <w:t xml:space="preserve"> of Peru’s reform, </w:t>
      </w:r>
      <w:r w:rsidR="00874341" w:rsidRPr="002A28E1">
        <w:t>a</w:t>
      </w:r>
      <w:r w:rsidR="00D464D3" w:rsidRPr="002A28E1">
        <w:t xml:space="preserve"> new</w:t>
      </w:r>
      <w:r w:rsidR="00AF6F69" w:rsidRPr="002A28E1">
        <w:t xml:space="preserve"> Civil Code</w:t>
      </w:r>
      <w:r w:rsidR="00D464D3" w:rsidRPr="002A28E1">
        <w:t xml:space="preserve"> </w:t>
      </w:r>
      <w:r w:rsidR="00874341" w:rsidRPr="002A28E1">
        <w:t>provision</w:t>
      </w:r>
      <w:r w:rsidR="00D464D3" w:rsidRPr="002A28E1">
        <w:t xml:space="preserve"> recognizes </w:t>
      </w:r>
      <w:r w:rsidR="002C25D8" w:rsidRPr="002A28E1">
        <w:t>that</w:t>
      </w:r>
      <w:r w:rsidR="00512D6C" w:rsidRPr="002A28E1">
        <w:t xml:space="preserve"> all</w:t>
      </w:r>
      <w:r w:rsidR="002C25D8" w:rsidRPr="002A28E1">
        <w:t xml:space="preserve"> individuals over the age of eighteen have full capacity to act, including </w:t>
      </w:r>
      <w:r w:rsidR="00B65DFB" w:rsidRPr="002A28E1">
        <w:t>“</w:t>
      </w:r>
      <w:r w:rsidR="00F85D8A" w:rsidRPr="002A28E1">
        <w:t>all persons with disabilities</w:t>
      </w:r>
      <w:r w:rsidR="00605E5E" w:rsidRPr="002A28E1">
        <w:t>, on an equal basis with others and in all aspects of life, regardless of whether they use or require reasonable accommodation or support for the expression of their will</w:t>
      </w:r>
      <w:r w:rsidR="00605E5E" w:rsidRPr="00425AA5">
        <w:t>.”</w:t>
      </w:r>
      <w:r w:rsidR="00874341" w:rsidRPr="00425AA5">
        <w:rPr>
          <w:rStyle w:val="FootnoteReference"/>
        </w:rPr>
        <w:footnoteReference w:id="27"/>
      </w:r>
      <w:proofErr w:type="gramEnd"/>
      <w:r w:rsidR="003204F6" w:rsidRPr="00425AA5">
        <w:t xml:space="preserve"> </w:t>
      </w:r>
      <w:r w:rsidR="00874341" w:rsidRPr="00425AA5">
        <w:t>The Code</w:t>
      </w:r>
      <w:r w:rsidR="006364E7" w:rsidRPr="00425AA5">
        <w:t xml:space="preserve"> stipulates that support for the exercise of legal capacity </w:t>
      </w:r>
      <w:proofErr w:type="gramStart"/>
      <w:r w:rsidR="006364E7" w:rsidRPr="00425AA5">
        <w:t>can be</w:t>
      </w:r>
      <w:r w:rsidR="001F72B8" w:rsidRPr="00425AA5">
        <w:t xml:space="preserve"> designated</w:t>
      </w:r>
      <w:proofErr w:type="gramEnd"/>
      <w:r w:rsidR="006364E7" w:rsidRPr="00425AA5">
        <w:t xml:space="preserve"> by “any person </w:t>
      </w:r>
      <w:r w:rsidR="00305ACA">
        <w:t>of legal age</w:t>
      </w:r>
      <w:r w:rsidR="006364E7" w:rsidRPr="00425AA5">
        <w:t>.”</w:t>
      </w:r>
      <w:r w:rsidR="00874341" w:rsidRPr="00425AA5">
        <w:rPr>
          <w:rStyle w:val="FootnoteReference"/>
        </w:rPr>
        <w:footnoteReference w:id="28"/>
      </w:r>
      <w:r w:rsidR="006364E7" w:rsidRPr="00425AA5">
        <w:t xml:space="preserve"> </w:t>
      </w:r>
      <w:r w:rsidR="002C2362">
        <w:t>According to t</w:t>
      </w:r>
      <w:r w:rsidR="004C2474">
        <w:t>he Code</w:t>
      </w:r>
      <w:r w:rsidR="002C2362">
        <w:t>,</w:t>
      </w:r>
      <w:r w:rsidR="004C2474">
        <w:t xml:space="preserve"> </w:t>
      </w:r>
      <w:r w:rsidR="00E904BF">
        <w:t>support measure</w:t>
      </w:r>
      <w:r w:rsidR="007D6F9E">
        <w:t xml:space="preserve">s </w:t>
      </w:r>
      <w:r w:rsidR="00F42F9B">
        <w:t xml:space="preserve">are “freely chosen” by those desiring assistance and may </w:t>
      </w:r>
      <w:r w:rsidR="001F045E" w:rsidRPr="002A28E1">
        <w:t>includ</w:t>
      </w:r>
      <w:r w:rsidR="00DE0A32" w:rsidRPr="002A28E1">
        <w:t>e</w:t>
      </w:r>
      <w:r w:rsidR="001F045E" w:rsidRPr="002A28E1">
        <w:t xml:space="preserve"> </w:t>
      </w:r>
      <w:r w:rsidR="001B3142" w:rsidRPr="002A28E1">
        <w:t>“</w:t>
      </w:r>
      <w:r w:rsidR="00A01FE2" w:rsidRPr="002A28E1">
        <w:t xml:space="preserve">support in communication, in the understanding of legal acts and their consequences, and the </w:t>
      </w:r>
      <w:r w:rsidR="00A737A8" w:rsidRPr="00425AA5">
        <w:t>expression and interpretation of the will of the one who requires the support.”</w:t>
      </w:r>
      <w:r w:rsidR="00EC73CD" w:rsidRPr="00425AA5">
        <w:rPr>
          <w:rStyle w:val="FootnoteReference"/>
        </w:rPr>
        <w:footnoteReference w:id="29"/>
      </w:r>
      <w:r w:rsidR="00BA3505" w:rsidRPr="00425AA5">
        <w:t xml:space="preserve"> </w:t>
      </w:r>
      <w:r w:rsidR="00AE32CA" w:rsidRPr="00425AA5">
        <w:t>Support</w:t>
      </w:r>
      <w:r w:rsidR="00F163E4" w:rsidRPr="00425AA5">
        <w:t>s</w:t>
      </w:r>
      <w:r w:rsidR="00AE32CA" w:rsidRPr="00425AA5">
        <w:t xml:space="preserve"> must not involve powers of representation,</w:t>
      </w:r>
      <w:r w:rsidR="00AE32CA" w:rsidRPr="002A28E1">
        <w:t xml:space="preserve"> unless </w:t>
      </w:r>
      <w:proofErr w:type="gramStart"/>
      <w:r w:rsidR="00AE32CA" w:rsidRPr="002A28E1">
        <w:t>this has been explicitly requested by the person requiring support</w:t>
      </w:r>
      <w:proofErr w:type="gramEnd"/>
      <w:r w:rsidR="00AE32CA" w:rsidRPr="002A28E1">
        <w:t>.</w:t>
      </w:r>
      <w:r w:rsidR="00AE32CA" w:rsidRPr="002A28E1">
        <w:rPr>
          <w:rStyle w:val="FootnoteReference"/>
        </w:rPr>
        <w:footnoteReference w:id="30"/>
      </w:r>
      <w:r w:rsidR="00AE32CA" w:rsidRPr="002A28E1">
        <w:t xml:space="preserve"> </w:t>
      </w:r>
      <w:r w:rsidR="005F4727" w:rsidRPr="002A28E1">
        <w:t xml:space="preserve">When the will of the person </w:t>
      </w:r>
      <w:proofErr w:type="gramStart"/>
      <w:r w:rsidR="005F4727" w:rsidRPr="002A28E1">
        <w:t xml:space="preserve">being </w:t>
      </w:r>
      <w:r w:rsidR="0031297F" w:rsidRPr="002A28E1">
        <w:t>assisted</w:t>
      </w:r>
      <w:proofErr w:type="gramEnd"/>
      <w:r w:rsidR="0031297F" w:rsidRPr="002A28E1">
        <w:t xml:space="preserve"> </w:t>
      </w:r>
      <w:r w:rsidR="00FF0F20" w:rsidRPr="002A28E1">
        <w:t>necessitates</w:t>
      </w:r>
      <w:r w:rsidR="00676381" w:rsidRPr="002A28E1">
        <w:t xml:space="preserve"> interpretation, </w:t>
      </w:r>
      <w:r w:rsidR="008F24BF" w:rsidRPr="002A28E1">
        <w:t xml:space="preserve">the </w:t>
      </w:r>
      <w:r w:rsidR="00851A38" w:rsidRPr="002A28E1">
        <w:t xml:space="preserve">principle of </w:t>
      </w:r>
      <w:r w:rsidR="00D977EB" w:rsidRPr="002A28E1">
        <w:t>“best interpretation of the will”</w:t>
      </w:r>
      <w:r w:rsidR="0086020F" w:rsidRPr="002A28E1">
        <w:t xml:space="preserve"> must be </w:t>
      </w:r>
      <w:r w:rsidR="00EB56B6" w:rsidRPr="002A28E1">
        <w:t>used</w:t>
      </w:r>
      <w:r w:rsidR="00CF291B" w:rsidRPr="002A28E1">
        <w:t>.</w:t>
      </w:r>
      <w:r w:rsidR="001D7D02" w:rsidRPr="002A28E1">
        <w:rPr>
          <w:rStyle w:val="FootnoteReference"/>
        </w:rPr>
        <w:footnoteReference w:id="31"/>
      </w:r>
      <w:r w:rsidR="00DD27FC" w:rsidRPr="002A28E1">
        <w:t xml:space="preserve"> </w:t>
      </w:r>
    </w:p>
    <w:p w14:paraId="20B1CA1D" w14:textId="77777777" w:rsidR="00AA22D5" w:rsidRPr="002A28E1" w:rsidRDefault="00AA22D5"/>
    <w:p w14:paraId="2A6AF640" w14:textId="775E8AAA" w:rsidR="009A6A0A" w:rsidRPr="002A28E1" w:rsidRDefault="0016347A">
      <w:r>
        <w:t>The amended Peruvian</w:t>
      </w:r>
      <w:r w:rsidR="0057190E">
        <w:t xml:space="preserve"> Civil</w:t>
      </w:r>
      <w:r>
        <w:t xml:space="preserve"> Code </w:t>
      </w:r>
      <w:proofErr w:type="gramStart"/>
      <w:r>
        <w:t>specifies</w:t>
      </w:r>
      <w:r w:rsidR="0057190E">
        <w:t xml:space="preserve"> that</w:t>
      </w:r>
      <w:proofErr w:type="gramEnd"/>
      <w:r w:rsidR="0057190E">
        <w:t xml:space="preserve"> </w:t>
      </w:r>
      <w:r w:rsidR="008E63C2" w:rsidRPr="002A28E1">
        <w:t>“</w:t>
      </w:r>
      <w:r w:rsidR="007E3761" w:rsidRPr="002A28E1">
        <w:t xml:space="preserve">the </w:t>
      </w:r>
      <w:r w:rsidR="00A97CEA" w:rsidRPr="002A28E1">
        <w:t xml:space="preserve">person </w:t>
      </w:r>
      <w:r w:rsidR="002D0894" w:rsidRPr="002A28E1">
        <w:t>requesting the supports</w:t>
      </w:r>
      <w:r w:rsidR="00731715" w:rsidRPr="002A28E1">
        <w:t xml:space="preserve"> determines</w:t>
      </w:r>
      <w:r w:rsidR="0034690B" w:rsidRPr="002A28E1">
        <w:t xml:space="preserve"> the</w:t>
      </w:r>
      <w:r w:rsidR="008144F6" w:rsidRPr="002A28E1">
        <w:t>ir</w:t>
      </w:r>
      <w:r w:rsidR="0034690B" w:rsidRPr="002A28E1">
        <w:t xml:space="preserve"> form, identity, scope, duration and number of supports.”</w:t>
      </w:r>
      <w:r>
        <w:rPr>
          <w:rStyle w:val="FootnoteReference"/>
        </w:rPr>
        <w:footnoteReference w:id="32"/>
      </w:r>
      <w:r w:rsidR="00DD2776" w:rsidRPr="002A28E1">
        <w:t xml:space="preserve"> </w:t>
      </w:r>
      <w:r w:rsidR="003F056D">
        <w:t xml:space="preserve">Individuals </w:t>
      </w:r>
      <w:r w:rsidR="00CF7B25">
        <w:t>requesting</w:t>
      </w:r>
      <w:r w:rsidR="00484FA5">
        <w:t xml:space="preserve"> support </w:t>
      </w:r>
      <w:r w:rsidR="003F056D">
        <w:t>are</w:t>
      </w:r>
      <w:r w:rsidR="0064368F">
        <w:t xml:space="preserve"> entitled </w:t>
      </w:r>
      <w:r w:rsidR="00D1501C">
        <w:t>designate</w:t>
      </w:r>
      <w:r w:rsidR="0064368F">
        <w:t xml:space="preserve"> </w:t>
      </w:r>
      <w:r w:rsidR="00CA5607" w:rsidRPr="002A28E1">
        <w:t>natural persons, public institutions,</w:t>
      </w:r>
      <w:r w:rsidR="00063D4B" w:rsidRPr="002A28E1">
        <w:t xml:space="preserve"> or non-profit legal entities</w:t>
      </w:r>
      <w:r w:rsidR="003F056D">
        <w:t xml:space="preserve"> as their supporters</w:t>
      </w:r>
      <w:r w:rsidR="00063D4B" w:rsidRPr="002A28E1">
        <w:t>.</w:t>
      </w:r>
      <w:r w:rsidR="008A26CC" w:rsidRPr="002A28E1">
        <w:rPr>
          <w:rStyle w:val="FootnoteReference"/>
        </w:rPr>
        <w:footnoteReference w:id="33"/>
      </w:r>
      <w:r w:rsidR="00FA14DA" w:rsidRPr="002A28E1">
        <w:t xml:space="preserve"> </w:t>
      </w:r>
      <w:r w:rsidR="002E57BE" w:rsidRPr="002A28E1">
        <w:t>S</w:t>
      </w:r>
      <w:r w:rsidR="00B91ABE" w:rsidRPr="002A28E1">
        <w:t xml:space="preserve">upports are to </w:t>
      </w:r>
      <w:proofErr w:type="gramStart"/>
      <w:r w:rsidR="009116A9" w:rsidRPr="002A28E1">
        <w:t xml:space="preserve">be </w:t>
      </w:r>
      <w:r w:rsidR="005367BA" w:rsidRPr="002A28E1">
        <w:t>appointed</w:t>
      </w:r>
      <w:proofErr w:type="gramEnd"/>
      <w:r w:rsidR="005367BA" w:rsidRPr="002A28E1">
        <w:t xml:space="preserve"> before a notary or a judge.</w:t>
      </w:r>
      <w:r w:rsidR="00874341" w:rsidRPr="002A28E1">
        <w:rPr>
          <w:rStyle w:val="FootnoteReference"/>
        </w:rPr>
        <w:footnoteReference w:id="34"/>
      </w:r>
      <w:r w:rsidR="00A43722" w:rsidRPr="002A28E1">
        <w:t xml:space="preserve"> </w:t>
      </w:r>
      <w:r w:rsidR="00AA22D5" w:rsidRPr="002A28E1">
        <w:t>Additionally, under the new Peruvian legislative framework, persons are entitled to</w:t>
      </w:r>
      <w:r w:rsidR="00551CED" w:rsidRPr="002A28E1">
        <w:t xml:space="preserve"> go before a notary to</w:t>
      </w:r>
      <w:r w:rsidR="00AA22D5" w:rsidRPr="002A28E1">
        <w:t xml:space="preserve"> designate supports for the future, </w:t>
      </w:r>
      <w:r w:rsidR="002E25D1" w:rsidRPr="002A28E1">
        <w:t>should they expect t</w:t>
      </w:r>
      <w:r w:rsidR="00D261EB" w:rsidRPr="002A28E1">
        <w:t xml:space="preserve">hat they </w:t>
      </w:r>
      <w:proofErr w:type="gramStart"/>
      <w:r w:rsidR="00D261EB" w:rsidRPr="002A28E1">
        <w:t>will</w:t>
      </w:r>
      <w:proofErr w:type="gramEnd"/>
      <w:r w:rsidR="002E25D1" w:rsidRPr="002A28E1">
        <w:t xml:space="preserve"> need help in the </w:t>
      </w:r>
      <w:r w:rsidR="00AA22D5" w:rsidRPr="002A28E1">
        <w:t xml:space="preserve">exercise </w:t>
      </w:r>
      <w:r w:rsidR="0025184A" w:rsidRPr="002A28E1">
        <w:t xml:space="preserve">of </w:t>
      </w:r>
      <w:r w:rsidR="00AA22D5" w:rsidRPr="002A28E1">
        <w:t>their legal capacity at a later stage in their lives.</w:t>
      </w:r>
      <w:r w:rsidR="00AA22D5" w:rsidRPr="002A28E1">
        <w:rPr>
          <w:rStyle w:val="FootnoteReference"/>
        </w:rPr>
        <w:footnoteReference w:id="35"/>
      </w:r>
      <w:r w:rsidR="005270B3" w:rsidRPr="002A28E1">
        <w:t xml:space="preserve"> The document must stipulate the point or circumstances </w:t>
      </w:r>
      <w:r w:rsidR="00A20E99" w:rsidRPr="002A28E1">
        <w:t>upon which th</w:t>
      </w:r>
      <w:r w:rsidR="00621D87" w:rsidRPr="002A28E1">
        <w:t>e</w:t>
      </w:r>
      <w:r w:rsidR="00A20E99" w:rsidRPr="002A28E1">
        <w:t xml:space="preserve"> support comes into force.</w:t>
      </w:r>
      <w:r w:rsidR="00A20E99" w:rsidRPr="002A28E1">
        <w:rPr>
          <w:rStyle w:val="FootnoteReference"/>
        </w:rPr>
        <w:footnoteReference w:id="36"/>
      </w:r>
    </w:p>
    <w:p w14:paraId="125DA7A8" w14:textId="77777777" w:rsidR="009A6A0A" w:rsidRPr="002A28E1" w:rsidRDefault="009A6A0A"/>
    <w:p w14:paraId="57F19B39" w14:textId="1956AACB" w:rsidR="000A6461" w:rsidRPr="002A28E1" w:rsidRDefault="009A6A0A">
      <w:r w:rsidRPr="002A28E1">
        <w:t>I</w:t>
      </w:r>
      <w:r w:rsidR="00A43722" w:rsidRPr="002A28E1">
        <w:t xml:space="preserve">n exceptional cases where a person with </w:t>
      </w:r>
      <w:r w:rsidRPr="002A28E1">
        <w:t xml:space="preserve">a </w:t>
      </w:r>
      <w:r w:rsidR="00A43722" w:rsidRPr="002A28E1">
        <w:t>disabili</w:t>
      </w:r>
      <w:r w:rsidRPr="002A28E1">
        <w:t>ty</w:t>
      </w:r>
      <w:r w:rsidR="00A43722" w:rsidRPr="002A28E1">
        <w:t xml:space="preserve"> cannot express their will or when the person is in a coma, a judge can determine the support mechanisms needed.</w:t>
      </w:r>
      <w:r w:rsidR="00392BFC" w:rsidRPr="002A28E1">
        <w:rPr>
          <w:rStyle w:val="FootnoteReference"/>
        </w:rPr>
        <w:footnoteReference w:id="37"/>
      </w:r>
      <w:r w:rsidR="00A43722" w:rsidRPr="002A28E1">
        <w:t xml:space="preserve"> However, in so doing, the judge must make the “best possible interpretation of the will and preferences of the person</w:t>
      </w:r>
      <w:r w:rsidR="00874341" w:rsidRPr="002A28E1">
        <w:t>.”</w:t>
      </w:r>
      <w:r w:rsidR="00874341" w:rsidRPr="002A28E1">
        <w:rPr>
          <w:rStyle w:val="FootnoteReference"/>
        </w:rPr>
        <w:footnoteReference w:id="38"/>
      </w:r>
      <w:r w:rsidR="00A0613E" w:rsidRPr="002A28E1">
        <w:t xml:space="preserve"> </w:t>
      </w:r>
      <w:r w:rsidR="00754D2A" w:rsidRPr="002A28E1">
        <w:t xml:space="preserve">In these exceptional situations, a judge is to appoint a support person, taking into consideration whether a relationship of “cohabitation, trust, friendship, care or kinship” </w:t>
      </w:r>
      <w:r w:rsidR="00D67FE7" w:rsidRPr="002A28E1">
        <w:t>exists</w:t>
      </w:r>
      <w:r w:rsidR="00662E41" w:rsidRPr="002A28E1">
        <w:t>.</w:t>
      </w:r>
      <w:r w:rsidR="00662E41" w:rsidRPr="002A28E1">
        <w:rPr>
          <w:rStyle w:val="FootnoteReference"/>
        </w:rPr>
        <w:footnoteReference w:id="39"/>
      </w:r>
      <w:r w:rsidR="00662E41" w:rsidRPr="002A28E1">
        <w:t xml:space="preserve"> Individuals who </w:t>
      </w:r>
      <w:proofErr w:type="gramStart"/>
      <w:r w:rsidR="00662E41" w:rsidRPr="002A28E1">
        <w:t>have been convicted</w:t>
      </w:r>
      <w:proofErr w:type="gramEnd"/>
      <w:r w:rsidR="00662E41" w:rsidRPr="002A28E1">
        <w:t xml:space="preserve"> of family violence or sexual violence may not be appointed as support persons.</w:t>
      </w:r>
      <w:r w:rsidR="00662E41" w:rsidRPr="002A28E1">
        <w:rPr>
          <w:rStyle w:val="FootnoteReference"/>
        </w:rPr>
        <w:footnoteReference w:id="40"/>
      </w:r>
      <w:r w:rsidR="00185C17" w:rsidRPr="002A28E1">
        <w:t xml:space="preserve"> In these</w:t>
      </w:r>
      <w:r w:rsidR="00B56F3C">
        <w:t xml:space="preserve"> “exceptional”</w:t>
      </w:r>
      <w:r w:rsidR="00185C17" w:rsidRPr="002A28E1">
        <w:t xml:space="preserve"> cases, support may involve powers of representation.</w:t>
      </w:r>
      <w:r w:rsidR="00185C17" w:rsidRPr="002A28E1">
        <w:rPr>
          <w:rStyle w:val="FootnoteReference"/>
        </w:rPr>
        <w:footnoteReference w:id="41"/>
      </w:r>
    </w:p>
    <w:p w14:paraId="2D62DF45" w14:textId="77777777" w:rsidR="004A2619" w:rsidRPr="002A28E1" w:rsidRDefault="004A2619"/>
    <w:p w14:paraId="2FE79B48" w14:textId="24F4BCD6" w:rsidR="00AC0628" w:rsidRPr="002A28E1" w:rsidRDefault="003204F6">
      <w:r w:rsidRPr="00F262F8">
        <w:t xml:space="preserve">Legislative Decree No. 1384 repealed former provisions of the Peruvian Civil </w:t>
      </w:r>
      <w:proofErr w:type="gramStart"/>
      <w:r w:rsidRPr="00F262F8">
        <w:t xml:space="preserve">Code which </w:t>
      </w:r>
      <w:r w:rsidR="00AE5914" w:rsidRPr="00F262F8">
        <w:t>provided the designation of “absolute incapacity” for</w:t>
      </w:r>
      <w:r w:rsidR="002814EB" w:rsidRPr="00F262F8">
        <w:t xml:space="preserve"> persons </w:t>
      </w:r>
      <w:r w:rsidR="00C42264" w:rsidRPr="00F262F8">
        <w:t>who “lack</w:t>
      </w:r>
      <w:r w:rsidR="00E45A3B" w:rsidRPr="00F262F8">
        <w:t xml:space="preserve"> </w:t>
      </w:r>
      <w:r w:rsidR="00C42264" w:rsidRPr="00F262F8">
        <w:t>discernment”</w:t>
      </w:r>
      <w:proofErr w:type="gramEnd"/>
      <w:r w:rsidR="005B2CEC" w:rsidRPr="00F262F8">
        <w:t xml:space="preserve"> </w:t>
      </w:r>
      <w:r w:rsidR="001A0531" w:rsidRPr="00F262F8">
        <w:t xml:space="preserve">and the category of “relative incapacity” for </w:t>
      </w:r>
      <w:r w:rsidR="00C623D6" w:rsidRPr="00F262F8">
        <w:t>“mentally ret</w:t>
      </w:r>
      <w:r w:rsidR="008C530A" w:rsidRPr="00F262F8">
        <w:t>ard</w:t>
      </w:r>
      <w:r w:rsidR="000E73C6" w:rsidRPr="00F262F8">
        <w:t>e</w:t>
      </w:r>
      <w:r w:rsidR="00C623D6" w:rsidRPr="00F262F8">
        <w:t xml:space="preserve">d persons” </w:t>
      </w:r>
      <w:r w:rsidR="00137304" w:rsidRPr="00F262F8">
        <w:t>and</w:t>
      </w:r>
      <w:r w:rsidR="00C623D6" w:rsidRPr="00F262F8">
        <w:t xml:space="preserve"> “those who suffer from </w:t>
      </w:r>
      <w:r w:rsidR="00C623D6" w:rsidRPr="00F262F8">
        <w:lastRenderedPageBreak/>
        <w:t>mental deterioration that prevents them expressing their will</w:t>
      </w:r>
      <w:r w:rsidR="005A253F" w:rsidRPr="00F262F8">
        <w:t>.”</w:t>
      </w:r>
      <w:r w:rsidR="00992788" w:rsidRPr="00F262F8">
        <w:rPr>
          <w:rStyle w:val="FootnoteReference"/>
        </w:rPr>
        <w:footnoteReference w:id="42"/>
      </w:r>
      <w:r w:rsidR="005A253F" w:rsidRPr="00F262F8">
        <w:t xml:space="preserve"> The 2018 Legislative Decree </w:t>
      </w:r>
      <w:r w:rsidR="003815BB" w:rsidRPr="00F262F8">
        <w:t>also repeal</w:t>
      </w:r>
      <w:r w:rsidR="00DA4A35" w:rsidRPr="00F262F8">
        <w:t>ed</w:t>
      </w:r>
      <w:r w:rsidR="003815BB" w:rsidRPr="00F262F8">
        <w:t xml:space="preserve"> a section of the Civil </w:t>
      </w:r>
      <w:proofErr w:type="gramStart"/>
      <w:r w:rsidR="003815BB" w:rsidRPr="00F262F8">
        <w:t>Code</w:t>
      </w:r>
      <w:r w:rsidR="008B1E19" w:rsidRPr="00F262F8">
        <w:t xml:space="preserve"> which stipulated</w:t>
      </w:r>
      <w:r w:rsidR="00F7344C" w:rsidRPr="00F262F8">
        <w:t xml:space="preserve"> the label of</w:t>
      </w:r>
      <w:r w:rsidR="008B1E19" w:rsidRPr="00F262F8">
        <w:t xml:space="preserve"> absolute incapacity for deaf, blind</w:t>
      </w:r>
      <w:proofErr w:type="gramEnd"/>
      <w:r w:rsidR="008B1E19" w:rsidRPr="00F262F8">
        <w:t xml:space="preserve"> and deafblind persons </w:t>
      </w:r>
      <w:r w:rsidR="00A77BAF" w:rsidRPr="00F262F8">
        <w:t xml:space="preserve">who </w:t>
      </w:r>
      <w:r w:rsidR="004974DE" w:rsidRPr="00F262F8">
        <w:t>“</w:t>
      </w:r>
      <w:r w:rsidR="00A77BAF" w:rsidRPr="00F262F8">
        <w:t xml:space="preserve">could not </w:t>
      </w:r>
      <w:r w:rsidR="004974DE" w:rsidRPr="00F262F8">
        <w:t>express</w:t>
      </w:r>
      <w:r w:rsidR="00A77BAF" w:rsidRPr="00F262F8">
        <w:t xml:space="preserve"> their will </w:t>
      </w:r>
      <w:r w:rsidR="007A3C7D" w:rsidRPr="00F262F8">
        <w:t>in an undoubtable manner.”</w:t>
      </w:r>
      <w:r w:rsidR="00FC204D" w:rsidRPr="00F262F8">
        <w:rPr>
          <w:rStyle w:val="FootnoteReference"/>
        </w:rPr>
        <w:footnoteReference w:id="43"/>
      </w:r>
      <w:r w:rsidR="00233761" w:rsidRPr="00F262F8">
        <w:t xml:space="preserve"> </w:t>
      </w:r>
      <w:r w:rsidR="00F536E2" w:rsidRPr="00F262F8">
        <w:t xml:space="preserve">Moreover, </w:t>
      </w:r>
      <w:r w:rsidR="00616A82" w:rsidRPr="00F262F8">
        <w:t xml:space="preserve">Legislative Decree No. 1384 repealed </w:t>
      </w:r>
      <w:r w:rsidR="00BF0826" w:rsidRPr="00F262F8">
        <w:t>the</w:t>
      </w:r>
      <w:r w:rsidR="000D3560" w:rsidRPr="00F262F8">
        <w:t xml:space="preserve"> </w:t>
      </w:r>
      <w:proofErr w:type="spellStart"/>
      <w:r w:rsidR="00184CAB" w:rsidRPr="00F262F8">
        <w:t>codal</w:t>
      </w:r>
      <w:proofErr w:type="spellEnd"/>
      <w:r w:rsidR="00184CAB" w:rsidRPr="00F262F8">
        <w:t xml:space="preserve"> provisions </w:t>
      </w:r>
      <w:r w:rsidR="00A02CDF" w:rsidRPr="00F262F8">
        <w:t xml:space="preserve">allowing </w:t>
      </w:r>
      <w:r w:rsidR="00776004" w:rsidRPr="00F262F8">
        <w:t xml:space="preserve">for the appointment of </w:t>
      </w:r>
      <w:r w:rsidR="009007B5" w:rsidRPr="00F262F8">
        <w:t>guardians for persons with psychosocial and intellectual disabilities.</w:t>
      </w:r>
      <w:r w:rsidR="00F9660F" w:rsidRPr="00F262F8">
        <w:rPr>
          <w:rStyle w:val="FootnoteReference"/>
        </w:rPr>
        <w:footnoteReference w:id="44"/>
      </w:r>
      <w:r w:rsidR="00F25568" w:rsidRPr="00F262F8">
        <w:t xml:space="preserve"> </w:t>
      </w:r>
      <w:r w:rsidR="008F6BCA" w:rsidRPr="00F262F8">
        <w:t>Among other</w:t>
      </w:r>
      <w:r w:rsidR="00327831" w:rsidRPr="00F262F8">
        <w:t xml:space="preserve"> repealed</w:t>
      </w:r>
      <w:r w:rsidR="008F6BCA" w:rsidRPr="00F262F8">
        <w:t xml:space="preserve"> </w:t>
      </w:r>
      <w:r w:rsidR="009F2CC3" w:rsidRPr="00F262F8">
        <w:t xml:space="preserve">provisions </w:t>
      </w:r>
      <w:r w:rsidR="00B77E9D" w:rsidRPr="00F262F8">
        <w:t>include</w:t>
      </w:r>
      <w:r w:rsidR="009E3811" w:rsidRPr="00F262F8">
        <w:t xml:space="preserve"> </w:t>
      </w:r>
      <w:r w:rsidR="003F110A" w:rsidRPr="00F262F8">
        <w:t>those which restricted marriage for persons with</w:t>
      </w:r>
      <w:r w:rsidR="00C36646" w:rsidRPr="00F262F8">
        <w:t xml:space="preserve"> psychosocial</w:t>
      </w:r>
      <w:r w:rsidR="003F110A" w:rsidRPr="00F262F8">
        <w:t xml:space="preserve"> disabilities</w:t>
      </w:r>
      <w:r w:rsidR="009A03D9" w:rsidRPr="00F262F8">
        <w:t xml:space="preserve"> and those preventing people who “lack </w:t>
      </w:r>
      <w:r w:rsidR="004808FF" w:rsidRPr="00F262F8">
        <w:t>lucidity</w:t>
      </w:r>
      <w:r w:rsidR="009A03D9" w:rsidRPr="00F262F8">
        <w:t xml:space="preserve">” from </w:t>
      </w:r>
      <w:r w:rsidR="005B32A7" w:rsidRPr="00F262F8">
        <w:t>making</w:t>
      </w:r>
      <w:r w:rsidR="009A03D9" w:rsidRPr="00F262F8">
        <w:t xml:space="preserve"> a will</w:t>
      </w:r>
      <w:r w:rsidR="004808FF" w:rsidRPr="00F262F8">
        <w:t>.</w:t>
      </w:r>
      <w:r w:rsidR="00B16AD7" w:rsidRPr="00F262F8">
        <w:rPr>
          <w:rStyle w:val="FootnoteReference"/>
        </w:rPr>
        <w:footnoteReference w:id="45"/>
      </w:r>
    </w:p>
    <w:p w14:paraId="43F483ED" w14:textId="1675F756" w:rsidR="00215742" w:rsidRPr="002A28E1" w:rsidRDefault="00215742"/>
    <w:p w14:paraId="60562BD8" w14:textId="5EB1B789" w:rsidR="007553DF" w:rsidRPr="00F262F8" w:rsidRDefault="00255BB8">
      <w:r w:rsidRPr="002A28E1">
        <w:t xml:space="preserve">American human rights lawyer </w:t>
      </w:r>
      <w:r w:rsidR="007A2D72" w:rsidRPr="002A28E1">
        <w:t xml:space="preserve">Tina </w:t>
      </w:r>
      <w:proofErr w:type="spellStart"/>
      <w:r w:rsidR="007A2D72" w:rsidRPr="002A28E1">
        <w:t>Minkowitz</w:t>
      </w:r>
      <w:proofErr w:type="spellEnd"/>
      <w:r w:rsidR="007A2D72" w:rsidRPr="002A28E1">
        <w:t xml:space="preserve"> affirms that </w:t>
      </w:r>
      <w:r w:rsidR="00526B9C" w:rsidRPr="002A28E1">
        <w:t xml:space="preserve">with this recent legislative reform, Peru has </w:t>
      </w:r>
      <w:r w:rsidR="008C0793" w:rsidRPr="002A28E1">
        <w:t>come</w:t>
      </w:r>
      <w:r w:rsidR="00526B9C" w:rsidRPr="002A28E1">
        <w:t xml:space="preserve"> closer to </w:t>
      </w:r>
      <w:r w:rsidR="009B348E" w:rsidRPr="002A28E1">
        <w:t xml:space="preserve">meeting </w:t>
      </w:r>
      <w:r w:rsidR="007113CC" w:rsidRPr="002A28E1">
        <w:t>the requirements of</w:t>
      </w:r>
      <w:r w:rsidR="00526B9C" w:rsidRPr="002A28E1">
        <w:t xml:space="preserve"> </w:t>
      </w:r>
      <w:r w:rsidR="00327E3E" w:rsidRPr="002A28E1">
        <w:t>A</w:t>
      </w:r>
      <w:r w:rsidR="0035522C" w:rsidRPr="002A28E1">
        <w:t>rticle 12</w:t>
      </w:r>
      <w:r w:rsidR="00327E3E" w:rsidRPr="002A28E1">
        <w:t xml:space="preserve"> of the CRPD</w:t>
      </w:r>
      <w:r w:rsidR="0035522C" w:rsidRPr="002A28E1">
        <w:t xml:space="preserve"> than any other country.</w:t>
      </w:r>
      <w:r w:rsidR="00C378D4">
        <w:rPr>
          <w:rStyle w:val="FootnoteReference"/>
        </w:rPr>
        <w:footnoteReference w:id="46"/>
      </w:r>
      <w:r w:rsidR="0035522C" w:rsidRPr="002A28E1">
        <w:t xml:space="preserve"> </w:t>
      </w:r>
      <w:r w:rsidR="005B7589" w:rsidRPr="002A28E1">
        <w:t xml:space="preserve">Spanish legal scholar </w:t>
      </w:r>
      <w:r w:rsidR="009E3997" w:rsidRPr="002A28E1">
        <w:t>Antonio Martinez-</w:t>
      </w:r>
      <w:proofErr w:type="spellStart"/>
      <w:r w:rsidR="009E3997" w:rsidRPr="002A28E1">
        <w:t>Pujalte</w:t>
      </w:r>
      <w:proofErr w:type="spellEnd"/>
      <w:r w:rsidR="009E3997" w:rsidRPr="002A28E1">
        <w:t xml:space="preserve"> </w:t>
      </w:r>
      <w:r w:rsidR="00C37666" w:rsidRPr="002A28E1">
        <w:t>shares</w:t>
      </w:r>
      <w:r w:rsidR="008E0911" w:rsidRPr="002A28E1">
        <w:t xml:space="preserve"> </w:t>
      </w:r>
      <w:r w:rsidR="00136ECC" w:rsidRPr="002A28E1">
        <w:t>this</w:t>
      </w:r>
      <w:r w:rsidR="00AC577D" w:rsidRPr="002A28E1">
        <w:t xml:space="preserve"> </w:t>
      </w:r>
      <w:r w:rsidR="00BB242F" w:rsidRPr="002A28E1">
        <w:t>position</w:t>
      </w:r>
      <w:r w:rsidR="00AC577D" w:rsidRPr="002A28E1">
        <w:t>,</w:t>
      </w:r>
      <w:r w:rsidR="002660C3" w:rsidRPr="002A28E1">
        <w:t xml:space="preserve"> </w:t>
      </w:r>
      <w:r w:rsidR="0096392A" w:rsidRPr="002A28E1">
        <w:t xml:space="preserve">declaring </w:t>
      </w:r>
      <w:r w:rsidR="00895D28" w:rsidRPr="002A28E1">
        <w:t xml:space="preserve">Peru’s legal capacity regime </w:t>
      </w:r>
      <w:r w:rsidR="00674E63" w:rsidRPr="002A28E1">
        <w:t xml:space="preserve">to be </w:t>
      </w:r>
      <w:r w:rsidR="0017786D" w:rsidRPr="002A28E1">
        <w:t xml:space="preserve">“the first one in the world to comply substantially </w:t>
      </w:r>
      <w:r w:rsidR="00162DC8" w:rsidRPr="002A28E1">
        <w:t>with the Convention.</w:t>
      </w:r>
      <w:r w:rsidR="00D62B04" w:rsidRPr="002A28E1">
        <w:t>”</w:t>
      </w:r>
      <w:bookmarkStart w:id="11" w:name="_Ref15295460"/>
      <w:r w:rsidR="00392B39" w:rsidRPr="002A28E1">
        <w:rPr>
          <w:rStyle w:val="FootnoteReference"/>
        </w:rPr>
        <w:footnoteReference w:id="47"/>
      </w:r>
      <w:bookmarkEnd w:id="11"/>
      <w:r w:rsidR="00A7666F" w:rsidRPr="002A28E1">
        <w:t xml:space="preserve"> Catalina </w:t>
      </w:r>
      <w:proofErr w:type="spellStart"/>
      <w:r w:rsidR="00A7666F" w:rsidRPr="002A28E1">
        <w:t>Devandas</w:t>
      </w:r>
      <w:proofErr w:type="spellEnd"/>
      <w:r w:rsidR="00277E63">
        <w:t xml:space="preserve"> Aguilar</w:t>
      </w:r>
      <w:r w:rsidR="00A7666F" w:rsidRPr="002A28E1">
        <w:t xml:space="preserve">, </w:t>
      </w:r>
      <w:r w:rsidR="00D94698" w:rsidRPr="002A28E1">
        <w:t xml:space="preserve">the </w:t>
      </w:r>
      <w:r w:rsidR="00A7666F" w:rsidRPr="002A28E1">
        <w:t>UN Special Rapporteur</w:t>
      </w:r>
      <w:r w:rsidR="005B340F" w:rsidRPr="002A28E1">
        <w:t xml:space="preserve"> on the </w:t>
      </w:r>
      <w:r w:rsidR="000E08D3">
        <w:t>R</w:t>
      </w:r>
      <w:r w:rsidR="005B340F" w:rsidRPr="002A28E1">
        <w:t xml:space="preserve">ights of </w:t>
      </w:r>
      <w:r w:rsidR="000E08D3">
        <w:t>P</w:t>
      </w:r>
      <w:r w:rsidR="005B340F" w:rsidRPr="002A28E1">
        <w:t xml:space="preserve">ersons with </w:t>
      </w:r>
      <w:r w:rsidR="000E08D3">
        <w:t>D</w:t>
      </w:r>
      <w:r w:rsidR="005B340F" w:rsidRPr="002A28E1">
        <w:t>isabilities</w:t>
      </w:r>
      <w:r w:rsidR="00B84E84" w:rsidRPr="002A28E1">
        <w:t xml:space="preserve">, </w:t>
      </w:r>
      <w:r w:rsidR="005F400D" w:rsidRPr="002A28E1">
        <w:t xml:space="preserve">hailed the </w:t>
      </w:r>
      <w:r w:rsidR="00887FAE" w:rsidRPr="002A28E1">
        <w:t xml:space="preserve">Peruvian legislative changes </w:t>
      </w:r>
      <w:r w:rsidR="00804843" w:rsidRPr="002A28E1">
        <w:t xml:space="preserve">as a “milestone” and </w:t>
      </w:r>
      <w:r w:rsidR="00F65885" w:rsidRPr="002A28E1">
        <w:t>“an example for all states to follow.”</w:t>
      </w:r>
      <w:bookmarkStart w:id="12" w:name="_Ref15295658"/>
      <w:r w:rsidR="00B14B9B" w:rsidRPr="002A28E1">
        <w:rPr>
          <w:rStyle w:val="FootnoteReference"/>
        </w:rPr>
        <w:footnoteReference w:id="48"/>
      </w:r>
      <w:bookmarkEnd w:id="12"/>
      <w:r w:rsidR="00091987" w:rsidRPr="002A28E1">
        <w:t xml:space="preserve"> Indeed, </w:t>
      </w:r>
      <w:r w:rsidR="00091987" w:rsidRPr="00F262F8">
        <w:t xml:space="preserve">Peru’s </w:t>
      </w:r>
      <w:r w:rsidR="009E5999" w:rsidRPr="00F262F8">
        <w:t xml:space="preserve">current legislative scheme recognizes the capacity to act for all adults, with </w:t>
      </w:r>
      <w:r w:rsidR="00AC340C" w:rsidRPr="00F262F8">
        <w:t xml:space="preserve">no possible restrictions </w:t>
      </w:r>
      <w:proofErr w:type="gramStart"/>
      <w:r w:rsidR="006D1289" w:rsidRPr="00F262F8">
        <w:t>on the basis of</w:t>
      </w:r>
      <w:proofErr w:type="gramEnd"/>
      <w:r w:rsidR="006D1289" w:rsidRPr="00F262F8">
        <w:t xml:space="preserve"> </w:t>
      </w:r>
      <w:r w:rsidR="00E067E2" w:rsidRPr="00F262F8">
        <w:t xml:space="preserve">disability. </w:t>
      </w:r>
      <w:r w:rsidR="006425E9" w:rsidRPr="00F262F8">
        <w:t>Since t</w:t>
      </w:r>
      <w:r w:rsidR="00E067E2" w:rsidRPr="00F262F8">
        <w:t>he law</w:t>
      </w:r>
      <w:r w:rsidR="006425E9" w:rsidRPr="00F262F8">
        <w:t xml:space="preserve"> </w:t>
      </w:r>
      <w:r w:rsidR="00CD0D2C" w:rsidRPr="00F262F8">
        <w:t>guarantees</w:t>
      </w:r>
      <w:r w:rsidR="006425E9" w:rsidRPr="00F262F8">
        <w:t xml:space="preserve"> persons with disabilities the capacity to act in “in all aspects of life</w:t>
      </w:r>
      <w:r w:rsidR="006E36C6" w:rsidRPr="00F262F8">
        <w:t>,</w:t>
      </w:r>
      <w:r w:rsidR="006425E9" w:rsidRPr="00F262F8">
        <w:t>”</w:t>
      </w:r>
      <w:r w:rsidR="00E067E2" w:rsidRPr="00F262F8">
        <w:t xml:space="preserve"> </w:t>
      </w:r>
      <w:r w:rsidR="00985971" w:rsidRPr="00F262F8">
        <w:t xml:space="preserve">it </w:t>
      </w:r>
      <w:r w:rsidR="006425E9" w:rsidRPr="00F262F8">
        <w:t xml:space="preserve">would seem to empower </w:t>
      </w:r>
      <w:r w:rsidR="006270E0" w:rsidRPr="00F262F8">
        <w:t>persons with disabilities</w:t>
      </w:r>
      <w:r w:rsidR="00453BB7" w:rsidRPr="00F262F8">
        <w:t xml:space="preserve"> </w:t>
      </w:r>
      <w:r w:rsidR="00FE72BA" w:rsidRPr="00F262F8">
        <w:t>with</w:t>
      </w:r>
      <w:r w:rsidR="006270E0" w:rsidRPr="00F262F8">
        <w:t xml:space="preserve"> decision-making autonomy in </w:t>
      </w:r>
      <w:r w:rsidR="00ED2387" w:rsidRPr="00F262F8">
        <w:t>marriage, parental relationships, voting, health, financial matters, and legal proceedings.</w:t>
      </w:r>
      <w:r w:rsidR="004A649C" w:rsidRPr="00F262F8">
        <w:t xml:space="preserve"> </w:t>
      </w:r>
    </w:p>
    <w:p w14:paraId="0BFF8C8A" w14:textId="77777777" w:rsidR="007553DF" w:rsidRPr="002A28E1" w:rsidRDefault="007553DF"/>
    <w:p w14:paraId="1B3A5C87" w14:textId="59C072D3" w:rsidR="006A0212" w:rsidRDefault="005A49E5" w:rsidP="00910E19">
      <w:r w:rsidRPr="002A28E1">
        <w:t xml:space="preserve">As called for by Article 12 of the CRPD, the law also provides for access to support for persons </w:t>
      </w:r>
      <w:r w:rsidRPr="00BD5B73">
        <w:t>with disabilities in the exercise of their legal capacity</w:t>
      </w:r>
      <w:r w:rsidR="001B04AC" w:rsidRPr="00BD5B73">
        <w:t xml:space="preserve">. </w:t>
      </w:r>
      <w:r w:rsidR="00F278F7" w:rsidRPr="00BD5B73">
        <w:t xml:space="preserve">Given the flexibility of the language in the legislative provisions, persons are presumably able to request support measures with respect to decisions in all areas of life. </w:t>
      </w:r>
      <w:r w:rsidR="006A0212">
        <w:t>One also may remark that Peru’s legislation allows for support in the form of advance planning mechanisms, whereby the person requesting support delineates the exact moment at which support arrangements should enter into effect.</w:t>
      </w:r>
      <w:r w:rsidR="006A0212">
        <w:rPr>
          <w:rStyle w:val="FootnoteReference"/>
        </w:rPr>
        <w:footnoteReference w:id="49"/>
      </w:r>
      <w:r w:rsidR="006A0212">
        <w:t xml:space="preserve"> This </w:t>
      </w:r>
      <w:proofErr w:type="gramStart"/>
      <w:r w:rsidR="006A0212">
        <w:t>advance planning</w:t>
      </w:r>
      <w:proofErr w:type="gramEnd"/>
      <w:r w:rsidR="006A0212">
        <w:t xml:space="preserve"> framework which gives ample control the person with a disability would appear to be squarely in line with the vision of advance planning contemplated by Article 12.</w:t>
      </w:r>
      <w:r w:rsidR="006A0212">
        <w:rPr>
          <w:rStyle w:val="FootnoteReference"/>
        </w:rPr>
        <w:footnoteReference w:id="50"/>
      </w:r>
    </w:p>
    <w:p w14:paraId="786DC0D7" w14:textId="77777777" w:rsidR="006A0212" w:rsidRDefault="006A0212" w:rsidP="00910E19"/>
    <w:p w14:paraId="25B4CC1E" w14:textId="27649F2D" w:rsidR="00910E19" w:rsidRPr="002A28E1" w:rsidRDefault="00910E19" w:rsidP="00910E19">
      <w:r w:rsidRPr="00BD5B73">
        <w:t xml:space="preserve">The legislation </w:t>
      </w:r>
      <w:r w:rsidRPr="00E13050">
        <w:t>notably empowers persons with disabilities to design their own supports for the exercise of their legal capacity</w:t>
      </w:r>
      <w:r w:rsidR="00A369F8" w:rsidRPr="00E13050">
        <w:t>.</w:t>
      </w:r>
      <w:r w:rsidRPr="00E13050">
        <w:t xml:space="preserve"> </w:t>
      </w:r>
      <w:r w:rsidR="00A369F8" w:rsidRPr="00E13050">
        <w:t>This</w:t>
      </w:r>
      <w:r w:rsidRPr="00E13050">
        <w:t xml:space="preserve"> </w:t>
      </w:r>
      <w:r w:rsidR="00DE40DF" w:rsidRPr="00E13050">
        <w:t xml:space="preserve">feature </w:t>
      </w:r>
      <w:r w:rsidR="00902D87" w:rsidRPr="00E13050">
        <w:t xml:space="preserve">would seem to be in keeping with Article 12, </w:t>
      </w:r>
      <w:r w:rsidR="00304466" w:rsidRPr="00E13050">
        <w:t xml:space="preserve">as it </w:t>
      </w:r>
      <w:r w:rsidR="00902D87" w:rsidRPr="00E13050">
        <w:t>undoubtedly</w:t>
      </w:r>
      <w:r w:rsidR="000043B0" w:rsidRPr="00E13050">
        <w:t xml:space="preserve"> al</w:t>
      </w:r>
      <w:r w:rsidR="000043B0">
        <w:t>low</w:t>
      </w:r>
      <w:r w:rsidR="00B708AF">
        <w:t>s</w:t>
      </w:r>
      <w:r w:rsidR="000043B0">
        <w:t xml:space="preserve"> for supports of various types and intensities to </w:t>
      </w:r>
      <w:proofErr w:type="gramStart"/>
      <w:r w:rsidR="000043B0">
        <w:t>be established</w:t>
      </w:r>
      <w:proofErr w:type="gramEnd"/>
      <w:r w:rsidR="00D81EF8">
        <w:t xml:space="preserve">, depending on </w:t>
      </w:r>
      <w:r w:rsidR="00D81EF8">
        <w:lastRenderedPageBreak/>
        <w:t>a given person’s situation.</w:t>
      </w:r>
      <w:r w:rsidR="003029A0">
        <w:rPr>
          <w:rStyle w:val="FootnoteReference"/>
        </w:rPr>
        <w:footnoteReference w:id="51"/>
      </w:r>
      <w:r w:rsidRPr="002A28E1">
        <w:t xml:space="preserve"> </w:t>
      </w:r>
      <w:r w:rsidR="00602FC3">
        <w:t xml:space="preserve">Nonetheless, </w:t>
      </w:r>
      <w:r w:rsidRPr="002A28E1">
        <w:t>Martinez-</w:t>
      </w:r>
      <w:proofErr w:type="spellStart"/>
      <w:r w:rsidRPr="002A28E1">
        <w:t>Pujalte</w:t>
      </w:r>
      <w:proofErr w:type="spellEnd"/>
      <w:r w:rsidRPr="002A28E1">
        <w:t xml:space="preserve"> has in fact taken exception to this feature of the legislation, arguing that some people with disabilities might not be in a position to </w:t>
      </w:r>
      <w:r>
        <w:t xml:space="preserve">determine </w:t>
      </w:r>
      <w:r w:rsidRPr="002A28E1">
        <w:t xml:space="preserve">their own supports, if they lack a network of relatives or trusted individuals or because they merely are unsure of how to proceed. Thus, he suggests that the new legislative regime should have enabled the supported person or their relatives to request that the court arrange the support, with a guarantee that the person’s “will and preferences” </w:t>
      </w:r>
      <w:proofErr w:type="gramStart"/>
      <w:r w:rsidRPr="002A28E1">
        <w:t>would be respected</w:t>
      </w:r>
      <w:proofErr w:type="gramEnd"/>
      <w:r w:rsidRPr="002A28E1">
        <w:t>.</w:t>
      </w:r>
      <w:r w:rsidRPr="002A28E1">
        <w:rPr>
          <w:rStyle w:val="FootnoteReference"/>
        </w:rPr>
        <w:footnoteReference w:id="52"/>
      </w:r>
      <w:r>
        <w:t xml:space="preserve"> Peru’s legislation arguably fails to account for the fact that some persons might desire or need guidance in </w:t>
      </w:r>
      <w:r w:rsidR="00630A1A">
        <w:t>organising</w:t>
      </w:r>
      <w:r>
        <w:t xml:space="preserve"> their supports.</w:t>
      </w:r>
    </w:p>
    <w:p w14:paraId="41BCBAE8" w14:textId="77777777" w:rsidR="00152006" w:rsidRPr="002A28E1" w:rsidRDefault="00152006" w:rsidP="00C2063A"/>
    <w:p w14:paraId="4CB73F7D" w14:textId="1FF56D2B" w:rsidR="001B04AC" w:rsidRPr="002A28E1" w:rsidRDefault="007553DF" w:rsidP="00C2063A">
      <w:r w:rsidRPr="002A28E1">
        <w:t xml:space="preserve">Peruvian law </w:t>
      </w:r>
      <w:r w:rsidR="00113821" w:rsidRPr="002A28E1">
        <w:t>also</w:t>
      </w:r>
      <w:r w:rsidRPr="002A28E1">
        <w:t xml:space="preserve"> allow</w:t>
      </w:r>
      <w:r w:rsidR="0047559F" w:rsidRPr="002A28E1">
        <w:t>s</w:t>
      </w:r>
      <w:r w:rsidRPr="002A28E1">
        <w:t xml:space="preserve"> </w:t>
      </w:r>
      <w:proofErr w:type="gramStart"/>
      <w:r w:rsidRPr="002A28E1">
        <w:t>for support</w:t>
      </w:r>
      <w:proofErr w:type="gramEnd"/>
      <w:r w:rsidRPr="002A28E1">
        <w:t xml:space="preserve"> to entail representative functions in some cases</w:t>
      </w:r>
      <w:r w:rsidR="005B3B9C">
        <w:t>.</w:t>
      </w:r>
      <w:r w:rsidR="001F1D13" w:rsidRPr="002A28E1">
        <w:rPr>
          <w:rStyle w:val="FootnoteReference"/>
        </w:rPr>
        <w:footnoteReference w:id="53"/>
      </w:r>
      <w:r w:rsidR="001F1D13" w:rsidRPr="002A28E1">
        <w:t xml:space="preserve"> UN Special Rapporteur </w:t>
      </w:r>
      <w:proofErr w:type="spellStart"/>
      <w:r w:rsidR="001F1D13" w:rsidRPr="002A28E1">
        <w:t>Devandas</w:t>
      </w:r>
      <w:proofErr w:type="spellEnd"/>
      <w:r w:rsidR="00277E63">
        <w:t xml:space="preserve"> Aguilar</w:t>
      </w:r>
      <w:r w:rsidR="001F1D13" w:rsidRPr="002A28E1">
        <w:t xml:space="preserve"> has criticized legislative regimes in which “the role of supporters includes representation as a general rule,” as she contends that this “renders support as a de facto mechanism of substitute decision-making.”</w:t>
      </w:r>
      <w:r w:rsidR="00C2063A" w:rsidRPr="002A28E1">
        <w:rPr>
          <w:rStyle w:val="FootnoteReference"/>
        </w:rPr>
        <w:footnoteReference w:id="54"/>
      </w:r>
      <w:r w:rsidR="00C2063A" w:rsidRPr="002A28E1">
        <w:t xml:space="preserve"> However, in Peru’s case representation is ostensibly not a “general rule” of support</w:t>
      </w:r>
      <w:r w:rsidR="001E4537" w:rsidRPr="002A28E1">
        <w:t>,</w:t>
      </w:r>
      <w:r w:rsidR="00C2063A" w:rsidRPr="002A28E1">
        <w:t xml:space="preserve"> as it is limited to circumstances in which it </w:t>
      </w:r>
      <w:proofErr w:type="gramStart"/>
      <w:r w:rsidR="00C2063A" w:rsidRPr="002A28E1">
        <w:t>is requested</w:t>
      </w:r>
      <w:proofErr w:type="gramEnd"/>
      <w:r w:rsidR="00C2063A" w:rsidRPr="002A28E1">
        <w:t xml:space="preserve"> by persons requiring support or in extremely difficult cases for those who cannot express their will or those who are in a coma.</w:t>
      </w:r>
      <w:r w:rsidR="00211470">
        <w:rPr>
          <w:rStyle w:val="FootnoteReference"/>
        </w:rPr>
        <w:footnoteReference w:id="55"/>
      </w:r>
      <w:r w:rsidR="00C2063A" w:rsidRPr="002A28E1">
        <w:t xml:space="preserve"> Therefore, the circumstances in which persons with disabilities will have a supporter with representative functions </w:t>
      </w:r>
      <w:r w:rsidR="00124FC2" w:rsidRPr="002A28E1">
        <w:t>may be</w:t>
      </w:r>
      <w:r w:rsidR="00C2063A" w:rsidRPr="002A28E1">
        <w:t xml:space="preserve"> infrequent, but it is important to note that </w:t>
      </w:r>
      <w:r w:rsidR="003D076A" w:rsidRPr="002A28E1">
        <w:t>Peruvian law allows for</w:t>
      </w:r>
      <w:r w:rsidR="007F7C33" w:rsidRPr="002A28E1">
        <w:t xml:space="preserve"> this</w:t>
      </w:r>
      <w:r w:rsidR="00C2063A" w:rsidRPr="002A28E1">
        <w:t xml:space="preserve"> possibility for limiting the exercise of legal capacity through the appointment of a supporter with representative powers.</w:t>
      </w:r>
    </w:p>
    <w:p w14:paraId="45CB32E1" w14:textId="7F4CB8CC" w:rsidR="009C63EE" w:rsidRPr="002A28E1" w:rsidRDefault="009C63EE"/>
    <w:p w14:paraId="0934303D" w14:textId="164D89D3" w:rsidR="00203424" w:rsidRPr="002A28E1" w:rsidRDefault="00EB323D" w:rsidP="00E53639">
      <w:r w:rsidRPr="002A28E1">
        <w:t xml:space="preserve">That said, the </w:t>
      </w:r>
      <w:r w:rsidR="009566A1" w:rsidRPr="002A28E1">
        <w:t xml:space="preserve">new </w:t>
      </w:r>
      <w:r w:rsidRPr="002A28E1">
        <w:t xml:space="preserve">Peruvian </w:t>
      </w:r>
      <w:r w:rsidR="009566A1" w:rsidRPr="002A28E1">
        <w:t>legislation continuously emphasizes respect for the “will and preferences” of the supported individual</w:t>
      </w:r>
      <w:r w:rsidRPr="002A28E1">
        <w:t>, in keeping with Article 12.</w:t>
      </w:r>
      <w:r w:rsidRPr="002A28E1">
        <w:rPr>
          <w:rStyle w:val="FootnoteReference"/>
        </w:rPr>
        <w:footnoteReference w:id="56"/>
      </w:r>
      <w:r w:rsidR="0050213E">
        <w:t xml:space="preserve"> It</w:t>
      </w:r>
      <w:r w:rsidR="002128F9">
        <w:t xml:space="preserve"> closely follows the dictates of Article 12 by providing that </w:t>
      </w:r>
      <w:r w:rsidR="00142E6B">
        <w:t xml:space="preserve">where it is difficult to ascertain </w:t>
      </w:r>
      <w:r w:rsidR="000E26E4">
        <w:t xml:space="preserve">a </w:t>
      </w:r>
      <w:proofErr w:type="gramStart"/>
      <w:r w:rsidR="000E26E4">
        <w:t>person’s</w:t>
      </w:r>
      <w:proofErr w:type="gramEnd"/>
      <w:r w:rsidR="000E26E4">
        <w:t xml:space="preserve"> will and preferences</w:t>
      </w:r>
      <w:r w:rsidR="00E62B75">
        <w:t xml:space="preserve">, the </w:t>
      </w:r>
      <w:r w:rsidR="001A534D">
        <w:t>principle</w:t>
      </w:r>
      <w:r w:rsidR="00E62B75">
        <w:t xml:space="preserve"> of “best interpretation of </w:t>
      </w:r>
      <w:r w:rsidR="00F32E05">
        <w:t xml:space="preserve">the </w:t>
      </w:r>
      <w:r w:rsidR="00E62B75">
        <w:t xml:space="preserve">will” must be </w:t>
      </w:r>
      <w:r w:rsidR="009D6E16">
        <w:t>resorted to</w:t>
      </w:r>
      <w:r w:rsidR="00E62B75">
        <w:t>.</w:t>
      </w:r>
      <w:r w:rsidR="00AD29D6">
        <w:rPr>
          <w:rStyle w:val="FootnoteReference"/>
        </w:rPr>
        <w:footnoteReference w:id="57"/>
      </w:r>
      <w:r w:rsidR="000E26E4">
        <w:t xml:space="preserve"> </w:t>
      </w:r>
      <w:proofErr w:type="gramStart"/>
      <w:r w:rsidR="00E33B1E" w:rsidRPr="002A28E1">
        <w:t>Also</w:t>
      </w:r>
      <w:proofErr w:type="gramEnd"/>
      <w:r w:rsidR="004F4D05" w:rsidRPr="002A28E1">
        <w:t>,</w:t>
      </w:r>
      <w:r w:rsidR="004256C5" w:rsidRPr="002A28E1">
        <w:t xml:space="preserve"> in</w:t>
      </w:r>
      <w:r w:rsidR="004F4D05" w:rsidRPr="002A28E1">
        <w:t xml:space="preserve"> line</w:t>
      </w:r>
      <w:r w:rsidR="004256C5" w:rsidRPr="002A28E1">
        <w:t xml:space="preserve"> with Article 12</w:t>
      </w:r>
      <w:r w:rsidR="00DD6D4C" w:rsidRPr="002A28E1">
        <w:t xml:space="preserve">, </w:t>
      </w:r>
      <w:r w:rsidR="00631852" w:rsidRPr="002A28E1">
        <w:t>P</w:t>
      </w:r>
      <w:r w:rsidR="00903699" w:rsidRPr="002A28E1">
        <w:t>eru</w:t>
      </w:r>
      <w:r w:rsidR="00E721B4">
        <w:t>’s</w:t>
      </w:r>
      <w:r w:rsidR="00903699" w:rsidRPr="002A28E1">
        <w:t xml:space="preserve"> legislation </w:t>
      </w:r>
      <w:r w:rsidR="000952FD" w:rsidRPr="002A28E1">
        <w:t xml:space="preserve">provides for </w:t>
      </w:r>
      <w:r w:rsidR="005A49E5" w:rsidRPr="002A28E1">
        <w:t>safeguards to prevent abuse</w:t>
      </w:r>
      <w:r w:rsidR="00466C2E" w:rsidRPr="002A28E1">
        <w:t xml:space="preserve"> of support measures</w:t>
      </w:r>
      <w:r w:rsidR="005A49E5" w:rsidRPr="002A28E1">
        <w:t xml:space="preserve">. According to the </w:t>
      </w:r>
      <w:r w:rsidR="00A209C3">
        <w:t>reformed</w:t>
      </w:r>
      <w:r w:rsidR="006522B9" w:rsidRPr="002A28E1">
        <w:t xml:space="preserve"> Peruvian Civil Code</w:t>
      </w:r>
      <w:r w:rsidR="008114F5" w:rsidRPr="002A28E1">
        <w:t>, the responsibility</w:t>
      </w:r>
      <w:r w:rsidR="000B7E7A" w:rsidRPr="002A28E1">
        <w:t xml:space="preserve"> falls upon</w:t>
      </w:r>
      <w:r w:rsidR="008114F5" w:rsidRPr="002A28E1">
        <w:t xml:space="preserve"> the </w:t>
      </w:r>
      <w:r w:rsidR="00F24DD2" w:rsidRPr="002A28E1">
        <w:t xml:space="preserve">person requesting the support </w:t>
      </w:r>
      <w:r w:rsidR="00503CD2" w:rsidRPr="002A28E1">
        <w:t xml:space="preserve">(or on the judge in the </w:t>
      </w:r>
      <w:r w:rsidR="0003141E">
        <w:t xml:space="preserve">“exceptional” </w:t>
      </w:r>
      <w:r w:rsidR="00503CD2" w:rsidRPr="002A28E1">
        <w:t>case</w:t>
      </w:r>
      <w:r w:rsidR="0003141E">
        <w:t>s</w:t>
      </w:r>
      <w:r w:rsidR="00503CD2" w:rsidRPr="002A28E1">
        <w:t xml:space="preserve"> </w:t>
      </w:r>
      <w:r w:rsidR="0003141E">
        <w:t>under</w:t>
      </w:r>
      <w:r w:rsidR="00503CD2" w:rsidRPr="002A28E1">
        <w:t xml:space="preserve"> </w:t>
      </w:r>
      <w:r w:rsidR="006B6A7B" w:rsidRPr="002A28E1">
        <w:t>A</w:t>
      </w:r>
      <w:r w:rsidR="00503CD2" w:rsidRPr="002A28E1">
        <w:t xml:space="preserve">rticle 659-E) to </w:t>
      </w:r>
      <w:r w:rsidR="0056020A" w:rsidRPr="002A28E1">
        <w:t>determine</w:t>
      </w:r>
      <w:r w:rsidR="00167F4C" w:rsidRPr="002A28E1">
        <w:t xml:space="preserve"> </w:t>
      </w:r>
      <w:r w:rsidR="00C3019F" w:rsidRPr="002A28E1">
        <w:t xml:space="preserve">the safeguards that they </w:t>
      </w:r>
      <w:r w:rsidR="00686DC7" w:rsidRPr="002A28E1">
        <w:t xml:space="preserve">consider </w:t>
      </w:r>
      <w:r w:rsidR="008A56F4" w:rsidRPr="002A28E1">
        <w:t>to be appropriate in the given situation</w:t>
      </w:r>
      <w:r w:rsidR="00470261" w:rsidRPr="002A28E1">
        <w:t>.</w:t>
      </w:r>
      <w:r w:rsidR="00846EAB">
        <w:rPr>
          <w:rStyle w:val="FootnoteReference"/>
        </w:rPr>
        <w:footnoteReference w:id="58"/>
      </w:r>
      <w:r w:rsidR="0034352A" w:rsidRPr="002A28E1">
        <w:t xml:space="preserve"> </w:t>
      </w:r>
      <w:r w:rsidR="00EA2BFB">
        <w:t xml:space="preserve">All support arrangements </w:t>
      </w:r>
      <w:proofErr w:type="gramStart"/>
      <w:r w:rsidR="00EA2BFB">
        <w:t>must</w:t>
      </w:r>
      <w:r w:rsidR="008549A0">
        <w:t>,</w:t>
      </w:r>
      <w:r w:rsidR="00EA2BFB">
        <w:t xml:space="preserve"> however, include</w:t>
      </w:r>
      <w:proofErr w:type="gramEnd"/>
      <w:r w:rsidR="00EA2BFB">
        <w:t xml:space="preserve"> deadlines by which </w:t>
      </w:r>
      <w:r w:rsidR="00B1011A">
        <w:t>measures</w:t>
      </w:r>
      <w:r w:rsidR="00EB6949">
        <w:t xml:space="preserve"> must be reviewed.</w:t>
      </w:r>
      <w:r w:rsidR="00EB6949">
        <w:rPr>
          <w:rStyle w:val="FootnoteReference"/>
        </w:rPr>
        <w:footnoteReference w:id="59"/>
      </w:r>
      <w:r w:rsidR="0091004B">
        <w:t xml:space="preserve"> </w:t>
      </w:r>
      <w:r w:rsidR="0034352A" w:rsidRPr="002A28E1">
        <w:t>The</w:t>
      </w:r>
      <w:r w:rsidR="00F07AA3">
        <w:t xml:space="preserve"> amended Code specifies that the</w:t>
      </w:r>
      <w:r w:rsidR="0034352A" w:rsidRPr="002A28E1">
        <w:t xml:space="preserve"> judge </w:t>
      </w:r>
      <w:r w:rsidR="007C1A96">
        <w:t xml:space="preserve">is to </w:t>
      </w:r>
      <w:r w:rsidR="0034352A" w:rsidRPr="002A28E1">
        <w:t>carr</w:t>
      </w:r>
      <w:r w:rsidR="00226986">
        <w:t>y</w:t>
      </w:r>
      <w:r w:rsidR="0034352A" w:rsidRPr="002A28E1">
        <w:t xml:space="preserve"> out all necessary hearings and proceedings to assess whether the support person is </w:t>
      </w:r>
      <w:r w:rsidR="00ED36DA" w:rsidRPr="002A28E1">
        <w:t>acting in line with their mandate and the will and preferences of the person.</w:t>
      </w:r>
      <w:r w:rsidR="00E53639" w:rsidRPr="002A28E1">
        <w:rPr>
          <w:rStyle w:val="FootnoteReference"/>
        </w:rPr>
        <w:footnoteReference w:id="60"/>
      </w:r>
      <w:r w:rsidR="00E53639" w:rsidRPr="002A28E1">
        <w:t xml:space="preserve"> </w:t>
      </w:r>
      <w:r w:rsidR="00FA11F3" w:rsidRPr="002A28E1">
        <w:t>Martinez-</w:t>
      </w:r>
      <w:proofErr w:type="spellStart"/>
      <w:r w:rsidR="00FA11F3" w:rsidRPr="002A28E1">
        <w:t>Pujalte</w:t>
      </w:r>
      <w:proofErr w:type="spellEnd"/>
      <w:r w:rsidR="00FA11F3" w:rsidRPr="002A28E1">
        <w:t xml:space="preserve"> </w:t>
      </w:r>
      <w:r w:rsidR="00E53639" w:rsidRPr="002A28E1">
        <w:t xml:space="preserve">contends that this framework for safeguards </w:t>
      </w:r>
      <w:r w:rsidR="007C3D13" w:rsidRPr="002A28E1">
        <w:t>does not sufficiently address</w:t>
      </w:r>
      <w:r w:rsidR="007D5754" w:rsidRPr="002A28E1">
        <w:t xml:space="preserve"> the risk </w:t>
      </w:r>
      <w:r w:rsidR="00BE6349" w:rsidRPr="002A28E1">
        <w:t xml:space="preserve">that the supported person </w:t>
      </w:r>
      <w:proofErr w:type="gramStart"/>
      <w:r w:rsidR="00BE6349" w:rsidRPr="002A28E1">
        <w:t>may be exposed</w:t>
      </w:r>
      <w:proofErr w:type="gramEnd"/>
      <w:r w:rsidR="00BE6349" w:rsidRPr="002A28E1">
        <w:t xml:space="preserve"> to undue influence.</w:t>
      </w:r>
      <w:r w:rsidR="00EA60BA" w:rsidRPr="002A28E1">
        <w:t xml:space="preserve"> According to this scholar, “it is not enough to allow the person receiving support to establish the safeguards he deems appropriate himself; the law must protect the weakest party in the </w:t>
      </w:r>
      <w:r w:rsidR="00EA60BA" w:rsidRPr="002A28E1">
        <w:lastRenderedPageBreak/>
        <w:t>relationship and has to provide these safeguards if the individual himself fails to do it.</w:t>
      </w:r>
      <w:r w:rsidR="0037084E" w:rsidRPr="002A28E1">
        <w:t>”</w:t>
      </w:r>
      <w:r w:rsidR="007E281E">
        <w:rPr>
          <w:rStyle w:val="FootnoteReference"/>
        </w:rPr>
        <w:footnoteReference w:id="61"/>
      </w:r>
      <w:r w:rsidR="0037084E" w:rsidRPr="002A28E1">
        <w:t xml:space="preserve"> </w:t>
      </w:r>
      <w:r w:rsidR="00AA76E8" w:rsidRPr="002A28E1">
        <w:t xml:space="preserve">He then </w:t>
      </w:r>
      <w:r w:rsidR="00290DFD" w:rsidRPr="002A28E1">
        <w:t>proceeds</w:t>
      </w:r>
      <w:r w:rsidR="00F355FC" w:rsidRPr="002A28E1">
        <w:t xml:space="preserve"> </w:t>
      </w:r>
      <w:r w:rsidR="002D65ED" w:rsidRPr="002A28E1">
        <w:t xml:space="preserve">to present additional safeguards that could have been </w:t>
      </w:r>
      <w:r w:rsidR="00FA6F83" w:rsidRPr="002A28E1">
        <w:t xml:space="preserve">included in Peru’s legislation, </w:t>
      </w:r>
      <w:r w:rsidR="00912AC3" w:rsidRPr="002A28E1">
        <w:t xml:space="preserve">such as </w:t>
      </w:r>
      <w:r w:rsidR="00F0300C" w:rsidRPr="002A28E1">
        <w:t xml:space="preserve">independent monitoring </w:t>
      </w:r>
      <w:r w:rsidR="00AE5AEC" w:rsidRPr="002A28E1">
        <w:t>of the support relationship by a support supervisor.</w:t>
      </w:r>
      <w:r w:rsidR="00AE5AEC" w:rsidRPr="002A28E1">
        <w:rPr>
          <w:rStyle w:val="FootnoteReference"/>
        </w:rPr>
        <w:footnoteReference w:id="62"/>
      </w:r>
      <w:r w:rsidR="00D929E9" w:rsidRPr="002A28E1">
        <w:t xml:space="preserve"> </w:t>
      </w:r>
      <w:r w:rsidR="00F101BA" w:rsidRPr="002A28E1">
        <w:t>I</w:t>
      </w:r>
      <w:r w:rsidR="00AE6955">
        <w:t xml:space="preserve">ndeed, </w:t>
      </w:r>
      <w:r w:rsidR="00F101BA" w:rsidRPr="002A28E1">
        <w:t>Peruvian law</w:t>
      </w:r>
      <w:r w:rsidR="00C247C6">
        <w:t xml:space="preserve"> </w:t>
      </w:r>
      <w:r w:rsidR="00F101BA" w:rsidRPr="002A28E1">
        <w:t xml:space="preserve">seems to present safeguards as almost optional measures. The reformed Code of Civil Procedure reads that the final resolution outlining a person’s support measures should </w:t>
      </w:r>
      <w:proofErr w:type="gramStart"/>
      <w:r w:rsidR="00F101BA" w:rsidRPr="002A28E1">
        <w:t>state</w:t>
      </w:r>
      <w:proofErr w:type="gramEnd"/>
      <w:r w:rsidR="00F101BA" w:rsidRPr="002A28E1">
        <w:t xml:space="preserve"> “what are the safeguard measures, if necessary.”</w:t>
      </w:r>
      <w:r w:rsidR="00F101BA" w:rsidRPr="002A28E1">
        <w:rPr>
          <w:rStyle w:val="FootnoteReference"/>
        </w:rPr>
        <w:footnoteReference w:id="63"/>
      </w:r>
      <w:r w:rsidR="00F101BA" w:rsidRPr="002A28E1">
        <w:t xml:space="preserve"> This language would </w:t>
      </w:r>
      <w:r w:rsidR="0058717A" w:rsidRPr="002A28E1">
        <w:t>seem to imply that it is possible for a judge or notary to accept a support plan with no safeguards at all</w:t>
      </w:r>
      <w:r w:rsidR="00A44F08">
        <w:t xml:space="preserve"> (aside from a</w:t>
      </w:r>
      <w:r w:rsidR="00BB6F8D">
        <w:t xml:space="preserve">n established </w:t>
      </w:r>
      <w:r w:rsidR="00B646A1">
        <w:t>deadline for</w:t>
      </w:r>
      <w:r w:rsidR="00A44F08">
        <w:t xml:space="preserve"> review)</w:t>
      </w:r>
      <w:r w:rsidR="0058717A" w:rsidRPr="002A28E1">
        <w:t>.</w:t>
      </w:r>
      <w:r w:rsidR="007469D2" w:rsidRPr="002A28E1">
        <w:t xml:space="preserve"> One must ask whether </w:t>
      </w:r>
      <w:r w:rsidR="001F2B88" w:rsidRPr="002A28E1">
        <w:t xml:space="preserve">allowing for the </w:t>
      </w:r>
      <w:r w:rsidR="009F048C">
        <w:t>provision of</w:t>
      </w:r>
      <w:r w:rsidR="001F2B88" w:rsidRPr="002A28E1">
        <w:t xml:space="preserve"> support without</w:t>
      </w:r>
      <w:r w:rsidR="00DF0723">
        <w:t xml:space="preserve"> </w:t>
      </w:r>
      <w:r w:rsidR="00E149F8" w:rsidRPr="009D658A">
        <w:t>substantial</w:t>
      </w:r>
      <w:r w:rsidR="006E136C" w:rsidRPr="009D658A">
        <w:t xml:space="preserve"> mandatory</w:t>
      </w:r>
      <w:r w:rsidR="001F2B88" w:rsidRPr="009D658A">
        <w:t xml:space="preserve"> safeguards</w:t>
      </w:r>
      <w:r w:rsidR="007469D2" w:rsidRPr="002A28E1">
        <w:t xml:space="preserve"> risks </w:t>
      </w:r>
      <w:r w:rsidR="00684612" w:rsidRPr="002A28E1">
        <w:t>making some</w:t>
      </w:r>
      <w:r w:rsidR="007469D2" w:rsidRPr="002A28E1">
        <w:t xml:space="preserve"> persons with disabilities </w:t>
      </w:r>
      <w:r w:rsidR="00684612" w:rsidRPr="002A28E1">
        <w:t>susceptible to</w:t>
      </w:r>
      <w:r w:rsidR="007469D2" w:rsidRPr="002A28E1">
        <w:t xml:space="preserve"> </w:t>
      </w:r>
      <w:proofErr w:type="gramStart"/>
      <w:r w:rsidR="007469D2" w:rsidRPr="002A28E1">
        <w:t>being taken</w:t>
      </w:r>
      <w:proofErr w:type="gramEnd"/>
      <w:r w:rsidR="007469D2" w:rsidRPr="002A28E1">
        <w:t xml:space="preserve"> advantage of by supporters.</w:t>
      </w:r>
    </w:p>
    <w:p w14:paraId="41B2C686" w14:textId="77777777" w:rsidR="00203424" w:rsidRPr="002A28E1" w:rsidRDefault="00203424" w:rsidP="00D929E9">
      <w:pPr>
        <w:pStyle w:val="NormalWeb"/>
        <w:spacing w:before="0" w:beforeAutospacing="0" w:after="0" w:afterAutospacing="0"/>
      </w:pPr>
    </w:p>
    <w:p w14:paraId="63F1786F" w14:textId="7801F0D5" w:rsidR="00FA11F3" w:rsidRPr="002A28E1" w:rsidRDefault="00D929E9" w:rsidP="00D929E9">
      <w:pPr>
        <w:pStyle w:val="NormalWeb"/>
        <w:spacing w:before="0" w:beforeAutospacing="0" w:after="0" w:afterAutospacing="0"/>
      </w:pPr>
      <w:r w:rsidRPr="002A28E1">
        <w:t xml:space="preserve">In terms of other shortcomings to this reform, </w:t>
      </w:r>
      <w:proofErr w:type="spellStart"/>
      <w:r w:rsidR="00CA2D61" w:rsidRPr="002A28E1">
        <w:t>Minkowitz</w:t>
      </w:r>
      <w:proofErr w:type="spellEnd"/>
      <w:r w:rsidR="00CA2D61" w:rsidRPr="002A28E1">
        <w:t xml:space="preserve"> </w:t>
      </w:r>
      <w:r w:rsidR="0083052D" w:rsidRPr="002A28E1">
        <w:t>points to the need for further reforms</w:t>
      </w:r>
      <w:r w:rsidR="00FB5627" w:rsidRPr="002A28E1">
        <w:t xml:space="preserve"> to Peru’s Health Law</w:t>
      </w:r>
      <w:r w:rsidR="00FB2108" w:rsidRPr="002A28E1">
        <w:t>, which still allows for forced medical interventions in the case of “emergencies” or where the person has addiction problems.</w:t>
      </w:r>
      <w:r w:rsidR="00B7290F" w:rsidRPr="002A28E1">
        <w:t xml:space="preserve"> She also notes the </w:t>
      </w:r>
      <w:r w:rsidR="002E75BA" w:rsidRPr="002A28E1">
        <w:t>outstanding</w:t>
      </w:r>
      <w:r w:rsidR="00B7290F" w:rsidRPr="002A28E1">
        <w:t xml:space="preserve"> need for reforms</w:t>
      </w:r>
      <w:r w:rsidR="00FB2108" w:rsidRPr="002A28E1">
        <w:t xml:space="preserve"> </w:t>
      </w:r>
      <w:r w:rsidR="00B7290F" w:rsidRPr="002A28E1">
        <w:t xml:space="preserve">to Peru’s </w:t>
      </w:r>
      <w:r w:rsidR="007F3471" w:rsidRPr="002A28E1">
        <w:t xml:space="preserve">criminal law, which </w:t>
      </w:r>
      <w:r w:rsidR="00B3747C" w:rsidRPr="002A28E1">
        <w:t xml:space="preserve">allows for declarations of non-criminal responsibility based on disability and the </w:t>
      </w:r>
      <w:r w:rsidR="009C29F6" w:rsidRPr="002A28E1">
        <w:t>imposition of psychiatric institutionalization as a “security measure</w:t>
      </w:r>
      <w:r w:rsidR="00493D13" w:rsidRPr="002A28E1">
        <w:t>.</w:t>
      </w:r>
      <w:r w:rsidR="009C29F6" w:rsidRPr="002A28E1">
        <w:t>”</w:t>
      </w:r>
      <w:r w:rsidR="00DE3494" w:rsidRPr="002A28E1">
        <w:t xml:space="preserve"> </w:t>
      </w:r>
      <w:r w:rsidR="00AF156C" w:rsidRPr="002A28E1">
        <w:t xml:space="preserve">The 2018 Legislative Decree </w:t>
      </w:r>
      <w:r w:rsidR="006C71B9" w:rsidRPr="002A28E1">
        <w:t>did not call for changes to</w:t>
      </w:r>
      <w:r w:rsidR="00D87836" w:rsidRPr="002A28E1">
        <w:t xml:space="preserve"> the</w:t>
      </w:r>
      <w:r w:rsidR="006C71B9" w:rsidRPr="002A28E1">
        <w:t xml:space="preserve"> country’s health or criminal law.</w:t>
      </w:r>
      <w:r w:rsidR="007A1FE3" w:rsidRPr="002A28E1">
        <w:rPr>
          <w:rStyle w:val="FootnoteReference"/>
        </w:rPr>
        <w:footnoteReference w:id="64"/>
      </w:r>
    </w:p>
    <w:p w14:paraId="6AB0252E" w14:textId="028F4EB9" w:rsidR="00371B64" w:rsidRPr="002A28E1" w:rsidRDefault="00371B64" w:rsidP="00FA11F3"/>
    <w:p w14:paraId="221CC428" w14:textId="178957AA" w:rsidR="00594466" w:rsidRPr="002A28E1" w:rsidRDefault="00D05098">
      <w:r w:rsidRPr="002A28E1">
        <w:rPr>
          <w:color w:val="000000"/>
          <w:shd w:val="clear" w:color="auto" w:fill="FFFFFF"/>
        </w:rPr>
        <w:t xml:space="preserve">Finally, </w:t>
      </w:r>
      <w:r w:rsidR="00231AC3" w:rsidRPr="002A28E1">
        <w:rPr>
          <w:color w:val="000000"/>
          <w:shd w:val="clear" w:color="auto" w:fill="FFFFFF"/>
        </w:rPr>
        <w:t>on the heels of</w:t>
      </w:r>
      <w:r w:rsidR="00C52C29" w:rsidRPr="002A28E1">
        <w:rPr>
          <w:color w:val="000000"/>
          <w:shd w:val="clear" w:color="auto" w:fill="FFFFFF"/>
        </w:rPr>
        <w:t xml:space="preserve"> </w:t>
      </w:r>
      <w:r w:rsidR="00AE6B52" w:rsidRPr="002A28E1">
        <w:rPr>
          <w:color w:val="000000"/>
          <w:shd w:val="clear" w:color="auto" w:fill="FFFFFF"/>
        </w:rPr>
        <w:t>Peru’s</w:t>
      </w:r>
      <w:r w:rsidR="00C52C29" w:rsidRPr="002A28E1">
        <w:rPr>
          <w:color w:val="000000"/>
          <w:shd w:val="clear" w:color="auto" w:fill="FFFFFF"/>
        </w:rPr>
        <w:t xml:space="preserve"> </w:t>
      </w:r>
      <w:r w:rsidR="00691CB0" w:rsidRPr="002A28E1">
        <w:rPr>
          <w:color w:val="000000"/>
          <w:shd w:val="clear" w:color="auto" w:fill="FFFFFF"/>
        </w:rPr>
        <w:t xml:space="preserve">recent </w:t>
      </w:r>
      <w:r w:rsidR="00222550" w:rsidRPr="002A28E1">
        <w:rPr>
          <w:color w:val="000000"/>
          <w:shd w:val="clear" w:color="auto" w:fill="FFFFFF"/>
        </w:rPr>
        <w:t>changes</w:t>
      </w:r>
      <w:r w:rsidR="004A152B" w:rsidRPr="002A28E1">
        <w:rPr>
          <w:color w:val="000000"/>
          <w:shd w:val="clear" w:color="auto" w:fill="FFFFFF"/>
        </w:rPr>
        <w:t xml:space="preserve"> to </w:t>
      </w:r>
      <w:r w:rsidR="00960E47" w:rsidRPr="002A28E1">
        <w:rPr>
          <w:color w:val="000000"/>
          <w:shd w:val="clear" w:color="auto" w:fill="FFFFFF"/>
        </w:rPr>
        <w:t>its</w:t>
      </w:r>
      <w:r w:rsidR="004A152B" w:rsidRPr="002A28E1">
        <w:rPr>
          <w:color w:val="000000"/>
          <w:shd w:val="clear" w:color="auto" w:fill="FFFFFF"/>
        </w:rPr>
        <w:t xml:space="preserve"> legal capacity regime</w:t>
      </w:r>
      <w:r w:rsidR="00222550" w:rsidRPr="002A28E1">
        <w:rPr>
          <w:color w:val="000000"/>
          <w:shd w:val="clear" w:color="auto" w:fill="FFFFFF"/>
        </w:rPr>
        <w:t>,</w:t>
      </w:r>
      <w:r w:rsidR="000868E6" w:rsidRPr="002A28E1">
        <w:rPr>
          <w:color w:val="000000"/>
          <w:shd w:val="clear" w:color="auto" w:fill="FFFFFF"/>
        </w:rPr>
        <w:t xml:space="preserve"> </w:t>
      </w:r>
      <w:r w:rsidR="000C3260">
        <w:rPr>
          <w:color w:val="000000"/>
          <w:shd w:val="clear" w:color="auto" w:fill="FFFFFF"/>
        </w:rPr>
        <w:t xml:space="preserve">UN </w:t>
      </w:r>
      <w:r w:rsidR="00B40C09" w:rsidRPr="002A28E1">
        <w:rPr>
          <w:color w:val="000000"/>
          <w:shd w:val="clear" w:color="auto" w:fill="FFFFFF"/>
        </w:rPr>
        <w:t xml:space="preserve">Special Rapporteur </w:t>
      </w:r>
      <w:proofErr w:type="spellStart"/>
      <w:r w:rsidR="00092803" w:rsidRPr="002A28E1">
        <w:rPr>
          <w:color w:val="000000"/>
          <w:shd w:val="clear" w:color="auto" w:fill="FFFFFF"/>
        </w:rPr>
        <w:t>Devandas</w:t>
      </w:r>
      <w:proofErr w:type="spellEnd"/>
      <w:r w:rsidR="006A4009" w:rsidRPr="002A28E1">
        <w:rPr>
          <w:color w:val="000000"/>
          <w:shd w:val="clear" w:color="auto" w:fill="FFFFFF"/>
        </w:rPr>
        <w:t xml:space="preserve"> </w:t>
      </w:r>
      <w:proofErr w:type="gramStart"/>
      <w:r w:rsidR="00B257C4" w:rsidRPr="002A28E1">
        <w:rPr>
          <w:color w:val="000000"/>
          <w:shd w:val="clear" w:color="auto" w:fill="FFFFFF"/>
        </w:rPr>
        <w:t>affirmed</w:t>
      </w:r>
      <w:r w:rsidR="0004664F" w:rsidRPr="002A28E1">
        <w:rPr>
          <w:color w:val="000000"/>
          <w:shd w:val="clear" w:color="auto" w:fill="FFFFFF"/>
        </w:rPr>
        <w:t xml:space="preserve"> that</w:t>
      </w:r>
      <w:proofErr w:type="gramEnd"/>
      <w:r w:rsidR="00E30A4F" w:rsidRPr="002A28E1">
        <w:rPr>
          <w:color w:val="000000"/>
          <w:shd w:val="clear" w:color="auto" w:fill="FFFFFF"/>
        </w:rPr>
        <w:t xml:space="preserve"> </w:t>
      </w:r>
      <w:r w:rsidR="005C7E3D" w:rsidRPr="002A28E1">
        <w:rPr>
          <w:color w:val="000000"/>
          <w:shd w:val="clear" w:color="auto" w:fill="FFFFFF"/>
        </w:rPr>
        <w:t>“t</w:t>
      </w:r>
      <w:r w:rsidR="00CD2935" w:rsidRPr="002A28E1">
        <w:rPr>
          <w:color w:val="000000"/>
          <w:shd w:val="clear" w:color="auto" w:fill="FFFFFF"/>
        </w:rPr>
        <w:t>h</w:t>
      </w:r>
      <w:r w:rsidR="00371B64" w:rsidRPr="002A28E1">
        <w:rPr>
          <w:color w:val="000000"/>
          <w:shd w:val="clear" w:color="auto" w:fill="FFFFFF"/>
        </w:rPr>
        <w:t>e justice system, notaries, public offices, universities and the private sector need to fully embrace this reform so that it becomes a reality.</w:t>
      </w:r>
      <w:r w:rsidR="00164E04" w:rsidRPr="002A28E1">
        <w:rPr>
          <w:color w:val="000000"/>
          <w:shd w:val="clear" w:color="auto" w:fill="FFFFFF"/>
        </w:rPr>
        <w:t xml:space="preserve">” In the </w:t>
      </w:r>
      <w:r w:rsidR="00A80444" w:rsidRPr="002A28E1">
        <w:rPr>
          <w:color w:val="000000"/>
          <w:shd w:val="clear" w:color="auto" w:fill="FFFFFF"/>
        </w:rPr>
        <w:t>opinion</w:t>
      </w:r>
      <w:r w:rsidR="00164E04" w:rsidRPr="002A28E1">
        <w:rPr>
          <w:color w:val="000000"/>
          <w:shd w:val="clear" w:color="auto" w:fill="FFFFFF"/>
        </w:rPr>
        <w:t xml:space="preserve"> of the Special Rapporteur,</w:t>
      </w:r>
      <w:r w:rsidR="00371B64" w:rsidRPr="002A28E1">
        <w:rPr>
          <w:color w:val="000000"/>
          <w:shd w:val="clear" w:color="auto" w:fill="FFFFFF"/>
        </w:rPr>
        <w:t xml:space="preserve"> </w:t>
      </w:r>
      <w:r w:rsidR="003E24B7" w:rsidRPr="002A28E1">
        <w:rPr>
          <w:color w:val="000000"/>
          <w:shd w:val="clear" w:color="auto" w:fill="FFFFFF"/>
        </w:rPr>
        <w:t>“</w:t>
      </w:r>
      <w:r w:rsidR="00774F72" w:rsidRPr="002A28E1">
        <w:rPr>
          <w:color w:val="000000"/>
          <w:shd w:val="clear" w:color="auto" w:fill="FFFFFF"/>
        </w:rPr>
        <w:t>t</w:t>
      </w:r>
      <w:r w:rsidR="00371B64" w:rsidRPr="002A28E1">
        <w:rPr>
          <w:color w:val="000000"/>
          <w:shd w:val="clear" w:color="auto" w:fill="FFFFFF"/>
        </w:rPr>
        <w:t>he paradigm shift should not be limited to the law but should be translated into a change in the attitudes and actions of all people concerned</w:t>
      </w:r>
      <w:r w:rsidR="00044D94" w:rsidRPr="002A28E1">
        <w:rPr>
          <w:color w:val="000000"/>
          <w:shd w:val="clear" w:color="auto" w:fill="FFFFFF"/>
        </w:rPr>
        <w:t>.”</w:t>
      </w:r>
      <w:r w:rsidR="00CF06F9" w:rsidRPr="002A28E1">
        <w:rPr>
          <w:rStyle w:val="FootnoteReference"/>
          <w:color w:val="000000"/>
          <w:shd w:val="clear" w:color="auto" w:fill="FFFFFF"/>
        </w:rPr>
        <w:footnoteReference w:id="65"/>
      </w:r>
      <w:r w:rsidR="001D107F" w:rsidRPr="002A28E1">
        <w:rPr>
          <w:color w:val="000000"/>
          <w:shd w:val="clear" w:color="auto" w:fill="FFFFFF"/>
        </w:rPr>
        <w:t xml:space="preserve"> Despite this </w:t>
      </w:r>
      <w:r w:rsidR="000D0FFD" w:rsidRPr="002A28E1">
        <w:rPr>
          <w:color w:val="000000"/>
          <w:shd w:val="clear" w:color="auto" w:fill="FFFFFF"/>
        </w:rPr>
        <w:t>vital</w:t>
      </w:r>
      <w:r w:rsidR="001D107F" w:rsidRPr="002A28E1">
        <w:rPr>
          <w:color w:val="000000"/>
          <w:shd w:val="clear" w:color="auto" w:fill="FFFFFF"/>
        </w:rPr>
        <w:t xml:space="preserve"> need to ensure adequate implementation of the reform</w:t>
      </w:r>
      <w:r w:rsidR="005F4F73" w:rsidRPr="002A28E1">
        <w:rPr>
          <w:color w:val="000000"/>
          <w:shd w:val="clear" w:color="auto" w:fill="FFFFFF"/>
        </w:rPr>
        <w:t xml:space="preserve">, </w:t>
      </w:r>
      <w:r w:rsidR="00F45AE0" w:rsidRPr="002A28E1">
        <w:rPr>
          <w:color w:val="000000"/>
          <w:shd w:val="clear" w:color="auto" w:fill="FFFFFF"/>
        </w:rPr>
        <w:t xml:space="preserve">Peru’s </w:t>
      </w:r>
      <w:r w:rsidR="009D16B4" w:rsidRPr="002A28E1">
        <w:rPr>
          <w:color w:val="000000"/>
          <w:shd w:val="clear" w:color="auto" w:fill="FFFFFF"/>
        </w:rPr>
        <w:t xml:space="preserve">legislative </w:t>
      </w:r>
      <w:r w:rsidR="00AA72F4" w:rsidRPr="002A28E1">
        <w:rPr>
          <w:color w:val="000000"/>
          <w:shd w:val="clear" w:color="auto" w:fill="FFFFFF"/>
        </w:rPr>
        <w:t>changes</w:t>
      </w:r>
      <w:r w:rsidR="00F60BD9" w:rsidRPr="002A28E1">
        <w:rPr>
          <w:color w:val="000000"/>
          <w:shd w:val="clear" w:color="auto" w:fill="FFFFFF"/>
        </w:rPr>
        <w:t xml:space="preserve"> </w:t>
      </w:r>
      <w:r w:rsidR="00AA72F4" w:rsidRPr="002A28E1">
        <w:rPr>
          <w:color w:val="000000"/>
          <w:shd w:val="clear" w:color="auto" w:fill="FFFFFF"/>
        </w:rPr>
        <w:t>are</w:t>
      </w:r>
      <w:r w:rsidR="00F60BD9" w:rsidRPr="002A28E1">
        <w:rPr>
          <w:color w:val="000000"/>
          <w:shd w:val="clear" w:color="auto" w:fill="FFFFFF"/>
        </w:rPr>
        <w:t xml:space="preserve"> undoubtedly </w:t>
      </w:r>
      <w:r w:rsidR="0070525C" w:rsidRPr="002A28E1">
        <w:rPr>
          <w:color w:val="000000"/>
          <w:shd w:val="clear" w:color="auto" w:fill="FFFFFF"/>
        </w:rPr>
        <w:t xml:space="preserve">the critical first step to </w:t>
      </w:r>
      <w:r w:rsidR="00FC787F" w:rsidRPr="002A28E1">
        <w:rPr>
          <w:color w:val="000000"/>
          <w:shd w:val="clear" w:color="auto" w:fill="FFFFFF"/>
        </w:rPr>
        <w:t>ensuring that people with disabilities enjoy</w:t>
      </w:r>
      <w:r w:rsidR="0070525C" w:rsidRPr="002A28E1">
        <w:rPr>
          <w:color w:val="000000"/>
          <w:shd w:val="clear" w:color="auto" w:fill="FFFFFF"/>
        </w:rPr>
        <w:t xml:space="preserve"> </w:t>
      </w:r>
      <w:r w:rsidR="00976D75" w:rsidRPr="002A28E1">
        <w:rPr>
          <w:color w:val="000000"/>
          <w:shd w:val="clear" w:color="auto" w:fill="FFFFFF"/>
        </w:rPr>
        <w:t xml:space="preserve">equality </w:t>
      </w:r>
      <w:r w:rsidR="005E4CCE" w:rsidRPr="002A28E1">
        <w:rPr>
          <w:color w:val="000000"/>
          <w:shd w:val="clear" w:color="auto" w:fill="FFFFFF"/>
        </w:rPr>
        <w:t xml:space="preserve">before the law </w:t>
      </w:r>
      <w:r w:rsidR="008872FB" w:rsidRPr="002A28E1">
        <w:rPr>
          <w:color w:val="000000"/>
          <w:shd w:val="clear" w:color="auto" w:fill="FFFFFF"/>
        </w:rPr>
        <w:t>in practice.</w:t>
      </w:r>
      <w:r w:rsidR="00594466" w:rsidRPr="002A28E1">
        <w:br w:type="page"/>
      </w:r>
    </w:p>
    <w:p w14:paraId="449DEE2D" w14:textId="77777777" w:rsidR="00594466" w:rsidRPr="002A28E1" w:rsidRDefault="00594466" w:rsidP="00594466">
      <w:pPr>
        <w:pStyle w:val="Heading1"/>
      </w:pPr>
      <w:bookmarkStart w:id="13" w:name="_Toc16081752"/>
      <w:r w:rsidRPr="002A28E1">
        <w:lastRenderedPageBreak/>
        <w:t>Costa Rica</w:t>
      </w:r>
      <w:bookmarkEnd w:id="13"/>
    </w:p>
    <w:p w14:paraId="79C6FE4C" w14:textId="7FE4D888" w:rsidR="00594466" w:rsidRPr="002A28E1" w:rsidRDefault="00594466" w:rsidP="00594466">
      <w:r w:rsidRPr="00535D1B">
        <w:t>Costa Rica ratified the CRPD in 2008.</w:t>
      </w:r>
      <w:r w:rsidRPr="00535D1B">
        <w:rPr>
          <w:rStyle w:val="FootnoteReference"/>
        </w:rPr>
        <w:footnoteReference w:id="66"/>
      </w:r>
      <w:r w:rsidRPr="00535D1B">
        <w:t xml:space="preserve"> With the entry into force of the CRPD-inspired Law for the Promotion of the Personal Autonomy of Persons with Disabilities</w:t>
      </w:r>
      <w:r w:rsidR="000B6AEA">
        <w:t xml:space="preserve"> </w:t>
      </w:r>
      <w:r w:rsidRPr="00535D1B">
        <w:t>(Law Number</w:t>
      </w:r>
      <w:r w:rsidRPr="002A28E1">
        <w:t xml:space="preserve"> 9379),</w:t>
      </w:r>
      <w:bookmarkStart w:id="14" w:name="_Ref15297625"/>
      <w:r w:rsidRPr="002A28E1">
        <w:rPr>
          <w:rStyle w:val="FootnoteReference"/>
        </w:rPr>
        <w:footnoteReference w:id="67"/>
      </w:r>
      <w:bookmarkEnd w:id="14"/>
      <w:r w:rsidRPr="002A28E1">
        <w:t xml:space="preserve"> Costa Rica has wholly eliminated</w:t>
      </w:r>
      <w:r w:rsidR="008955B8">
        <w:t xml:space="preserve"> </w:t>
      </w:r>
      <w:r w:rsidR="000450CE">
        <w:t>guardianship</w:t>
      </w:r>
      <w:r w:rsidR="0092049D">
        <w:t xml:space="preserve"> of all forms</w:t>
      </w:r>
      <w:r w:rsidRPr="002A28E1">
        <w:t xml:space="preserve"> and introduced into law a </w:t>
      </w:r>
      <w:r w:rsidRPr="00EC1052">
        <w:t>system of supported decision-making centred</w:t>
      </w:r>
      <w:r w:rsidRPr="002A28E1">
        <w:t xml:space="preserve"> upon a legal figure entitled “guarantor for the equality before the law of persons with disabilities.”</w:t>
      </w:r>
      <w:r w:rsidRPr="002A28E1">
        <w:rPr>
          <w:rStyle w:val="FootnoteReference"/>
        </w:rPr>
        <w:footnoteReference w:id="68"/>
      </w:r>
    </w:p>
    <w:p w14:paraId="6216B486" w14:textId="77777777" w:rsidR="00594466" w:rsidRPr="002A28E1" w:rsidRDefault="00594466" w:rsidP="00594466"/>
    <w:p w14:paraId="1C186FE5" w14:textId="59D82698" w:rsidR="00594466" w:rsidRPr="002A28E1" w:rsidRDefault="00594466" w:rsidP="00594466">
      <w:r w:rsidRPr="002A28E1">
        <w:t xml:space="preserve">The civil society organization </w:t>
      </w:r>
      <w:proofErr w:type="spellStart"/>
      <w:r w:rsidRPr="002A28E1">
        <w:t>Movimiento</w:t>
      </w:r>
      <w:proofErr w:type="spellEnd"/>
      <w:r w:rsidRPr="002A28E1">
        <w:t xml:space="preserve"> de Vida </w:t>
      </w:r>
      <w:proofErr w:type="spellStart"/>
      <w:r w:rsidRPr="002A28E1">
        <w:t>Independiente</w:t>
      </w:r>
      <w:proofErr w:type="spellEnd"/>
      <w:r w:rsidRPr="002A28E1">
        <w:t xml:space="preserve"> (MVI) </w:t>
      </w:r>
      <w:proofErr w:type="gramStart"/>
      <w:r w:rsidRPr="002A28E1">
        <w:t>is considered</w:t>
      </w:r>
      <w:proofErr w:type="gramEnd"/>
      <w:r w:rsidRPr="002A28E1">
        <w:t xml:space="preserve"> to have been the central driver of the Costa Rican legislative reform on legal capacity.</w:t>
      </w:r>
      <w:bookmarkStart w:id="15" w:name="_Ref15297586"/>
      <w:r w:rsidRPr="002A28E1">
        <w:rPr>
          <w:rStyle w:val="FootnoteReference"/>
        </w:rPr>
        <w:footnoteReference w:id="69"/>
      </w:r>
      <w:bookmarkEnd w:id="15"/>
      <w:r w:rsidRPr="002A28E1">
        <w:t xml:space="preserve">  This organization participated in several forums in the Legislative Assembly, published press releases, orchestrated marches, </w:t>
      </w:r>
      <w:r w:rsidRPr="006A4BEC">
        <w:t>and delivered talks in educational centers and other public and private institutions to raise awareness about the draft version of Law Number 9379.</w:t>
      </w:r>
      <w:bookmarkStart w:id="16" w:name="_Ref15297604"/>
      <w:r w:rsidR="006E3AEE" w:rsidRPr="006A4BEC">
        <w:rPr>
          <w:rStyle w:val="FootnoteReference"/>
        </w:rPr>
        <w:footnoteReference w:id="70"/>
      </w:r>
      <w:bookmarkEnd w:id="16"/>
      <w:r w:rsidRPr="006A4BEC">
        <w:t xml:space="preserve"> MVI also heavily lobbied several members of government.</w:t>
      </w:r>
      <w:r w:rsidR="00C66667" w:rsidRPr="006A4BEC">
        <w:rPr>
          <w:rStyle w:val="FootnoteReference"/>
        </w:rPr>
        <w:footnoteReference w:id="71"/>
      </w:r>
      <w:r w:rsidRPr="006A4BEC">
        <w:t xml:space="preserve"> MVI interfaced with other Costa Rican organizations for people with disabilities to strengthen their advocacy efforts.</w:t>
      </w:r>
      <w:r w:rsidR="003F21CD">
        <w:rPr>
          <w:rStyle w:val="FootnoteReference"/>
        </w:rPr>
        <w:footnoteReference w:id="72"/>
      </w:r>
      <w:r w:rsidRPr="006A4BEC">
        <w:t xml:space="preserve"> MVI’s activism for legal reform culminated in 2016 when they organized an event known as “Try Costa Rica 2016.” This was a 287-kilometer march and wheelchair ride which began in San Isidro </w:t>
      </w:r>
      <w:proofErr w:type="gramStart"/>
      <w:r w:rsidRPr="006A4BEC">
        <w:t>del</w:t>
      </w:r>
      <w:proofErr w:type="gramEnd"/>
      <w:r w:rsidRPr="006A4BEC">
        <w:t xml:space="preserve"> General and ended outside the country’s Legislative Assembly in San José.</w:t>
      </w:r>
      <w:r w:rsidRPr="006A4BEC">
        <w:rPr>
          <w:rStyle w:val="FootnoteReference"/>
        </w:rPr>
        <w:footnoteReference w:id="73"/>
      </w:r>
      <w:r w:rsidRPr="006A4BEC">
        <w:t xml:space="preserve"> One week after the completion of this journey in May 2016, the Costa Rican Parliament voted unanimously in favour of Law Number 9379 in a first hearing</w:t>
      </w:r>
      <w:r w:rsidRPr="002A28E1">
        <w:t>.</w:t>
      </w:r>
      <w:r w:rsidR="006D6470">
        <w:rPr>
          <w:rStyle w:val="FootnoteReference"/>
        </w:rPr>
        <w:footnoteReference w:id="74"/>
      </w:r>
      <w:r w:rsidRPr="002A28E1">
        <w:t xml:space="preserve"> The </w:t>
      </w:r>
      <w:proofErr w:type="gramStart"/>
      <w:r w:rsidRPr="002A28E1">
        <w:t>law was subsequently signed by the President of the Republic</w:t>
      </w:r>
      <w:proofErr w:type="gramEnd"/>
      <w:r w:rsidRPr="002A28E1">
        <w:t xml:space="preserve"> in August 2016, becoming effective from this point onwards.</w:t>
      </w:r>
      <w:r w:rsidRPr="002A28E1">
        <w:rPr>
          <w:rStyle w:val="FootnoteReference"/>
        </w:rPr>
        <w:footnoteReference w:id="75"/>
      </w:r>
      <w:r w:rsidRPr="002A28E1">
        <w:t xml:space="preserve"> </w:t>
      </w:r>
    </w:p>
    <w:p w14:paraId="7089574A" w14:textId="77777777" w:rsidR="00594466" w:rsidRPr="002A28E1" w:rsidRDefault="00594466" w:rsidP="00594466"/>
    <w:p w14:paraId="5FE6AD70" w14:textId="75855BA8" w:rsidR="00594466" w:rsidRPr="002A28E1" w:rsidRDefault="00594466" w:rsidP="00594466">
      <w:r w:rsidRPr="002A28E1">
        <w:t xml:space="preserve">The stated objective of Costa Rica’s new law is to “promote and ensure, for </w:t>
      </w:r>
      <w:r w:rsidR="00726EB9">
        <w:t>persons</w:t>
      </w:r>
      <w:r w:rsidRPr="002A28E1">
        <w:t xml:space="preserve"> with disabilities, the full exercise and on equal terms with others, of the right to personal autonomy.”</w:t>
      </w:r>
      <w:r w:rsidRPr="002A28E1">
        <w:rPr>
          <w:rStyle w:val="FootnoteReference"/>
        </w:rPr>
        <w:footnoteReference w:id="76"/>
      </w:r>
      <w:r w:rsidRPr="002A28E1">
        <w:t xml:space="preserve"> The law defines the “right to personal autonomy” as the “right of all persons with disabilities to build their own life </w:t>
      </w:r>
      <w:r w:rsidRPr="00355715">
        <w:t>project, independently, controlling, facing, taking and executing their own decisions in the public and private spheres.”</w:t>
      </w:r>
      <w:r w:rsidRPr="00355715">
        <w:rPr>
          <w:rStyle w:val="FootnoteReference"/>
        </w:rPr>
        <w:footnoteReference w:id="77"/>
      </w:r>
      <w:r w:rsidRPr="00355715">
        <w:t xml:space="preserve"> Under the law, this right to personal autonomy encompasses respect for human rights, patrimonial</w:t>
      </w:r>
      <w:r w:rsidRPr="002A28E1">
        <w:t xml:space="preserve"> rights, sexual and reproductive rights, and civil and electoral rights, among others.</w:t>
      </w:r>
      <w:r w:rsidRPr="002A28E1">
        <w:rPr>
          <w:rStyle w:val="FootnoteReference"/>
        </w:rPr>
        <w:footnoteReference w:id="78"/>
      </w:r>
      <w:r w:rsidRPr="002A28E1">
        <w:t xml:space="preserve"> </w:t>
      </w:r>
    </w:p>
    <w:p w14:paraId="2F988FC2" w14:textId="77777777" w:rsidR="00594466" w:rsidRPr="002A28E1" w:rsidRDefault="00594466" w:rsidP="00594466"/>
    <w:p w14:paraId="5540767E" w14:textId="2AA726EE" w:rsidR="00F37914" w:rsidRPr="002A28E1" w:rsidRDefault="00594466" w:rsidP="00594466">
      <w:r w:rsidRPr="002A28E1">
        <w:t xml:space="preserve">In order to secure the right to personal autonomy for people with </w:t>
      </w:r>
      <w:r w:rsidRPr="00840D91">
        <w:t xml:space="preserve">disabilities, the law creates the figure of the “guarantor for legal equality of persons with disabilities” and the </w:t>
      </w:r>
      <w:r w:rsidR="00886551" w:rsidRPr="00840D91">
        <w:t>regime</w:t>
      </w:r>
      <w:r w:rsidRPr="00840D91">
        <w:t xml:space="preserve"> of “human personal assistance.”</w:t>
      </w:r>
      <w:r w:rsidRPr="00840D91">
        <w:rPr>
          <w:rStyle w:val="FootnoteReference"/>
        </w:rPr>
        <w:footnoteReference w:id="79"/>
      </w:r>
      <w:r w:rsidRPr="00840D91">
        <w:t xml:space="preserve"> The guarantor replaces the former figure of “</w:t>
      </w:r>
      <w:proofErr w:type="spellStart"/>
      <w:r w:rsidRPr="00840D91">
        <w:t>curatela</w:t>
      </w:r>
      <w:proofErr w:type="spellEnd"/>
      <w:r w:rsidRPr="00840D91">
        <w:t>” (or guardian)</w:t>
      </w:r>
      <w:proofErr w:type="gramStart"/>
      <w:r w:rsidRPr="00840D91">
        <w:t>,</w:t>
      </w:r>
      <w:proofErr w:type="gramEnd"/>
      <w:r w:rsidRPr="002A28E1">
        <w:t xml:space="preserve"> with the law stipulating that all existing guardians are to become guarantors for legal equality.</w:t>
      </w:r>
      <w:r w:rsidRPr="002A28E1">
        <w:rPr>
          <w:rStyle w:val="FootnoteReference"/>
        </w:rPr>
        <w:footnoteReference w:id="80"/>
      </w:r>
      <w:r w:rsidRPr="002A28E1">
        <w:t xml:space="preserve"> The guarantor constitutes a figure of assistance, </w:t>
      </w:r>
      <w:r w:rsidR="00BC6DC4" w:rsidRPr="002A28E1">
        <w:t xml:space="preserve">whose involvement does not </w:t>
      </w:r>
      <w:r w:rsidRPr="002A28E1">
        <w:t>restrict the supported person’s legal capacity or transfer responsibilities away from the supported person.</w:t>
      </w:r>
      <w:r w:rsidRPr="002A28E1">
        <w:rPr>
          <w:rStyle w:val="FootnoteReference"/>
        </w:rPr>
        <w:footnoteReference w:id="81"/>
      </w:r>
      <w:r w:rsidRPr="002A28E1">
        <w:t xml:space="preserve"> </w:t>
      </w:r>
      <w:r w:rsidR="00BD72EF">
        <w:t>A</w:t>
      </w:r>
      <w:r w:rsidRPr="002A28E1">
        <w:t xml:space="preserve"> guarantor must support </w:t>
      </w:r>
      <w:r w:rsidR="00BD72EF">
        <w:t>a</w:t>
      </w:r>
      <w:r w:rsidRPr="002A28E1">
        <w:t xml:space="preserve"> given person with</w:t>
      </w:r>
      <w:r w:rsidR="00C51E28" w:rsidRPr="002A28E1">
        <w:t xml:space="preserve"> a</w:t>
      </w:r>
      <w:r w:rsidRPr="002A28E1">
        <w:t xml:space="preserve"> disabilit</w:t>
      </w:r>
      <w:r w:rsidR="00C51E28" w:rsidRPr="002A28E1">
        <w:t>y</w:t>
      </w:r>
      <w:r w:rsidRPr="002A28E1">
        <w:t xml:space="preserve"> in the protection and promotion of all of their rights</w:t>
      </w:r>
      <w:r w:rsidR="00AF1D97" w:rsidRPr="002A28E1">
        <w:t>, especially the right to marry and found a family</w:t>
      </w:r>
      <w:r w:rsidRPr="002A28E1">
        <w:t>.</w:t>
      </w:r>
      <w:r w:rsidRPr="002A28E1">
        <w:rPr>
          <w:rStyle w:val="FootnoteReference"/>
        </w:rPr>
        <w:footnoteReference w:id="82"/>
      </w:r>
      <w:r w:rsidRPr="002A28E1">
        <w:t xml:space="preserve"> The guarantor </w:t>
      </w:r>
      <w:r w:rsidR="003B6281" w:rsidRPr="002A28E1">
        <w:t>must</w:t>
      </w:r>
      <w:r w:rsidRPr="002A28E1">
        <w:t xml:space="preserve"> assist the</w:t>
      </w:r>
      <w:r w:rsidR="002D63E8">
        <w:t xml:space="preserve"> person with a disability</w:t>
      </w:r>
      <w:r w:rsidR="00A918A0">
        <w:t xml:space="preserve"> </w:t>
      </w:r>
      <w:r w:rsidRPr="002A28E1">
        <w:t>in decision-making in legal, financial, and patrimonial matters.</w:t>
      </w:r>
      <w:r w:rsidRPr="002A28E1">
        <w:rPr>
          <w:rStyle w:val="FootnoteReference"/>
        </w:rPr>
        <w:footnoteReference w:id="83"/>
      </w:r>
      <w:r w:rsidRPr="002A28E1">
        <w:t xml:space="preserve"> </w:t>
      </w:r>
      <w:r w:rsidR="0033087C" w:rsidRPr="002A28E1">
        <w:t xml:space="preserve">The guarantor must also make sure that the </w:t>
      </w:r>
      <w:r w:rsidR="00A12D50">
        <w:t>person with a disability</w:t>
      </w:r>
      <w:r w:rsidR="00A918A0">
        <w:t xml:space="preserve"> </w:t>
      </w:r>
      <w:r w:rsidR="0033087C" w:rsidRPr="002A28E1">
        <w:t xml:space="preserve">has access to information </w:t>
      </w:r>
      <w:r w:rsidR="00EC3197" w:rsidRPr="002A28E1">
        <w:t>pertaining to sexual and reproductive rights.</w:t>
      </w:r>
      <w:r w:rsidR="00AD4A8C" w:rsidRPr="002A28E1">
        <w:rPr>
          <w:rStyle w:val="FootnoteReference"/>
        </w:rPr>
        <w:footnoteReference w:id="84"/>
      </w:r>
      <w:r w:rsidR="00616AF4" w:rsidRPr="002A28E1">
        <w:t xml:space="preserve"> </w:t>
      </w:r>
      <w:r w:rsidRPr="002A28E1">
        <w:t>The guarantor must “not act without considering the rights, will and abilities of the person with</w:t>
      </w:r>
      <w:r w:rsidR="000570B5">
        <w:t xml:space="preserve"> a</w:t>
      </w:r>
      <w:r w:rsidRPr="002A28E1">
        <w:t xml:space="preserve"> disabili</w:t>
      </w:r>
      <w:r w:rsidR="000570B5">
        <w:t>ty</w:t>
      </w:r>
      <w:r w:rsidRPr="002A28E1">
        <w:t>.”</w:t>
      </w:r>
      <w:r w:rsidRPr="002A28E1">
        <w:rPr>
          <w:rStyle w:val="FootnoteReference"/>
        </w:rPr>
        <w:footnoteReference w:id="85"/>
      </w:r>
      <w:r w:rsidRPr="002A28E1">
        <w:t xml:space="preserve"> The law also stipulates that the guarantor must “guarantee and respect the rights, will, preferences, abilities and capacities of persons with disabilities.”</w:t>
      </w:r>
      <w:r w:rsidRPr="002A28E1">
        <w:rPr>
          <w:rStyle w:val="FootnoteReference"/>
        </w:rPr>
        <w:footnoteReference w:id="86"/>
      </w:r>
      <w:r w:rsidRPr="002A28E1">
        <w:t xml:space="preserve"> They must “not exercise any form of pressure, coercion, violence or undue influence on the decision-making process of the person with disabilities.”</w:t>
      </w:r>
      <w:r w:rsidRPr="002A28E1">
        <w:rPr>
          <w:rStyle w:val="FootnoteReference"/>
        </w:rPr>
        <w:footnoteReference w:id="87"/>
      </w:r>
      <w:r w:rsidRPr="002A28E1">
        <w:t xml:space="preserve"> </w:t>
      </w:r>
    </w:p>
    <w:p w14:paraId="3B8F9490" w14:textId="77777777" w:rsidR="00F37914" w:rsidRPr="002A28E1" w:rsidRDefault="00F37914" w:rsidP="00594466"/>
    <w:p w14:paraId="0ACFD8CD" w14:textId="4EEB5A7E" w:rsidR="00594466" w:rsidRPr="002A28E1" w:rsidRDefault="00594466" w:rsidP="00594466">
      <w:proofErr w:type="gramStart"/>
      <w:r w:rsidRPr="002A28E1">
        <w:t>The guarantor is appointed by a judge</w:t>
      </w:r>
      <w:proofErr w:type="gramEnd"/>
      <w:r w:rsidRPr="002A28E1">
        <w:t>.</w:t>
      </w:r>
      <w:r w:rsidRPr="002A28E1">
        <w:rPr>
          <w:rStyle w:val="FootnoteReference"/>
        </w:rPr>
        <w:footnoteReference w:id="88"/>
      </w:r>
      <w:r w:rsidRPr="002A28E1">
        <w:t xml:space="preserve"> The guarantor may be a person or a legal entity in the case of persons who </w:t>
      </w:r>
      <w:proofErr w:type="gramStart"/>
      <w:r w:rsidRPr="002A28E1">
        <w:t>are institutionalized</w:t>
      </w:r>
      <w:proofErr w:type="gramEnd"/>
      <w:r w:rsidRPr="002A28E1">
        <w:t xml:space="preserve"> in State entities.</w:t>
      </w:r>
      <w:r w:rsidRPr="002A28E1">
        <w:rPr>
          <w:rStyle w:val="FootnoteReference"/>
        </w:rPr>
        <w:footnoteReference w:id="89"/>
      </w:r>
      <w:r w:rsidRPr="002A28E1">
        <w:t xml:space="preserve"> The person with </w:t>
      </w:r>
      <w:r w:rsidR="004B2A7C">
        <w:t xml:space="preserve">a </w:t>
      </w:r>
      <w:r w:rsidRPr="002A28E1">
        <w:t>disabilit</w:t>
      </w:r>
      <w:r w:rsidR="004B2A7C">
        <w:t>y</w:t>
      </w:r>
      <w:r w:rsidRPr="002A28E1">
        <w:t xml:space="preserve"> is entitled to request the appointment of a guarantor before a competent judge.</w:t>
      </w:r>
      <w:r w:rsidRPr="002A28E1">
        <w:rPr>
          <w:rStyle w:val="FootnoteReference"/>
        </w:rPr>
        <w:footnoteReference w:id="90"/>
      </w:r>
      <w:r w:rsidRPr="002A28E1">
        <w:t xml:space="preserve"> However, if the person is unable to make the request themselves, their family members may initiate the request.</w:t>
      </w:r>
      <w:r w:rsidRPr="002A28E1">
        <w:rPr>
          <w:rStyle w:val="FootnoteReference"/>
        </w:rPr>
        <w:footnoteReference w:id="91"/>
      </w:r>
      <w:r w:rsidRPr="002A28E1">
        <w:t xml:space="preserve"> Alternatively, in the absence of family members, </w:t>
      </w:r>
      <w:proofErr w:type="gramStart"/>
      <w:r w:rsidRPr="002A28E1">
        <w:t>the request may be launched by a non-governmental institution or organization that provides the person with services, supports, or social benefits</w:t>
      </w:r>
      <w:proofErr w:type="gramEnd"/>
      <w:r w:rsidRPr="00355715">
        <w:t>.</w:t>
      </w:r>
      <w:r w:rsidRPr="00355715">
        <w:rPr>
          <w:rStyle w:val="FootnoteReference"/>
        </w:rPr>
        <w:footnoteReference w:id="92"/>
      </w:r>
      <w:r w:rsidRPr="00355715">
        <w:t xml:space="preserve"> The judge is to give priority to the person’s preference as to the identity of the support person.</w:t>
      </w:r>
      <w:r w:rsidRPr="00355715">
        <w:rPr>
          <w:rStyle w:val="FootnoteReference"/>
        </w:rPr>
        <w:footnoteReference w:id="93"/>
      </w:r>
      <w:r w:rsidR="00EF5E85" w:rsidRPr="00355715">
        <w:t xml:space="preserve"> If</w:t>
      </w:r>
      <w:r w:rsidR="00EF5E85" w:rsidRPr="002A28E1">
        <w:t xml:space="preserve"> the person does not designate a preferred support person, the judge chooses the support person, considering first</w:t>
      </w:r>
      <w:r w:rsidRPr="002A28E1">
        <w:t xml:space="preserve"> </w:t>
      </w:r>
      <w:r w:rsidR="00EF5E85" w:rsidRPr="002A28E1">
        <w:t>whether to appoint the relatives of the person with a disability.</w:t>
      </w:r>
      <w:r w:rsidR="00543D42">
        <w:rPr>
          <w:rStyle w:val="FootnoteReference"/>
        </w:rPr>
        <w:footnoteReference w:id="94"/>
      </w:r>
      <w:r w:rsidR="00EF5E85" w:rsidRPr="002A28E1">
        <w:t xml:space="preserve"> In all situations, the judge is to ensure that the guarantor is the “ideal” person</w:t>
      </w:r>
      <w:r w:rsidR="00EB13A0">
        <w:t xml:space="preserve"> </w:t>
      </w:r>
      <w:r w:rsidR="00EF5E85" w:rsidRPr="002A28E1">
        <w:t>to secure the proper exercise of the rights and obligations of persons with disabilities.</w:t>
      </w:r>
      <w:r w:rsidR="00EF5E85" w:rsidRPr="002A28E1">
        <w:rPr>
          <w:rStyle w:val="FootnoteReference"/>
        </w:rPr>
        <w:footnoteReference w:id="95"/>
      </w:r>
      <w:r w:rsidR="00EF5E85" w:rsidRPr="002A28E1">
        <w:t xml:space="preserve"> </w:t>
      </w:r>
      <w:r w:rsidRPr="002A28E1">
        <w:t xml:space="preserve"> Under the reformed Costa Rican law, the judge will designate a guarantor and determine the extent of </w:t>
      </w:r>
      <w:r w:rsidRPr="002A28E1">
        <w:lastRenderedPageBreak/>
        <w:t xml:space="preserve">support required after assessing the medical evidence of the person with disabilities, the opinion of the Department of Legal Medicine of the Judicial Investigation Agency, </w:t>
      </w:r>
      <w:r w:rsidR="00355715">
        <w:t>a</w:t>
      </w:r>
      <w:r w:rsidRPr="002A28E1">
        <w:t xml:space="preserve"> social work report, as well as the interview with the affected person.</w:t>
      </w:r>
      <w:r w:rsidRPr="002A28E1">
        <w:rPr>
          <w:rStyle w:val="FootnoteReference"/>
        </w:rPr>
        <w:footnoteReference w:id="96"/>
      </w:r>
    </w:p>
    <w:p w14:paraId="62BCE359" w14:textId="77777777" w:rsidR="00594466" w:rsidRPr="002A28E1" w:rsidRDefault="00594466" w:rsidP="00594466"/>
    <w:p w14:paraId="4C4E586E" w14:textId="438CC9E8" w:rsidR="005B4EAC" w:rsidRPr="002A28E1" w:rsidRDefault="00594466" w:rsidP="005B4EAC">
      <w:r w:rsidRPr="002A28E1">
        <w:t>Costa Rica’s new law also establishes a regime of “human personal assistance.” A personal assistant provide</w:t>
      </w:r>
      <w:r w:rsidR="002C0A0A" w:rsidRPr="002A28E1">
        <w:t>s</w:t>
      </w:r>
      <w:r w:rsidRPr="002A28E1">
        <w:t xml:space="preserve"> support services for persons with disabilities in the context of “activities of daily living</w:t>
      </w:r>
      <w:r w:rsidR="00DC59D1" w:rsidRPr="002A28E1">
        <w:t>.</w:t>
      </w:r>
      <w:r w:rsidRPr="002A28E1">
        <w:t>”</w:t>
      </w:r>
      <w:r w:rsidRPr="002A28E1">
        <w:rPr>
          <w:rStyle w:val="FootnoteReference"/>
        </w:rPr>
        <w:footnoteReference w:id="97"/>
      </w:r>
      <w:r w:rsidRPr="002A28E1">
        <w:t xml:space="preserve"> The law defines basic activities of daily life as elementary and daily actions taken by persons that foster autonomy and independence, such as matters pertaining to personal care, domestic activities, food, exercise, money management, medication consumption, work, and health.</w:t>
      </w:r>
      <w:r w:rsidRPr="002A28E1">
        <w:rPr>
          <w:rStyle w:val="FootnoteReference"/>
        </w:rPr>
        <w:footnoteReference w:id="98"/>
      </w:r>
      <w:r w:rsidRPr="002A28E1">
        <w:t xml:space="preserve"> </w:t>
      </w:r>
      <w:r w:rsidR="00517053" w:rsidRPr="002A28E1">
        <w:t>A person with a disability or their family member may apply to the</w:t>
      </w:r>
      <w:r w:rsidR="00F45918" w:rsidRPr="002A28E1">
        <w:t xml:space="preserve"> Unit of Personal Autonomy and Independent Living at the</w:t>
      </w:r>
      <w:r w:rsidR="00517053" w:rsidRPr="002A28E1">
        <w:t xml:space="preserve"> National Council of Persons with Disabilities (</w:t>
      </w:r>
      <w:proofErr w:type="spellStart"/>
      <w:r w:rsidR="00517053" w:rsidRPr="002A28E1">
        <w:t>Conapdis</w:t>
      </w:r>
      <w:proofErr w:type="spellEnd"/>
      <w:r w:rsidR="00517053" w:rsidRPr="002A28E1">
        <w:t>) to request personal assistance.</w:t>
      </w:r>
      <w:r w:rsidR="00517053" w:rsidRPr="002A28E1">
        <w:rPr>
          <w:rStyle w:val="FootnoteReference"/>
        </w:rPr>
        <w:footnoteReference w:id="99"/>
      </w:r>
      <w:r w:rsidR="00517053" w:rsidRPr="002A28E1">
        <w:t xml:space="preserve"> In order to qualify as a recipient of personal assistance, a person must “require” these services in order to exercise their personal autonomy and they must have insufficient resources to pay for such support themselves.</w:t>
      </w:r>
      <w:r w:rsidR="00517053" w:rsidRPr="002A28E1">
        <w:rPr>
          <w:rStyle w:val="FootnoteReference"/>
        </w:rPr>
        <w:footnoteReference w:id="100"/>
      </w:r>
      <w:r w:rsidR="00517053" w:rsidRPr="002A28E1">
        <w:t xml:space="preserve"> The application for personal assistance must include certification of the person’s disability.</w:t>
      </w:r>
      <w:r w:rsidR="00C43B81" w:rsidRPr="002A28E1">
        <w:rPr>
          <w:rStyle w:val="FootnoteReference"/>
        </w:rPr>
        <w:footnoteReference w:id="101"/>
      </w:r>
      <w:r w:rsidR="00FE18D8" w:rsidRPr="002A28E1">
        <w:t xml:space="preserve"> Persons who qualify for assistance must</w:t>
      </w:r>
      <w:r w:rsidR="005103CE" w:rsidRPr="002A28E1">
        <w:t xml:space="preserve">, independently or with the help of another person if required, </w:t>
      </w:r>
      <w:r w:rsidR="00FE18D8" w:rsidRPr="002A28E1">
        <w:t>prepare individual support plans</w:t>
      </w:r>
      <w:r w:rsidR="00302C59" w:rsidRPr="002A28E1">
        <w:t xml:space="preserve"> laying out the kind of support that the person needs to carry out basic daily activities</w:t>
      </w:r>
      <w:r w:rsidR="00961CD8" w:rsidRPr="002A28E1">
        <w:t xml:space="preserve">, as well as the appropriate intensity of support, and the number of hours </w:t>
      </w:r>
      <w:r w:rsidR="00AF6D63" w:rsidRPr="002A28E1">
        <w:t>needed</w:t>
      </w:r>
      <w:r w:rsidR="00AD4D28" w:rsidRPr="002A28E1">
        <w:t>.</w:t>
      </w:r>
      <w:r w:rsidR="00961CD8" w:rsidRPr="002A28E1">
        <w:rPr>
          <w:rStyle w:val="FootnoteReference"/>
        </w:rPr>
        <w:footnoteReference w:id="102"/>
      </w:r>
      <w:r w:rsidR="000F1C28" w:rsidRPr="002A28E1">
        <w:t xml:space="preserve"> </w:t>
      </w:r>
      <w:proofErr w:type="gramStart"/>
      <w:r w:rsidR="000F1C28" w:rsidRPr="002A28E1">
        <w:t>Individual support</w:t>
      </w:r>
      <w:r w:rsidR="00E1518C" w:rsidRPr="002A28E1">
        <w:t xml:space="preserve"> </w:t>
      </w:r>
      <w:r w:rsidR="000F1C28" w:rsidRPr="002A28E1">
        <w:t xml:space="preserve">plans must be endorsed </w:t>
      </w:r>
      <w:r w:rsidRPr="002A28E1">
        <w:t>by the staff of</w:t>
      </w:r>
      <w:r w:rsidR="00B03EF6" w:rsidRPr="002A28E1">
        <w:t xml:space="preserve"> </w:t>
      </w:r>
      <w:proofErr w:type="spellStart"/>
      <w:r w:rsidRPr="002A28E1">
        <w:t>Conapdis</w:t>
      </w:r>
      <w:proofErr w:type="spellEnd"/>
      <w:proofErr w:type="gramEnd"/>
      <w:r w:rsidRPr="002A28E1">
        <w:t>.</w:t>
      </w:r>
      <w:r w:rsidRPr="002A28E1">
        <w:rPr>
          <w:rStyle w:val="FootnoteReference"/>
        </w:rPr>
        <w:footnoteReference w:id="103"/>
      </w:r>
      <w:r w:rsidRPr="002A28E1">
        <w:t xml:space="preserve"> </w:t>
      </w:r>
    </w:p>
    <w:p w14:paraId="036AB3FD" w14:textId="69AFBA71" w:rsidR="00594466" w:rsidRPr="002A28E1" w:rsidRDefault="00FA3A84" w:rsidP="00594466">
      <w:proofErr w:type="spellStart"/>
      <w:r w:rsidRPr="002A28E1">
        <w:t>Conapdis</w:t>
      </w:r>
      <w:proofErr w:type="spellEnd"/>
      <w:r w:rsidRPr="002A28E1">
        <w:t xml:space="preserve"> will </w:t>
      </w:r>
      <w:r w:rsidR="00DB171E" w:rsidRPr="002A28E1">
        <w:t xml:space="preserve">assign a support person </w:t>
      </w:r>
      <w:r w:rsidR="0036118B" w:rsidRPr="002A28E1">
        <w:t>to person with disabilities,</w:t>
      </w:r>
      <w:r w:rsidR="0036118B" w:rsidRPr="002A28E1">
        <w:rPr>
          <w:rStyle w:val="FootnoteReference"/>
        </w:rPr>
        <w:footnoteReference w:id="104"/>
      </w:r>
      <w:r w:rsidR="0036118B" w:rsidRPr="002A28E1">
        <w:t xml:space="preserve"> and these individuals </w:t>
      </w:r>
      <w:proofErr w:type="gramStart"/>
      <w:r w:rsidR="0036118B" w:rsidRPr="002A28E1">
        <w:t xml:space="preserve">must be trained and certified by a </w:t>
      </w:r>
      <w:r w:rsidR="003B7CEC" w:rsidRPr="002A28E1">
        <w:t>designated national institute</w:t>
      </w:r>
      <w:proofErr w:type="gramEnd"/>
      <w:r w:rsidR="003B7CEC" w:rsidRPr="002A28E1">
        <w:t>.</w:t>
      </w:r>
      <w:r w:rsidR="003B7CEC" w:rsidRPr="002A28E1">
        <w:rPr>
          <w:rStyle w:val="FootnoteReference"/>
        </w:rPr>
        <w:footnoteReference w:id="105"/>
      </w:r>
      <w:r w:rsidR="009A3C1C" w:rsidRPr="002A28E1">
        <w:t xml:space="preserve"> </w:t>
      </w:r>
      <w:proofErr w:type="spellStart"/>
      <w:r w:rsidR="009A3C1C" w:rsidRPr="002A28E1">
        <w:t>Conapdis</w:t>
      </w:r>
      <w:proofErr w:type="spellEnd"/>
      <w:r w:rsidR="009A3C1C" w:rsidRPr="002A28E1">
        <w:t xml:space="preserve"> provides the person with a disability</w:t>
      </w:r>
      <w:r w:rsidR="00F30EAF" w:rsidRPr="002A28E1">
        <w:t xml:space="preserve"> with a monthly benefit to cover the costs of </w:t>
      </w:r>
      <w:r w:rsidR="002E43C4" w:rsidRPr="002A28E1">
        <w:t>a</w:t>
      </w:r>
      <w:r w:rsidR="00F30EAF" w:rsidRPr="002A28E1">
        <w:t xml:space="preserve"> personal assistant.</w:t>
      </w:r>
      <w:r w:rsidR="00F30EAF" w:rsidRPr="002A28E1">
        <w:rPr>
          <w:rStyle w:val="FootnoteReference"/>
        </w:rPr>
        <w:footnoteReference w:id="106"/>
      </w:r>
      <w:r w:rsidR="005B4EAC" w:rsidRPr="002A28E1">
        <w:t xml:space="preserve"> </w:t>
      </w:r>
    </w:p>
    <w:p w14:paraId="2F879E8B" w14:textId="77777777" w:rsidR="00594466" w:rsidRPr="002A28E1" w:rsidRDefault="00594466" w:rsidP="00594466"/>
    <w:p w14:paraId="38AAA9B5" w14:textId="4C57A912" w:rsidR="00EF5E85" w:rsidRPr="002A28E1" w:rsidRDefault="00594466" w:rsidP="00594466">
      <w:r w:rsidRPr="002A28E1">
        <w:t>The Costa Rican law critically recognizes legal personality and legal capacity for all persons with disabilities,</w:t>
      </w:r>
      <w:r w:rsidRPr="002A28E1">
        <w:rPr>
          <w:rStyle w:val="FootnoteReference"/>
        </w:rPr>
        <w:footnoteReference w:id="107"/>
      </w:r>
      <w:r w:rsidRPr="002A28E1">
        <w:t xml:space="preserve"> as </w:t>
      </w:r>
      <w:r w:rsidRPr="00773EE2">
        <w:t xml:space="preserve">required by Article 12 of the CRPD. Moreover, as necessitated by Article 12, the law </w:t>
      </w:r>
      <w:r w:rsidR="00BE24DF">
        <w:t>seemingly</w:t>
      </w:r>
      <w:r w:rsidR="00DE2710">
        <w:t xml:space="preserve"> </w:t>
      </w:r>
      <w:r w:rsidRPr="00773EE2">
        <w:t>present</w:t>
      </w:r>
      <w:r w:rsidR="00773EE2">
        <w:t>s</w:t>
      </w:r>
      <w:r w:rsidRPr="00773EE2">
        <w:t xml:space="preserve"> a supported decision-making framework by allowing for the appointment of guarantors and personal assistants to aid persons with disabilities in the exercise of their legal capacity</w:t>
      </w:r>
      <w:r w:rsidR="00D450C6" w:rsidRPr="00773EE2">
        <w:t>.</w:t>
      </w:r>
      <w:r w:rsidRPr="002A28E1">
        <w:t xml:space="preserve"> </w:t>
      </w:r>
    </w:p>
    <w:p w14:paraId="471A7222" w14:textId="77777777" w:rsidR="00594466" w:rsidRPr="002A28E1" w:rsidRDefault="00594466" w:rsidP="00594466"/>
    <w:p w14:paraId="3BE42F58" w14:textId="6270CF8E" w:rsidR="00C51B12" w:rsidRPr="00355715" w:rsidRDefault="00301E72" w:rsidP="00594466">
      <w:r w:rsidRPr="002A28E1">
        <w:lastRenderedPageBreak/>
        <w:t>Nevertheless</w:t>
      </w:r>
      <w:r w:rsidR="00594466" w:rsidRPr="002A28E1">
        <w:t xml:space="preserve">, </w:t>
      </w:r>
      <w:r w:rsidR="005516AB">
        <w:t xml:space="preserve">Arlene </w:t>
      </w:r>
      <w:r w:rsidR="00594466" w:rsidRPr="002A28E1">
        <w:t xml:space="preserve">Kanter and </w:t>
      </w:r>
      <w:proofErr w:type="spellStart"/>
      <w:r w:rsidR="005516AB">
        <w:t>Yotam</w:t>
      </w:r>
      <w:proofErr w:type="spellEnd"/>
      <w:r w:rsidR="005516AB">
        <w:t xml:space="preserve"> </w:t>
      </w:r>
      <w:proofErr w:type="spellStart"/>
      <w:r w:rsidR="00594466" w:rsidRPr="002A28E1">
        <w:t>Tolub</w:t>
      </w:r>
      <w:proofErr w:type="spellEnd"/>
      <w:r w:rsidR="00594466" w:rsidRPr="002A28E1">
        <w:t xml:space="preserve"> contend that under this new scheme, “the role of the guarantor is still uncertain.”</w:t>
      </w:r>
      <w:bookmarkStart w:id="17" w:name="_Ref15298534"/>
      <w:r w:rsidR="00594466" w:rsidRPr="002A28E1">
        <w:rPr>
          <w:rStyle w:val="FootnoteReference"/>
        </w:rPr>
        <w:footnoteReference w:id="108"/>
      </w:r>
      <w:bookmarkEnd w:id="17"/>
      <w:r w:rsidR="00594466" w:rsidRPr="002A28E1">
        <w:t xml:space="preserve"> These authors argue that some </w:t>
      </w:r>
      <w:r w:rsidR="00594466" w:rsidRPr="00355715">
        <w:t>portions of the new law would seem to portray the guarantor as a support person, while others would appear to represent the guarantor as an individual tasked with protecting the best interests of the person.</w:t>
      </w:r>
      <w:r w:rsidR="00594466" w:rsidRPr="00355715">
        <w:rPr>
          <w:rStyle w:val="FootnoteReference"/>
        </w:rPr>
        <w:footnoteReference w:id="109"/>
      </w:r>
      <w:r w:rsidR="00594466" w:rsidRPr="00355715">
        <w:t xml:space="preserve"> Indeed, the law might have been clearer in whether they were creating the figure of the guarantor as a genuine support person.</w:t>
      </w:r>
      <w:r w:rsidR="00D4470A" w:rsidRPr="00355715">
        <w:t xml:space="preserve"> </w:t>
      </w:r>
      <w:r w:rsidR="001716F8" w:rsidRPr="00355715">
        <w:t>The definition of the figure of the guarantor contained in Article 2</w:t>
      </w:r>
      <w:r w:rsidR="00495F9A" w:rsidRPr="00355715">
        <w:t>(l</w:t>
      </w:r>
      <w:r w:rsidR="001716F8" w:rsidRPr="00355715">
        <w:t xml:space="preserve">) </w:t>
      </w:r>
      <w:r w:rsidR="00A02186" w:rsidRPr="00355715">
        <w:t xml:space="preserve">affirms that the guarantor is responsible for guaranteeing </w:t>
      </w:r>
      <w:r w:rsidR="00B478EA" w:rsidRPr="00355715">
        <w:t>the</w:t>
      </w:r>
      <w:r w:rsidR="0003120D" w:rsidRPr="00355715">
        <w:t xml:space="preserve"> </w:t>
      </w:r>
      <w:r w:rsidR="00A02186" w:rsidRPr="00355715">
        <w:t>“safe and effective exercise of the rights and obligations</w:t>
      </w:r>
      <w:r w:rsidR="00883CF9" w:rsidRPr="00355715">
        <w:t xml:space="preserve">” </w:t>
      </w:r>
      <w:r w:rsidR="00EE1F60" w:rsidRPr="00355715">
        <w:t>of persons with disabilities.</w:t>
      </w:r>
      <w:r w:rsidR="00B8324D" w:rsidRPr="00355715">
        <w:rPr>
          <w:rStyle w:val="FootnoteReference"/>
        </w:rPr>
        <w:footnoteReference w:id="110"/>
      </w:r>
      <w:r w:rsidR="008F1405" w:rsidRPr="00355715">
        <w:t xml:space="preserve"> </w:t>
      </w:r>
      <w:r w:rsidR="007E380C" w:rsidRPr="00355715">
        <w:t>This</w:t>
      </w:r>
      <w:r w:rsidR="001E4C92" w:rsidRPr="00355715">
        <w:t xml:space="preserve"> language</w:t>
      </w:r>
      <w:r w:rsidR="007E380C" w:rsidRPr="00355715">
        <w:t xml:space="preserve"> would seem to endow the guarantor with a protective role in which </w:t>
      </w:r>
      <w:r w:rsidR="006B6975" w:rsidRPr="00355715">
        <w:t xml:space="preserve">they </w:t>
      </w:r>
      <w:r w:rsidR="00F7624E" w:rsidRPr="00355715">
        <w:t>might</w:t>
      </w:r>
      <w:r w:rsidR="006B6975" w:rsidRPr="00355715">
        <w:t xml:space="preserve"> be authorised to </w:t>
      </w:r>
      <w:r w:rsidR="00BF3551" w:rsidRPr="00355715">
        <w:t xml:space="preserve">act in the </w:t>
      </w:r>
      <w:proofErr w:type="gramStart"/>
      <w:r w:rsidR="00BF3551" w:rsidRPr="00355715">
        <w:t>person’s</w:t>
      </w:r>
      <w:proofErr w:type="gramEnd"/>
      <w:r w:rsidR="00BF3551" w:rsidRPr="00355715">
        <w:t xml:space="preserve"> perceived “best interest” in order to ensure that rights and obligations are exercised “safely” and “effectively”. </w:t>
      </w:r>
      <w:r w:rsidR="00CA3465" w:rsidRPr="00355715">
        <w:t>Furthermore</w:t>
      </w:r>
      <w:r w:rsidR="00A341A4" w:rsidRPr="00355715">
        <w:t>, t</w:t>
      </w:r>
      <w:r w:rsidR="00594466" w:rsidRPr="00355715">
        <w:t>he stipulation in Article 11</w:t>
      </w:r>
      <w:r w:rsidR="00600E4D" w:rsidRPr="00355715">
        <w:t>(</w:t>
      </w:r>
      <w:r w:rsidR="00594466" w:rsidRPr="00355715">
        <w:t xml:space="preserve">a) that the guarantor must “not act without </w:t>
      </w:r>
      <w:r w:rsidR="00594466" w:rsidRPr="00355715">
        <w:rPr>
          <w:i/>
        </w:rPr>
        <w:t>considering</w:t>
      </w:r>
      <w:r w:rsidR="00594466" w:rsidRPr="00355715">
        <w:t xml:space="preserve"> the rights, will and abilities of the person with </w:t>
      </w:r>
      <w:r w:rsidR="00521799" w:rsidRPr="00355715">
        <w:t xml:space="preserve">a </w:t>
      </w:r>
      <w:r w:rsidR="00594466" w:rsidRPr="00355715">
        <w:t>disabilit</w:t>
      </w:r>
      <w:r w:rsidR="00521799" w:rsidRPr="00355715">
        <w:t>y</w:t>
      </w:r>
      <w:r w:rsidR="00594466" w:rsidRPr="00355715">
        <w:t xml:space="preserve"> [emphasis added]”</w:t>
      </w:r>
      <w:r w:rsidR="00594466" w:rsidRPr="00355715">
        <w:rPr>
          <w:rStyle w:val="FootnoteReference"/>
        </w:rPr>
        <w:footnoteReference w:id="111"/>
      </w:r>
      <w:r w:rsidR="00594466" w:rsidRPr="00355715">
        <w:t xml:space="preserve"> arguably does not eliminate the possibility that a guarantor could take a position that does not align with the will and preferences of the person with</w:t>
      </w:r>
      <w:r w:rsidR="007F1D2D" w:rsidRPr="00355715">
        <w:t xml:space="preserve"> a</w:t>
      </w:r>
      <w:r w:rsidR="00594466" w:rsidRPr="00355715">
        <w:t xml:space="preserve"> disabili</w:t>
      </w:r>
      <w:r w:rsidR="007F1D2D" w:rsidRPr="00355715">
        <w:t>ty</w:t>
      </w:r>
      <w:r w:rsidR="00594466" w:rsidRPr="00355715">
        <w:t xml:space="preserve">.  </w:t>
      </w:r>
      <w:r w:rsidR="008B16DA" w:rsidRPr="00355715">
        <w:t>A</w:t>
      </w:r>
      <w:r w:rsidR="00594466" w:rsidRPr="00355715">
        <w:t>t first blush, that particular provision seems to clash with the obligation of the guarantor under Article 11</w:t>
      </w:r>
      <w:r w:rsidR="00600E4D" w:rsidRPr="00355715">
        <w:t>(</w:t>
      </w:r>
      <w:r w:rsidR="00594466" w:rsidRPr="00355715">
        <w:t>e) to “guarantee and respect the rights, will, preferences, abilities and capacities of people with disabilities.”</w:t>
      </w:r>
      <w:r w:rsidR="00594466" w:rsidRPr="00355715">
        <w:rPr>
          <w:rStyle w:val="FootnoteReference"/>
        </w:rPr>
        <w:footnoteReference w:id="112"/>
      </w:r>
      <w:r w:rsidR="00594466" w:rsidRPr="00355715">
        <w:t xml:space="preserve"> Nevertheless, in the aforementioned provision, the Costa Rican legislator has notably decided to refer to “</w:t>
      </w:r>
      <w:r w:rsidR="00594466" w:rsidRPr="00355715">
        <w:rPr>
          <w:i/>
        </w:rPr>
        <w:t xml:space="preserve">persons </w:t>
      </w:r>
      <w:r w:rsidR="00594466" w:rsidRPr="00355715">
        <w:t>with disabilities” rather than the particular “</w:t>
      </w:r>
      <w:r w:rsidR="00594466" w:rsidRPr="00355715">
        <w:rPr>
          <w:i/>
        </w:rPr>
        <w:t>person</w:t>
      </w:r>
      <w:r w:rsidR="00594466" w:rsidRPr="00355715">
        <w:t xml:space="preserve"> with </w:t>
      </w:r>
      <w:r w:rsidR="002818DF" w:rsidRPr="00355715">
        <w:t xml:space="preserve">a </w:t>
      </w:r>
      <w:r w:rsidR="00594466" w:rsidRPr="00355715">
        <w:t>disabilit</w:t>
      </w:r>
      <w:r w:rsidR="002818DF" w:rsidRPr="00355715">
        <w:t>y</w:t>
      </w:r>
      <w:r w:rsidR="00594466" w:rsidRPr="00355715">
        <w:t>” whom the guarantor is assisting. Therefore, perhaps the guarantor’s obligation contained in Article 11</w:t>
      </w:r>
      <w:r w:rsidR="00600E4D" w:rsidRPr="00355715">
        <w:t>(</w:t>
      </w:r>
      <w:r w:rsidR="00594466" w:rsidRPr="00355715">
        <w:t>e) is more amorphous and less constraining than the obligation outlined in Article 11</w:t>
      </w:r>
      <w:r w:rsidR="00600E4D" w:rsidRPr="00355715">
        <w:t>(</w:t>
      </w:r>
      <w:r w:rsidR="00594466" w:rsidRPr="00355715">
        <w:t xml:space="preserve">a). It </w:t>
      </w:r>
      <w:proofErr w:type="gramStart"/>
      <w:r w:rsidR="00594466" w:rsidRPr="00355715">
        <w:t>could thus be argued</w:t>
      </w:r>
      <w:proofErr w:type="gramEnd"/>
      <w:r w:rsidR="00594466" w:rsidRPr="00355715">
        <w:t xml:space="preserve"> that the guarantor</w:t>
      </w:r>
      <w:r w:rsidR="00064655" w:rsidRPr="00355715">
        <w:t xml:space="preserve"> only</w:t>
      </w:r>
      <w:r w:rsidR="00594466" w:rsidRPr="00355715">
        <w:t xml:space="preserve"> owes</w:t>
      </w:r>
      <w:r w:rsidR="00064655" w:rsidRPr="00355715">
        <w:t xml:space="preserve"> one obligation to</w:t>
      </w:r>
      <w:r w:rsidR="00594466" w:rsidRPr="00355715">
        <w:t xml:space="preserve"> the specific person with</w:t>
      </w:r>
      <w:r w:rsidR="000E0E16" w:rsidRPr="00355715">
        <w:t xml:space="preserve"> a</w:t>
      </w:r>
      <w:r w:rsidR="00594466" w:rsidRPr="00355715">
        <w:t xml:space="preserve"> disabilit</w:t>
      </w:r>
      <w:r w:rsidR="000E0E16" w:rsidRPr="00355715">
        <w:t xml:space="preserve">y </w:t>
      </w:r>
      <w:r w:rsidR="00784507" w:rsidRPr="00355715">
        <w:t>whom they are helpin</w:t>
      </w:r>
      <w:r w:rsidR="00EC0308" w:rsidRPr="00355715">
        <w:t>g</w:t>
      </w:r>
      <w:r w:rsidR="00594466" w:rsidRPr="00355715">
        <w:t xml:space="preserve"> </w:t>
      </w:r>
      <w:r w:rsidR="0077079C" w:rsidRPr="00355715">
        <w:t xml:space="preserve">– namely, </w:t>
      </w:r>
      <w:r w:rsidR="00594466" w:rsidRPr="00355715">
        <w:t>to consider their rights, will, and abilities before acting</w:t>
      </w:r>
      <w:r w:rsidR="00EF1450" w:rsidRPr="00355715">
        <w:t>. If this is in fact the sole obligation incumbent on the g</w:t>
      </w:r>
      <w:r w:rsidR="00797B81" w:rsidRPr="00355715">
        <w:t>u</w:t>
      </w:r>
      <w:r w:rsidR="00EF1450" w:rsidRPr="00355715">
        <w:t xml:space="preserve">arantor, </w:t>
      </w:r>
      <w:r w:rsidR="00594466" w:rsidRPr="00355715">
        <w:t xml:space="preserve">the guarantor could </w:t>
      </w:r>
      <w:r w:rsidR="00C47BF1" w:rsidRPr="00355715">
        <w:t xml:space="preserve">potentially </w:t>
      </w:r>
      <w:r w:rsidR="00594466" w:rsidRPr="00355715">
        <w:t>choose to ignore the will and preferences of the person and act in their purported “best interest.” Article 12 of the CRPD clearly envisions a supported decision-making framework imbued in a “will and preferences” paradigm, and so it is problematic if the Costa Rican legislation does not completely embrace this model.</w:t>
      </w:r>
      <w:r w:rsidR="000356F5" w:rsidRPr="00355715">
        <w:t xml:space="preserve"> </w:t>
      </w:r>
    </w:p>
    <w:p w14:paraId="5E93C5B7" w14:textId="77777777" w:rsidR="00C51B12" w:rsidRPr="00355715" w:rsidRDefault="00C51B12" w:rsidP="00594466"/>
    <w:p w14:paraId="7D522B95" w14:textId="10F0BC6E" w:rsidR="00D450C6" w:rsidRPr="002A28E1" w:rsidRDefault="000356F5" w:rsidP="00D450C6">
      <w:pPr>
        <w:rPr>
          <w:highlight w:val="lightGray"/>
        </w:rPr>
      </w:pPr>
      <w:r w:rsidRPr="00355715">
        <w:t xml:space="preserve">The Costa Rican law may lack safeguards to ensure that the “will and preferences” of the supported person are upheld. For instance, the law does not establish a complaint mechanism whereby the actions of guarantors </w:t>
      </w:r>
      <w:proofErr w:type="gramStart"/>
      <w:r w:rsidRPr="00355715">
        <w:t>can be challenged</w:t>
      </w:r>
      <w:proofErr w:type="gramEnd"/>
      <w:r w:rsidRPr="00355715">
        <w:t xml:space="preserve"> on the basis that they do not align with the will and preferences of the concerned person.</w:t>
      </w:r>
      <w:r w:rsidR="009917FB" w:rsidRPr="00355715">
        <w:rPr>
          <w:rStyle w:val="FootnoteReference"/>
        </w:rPr>
        <w:footnoteReference w:id="113"/>
      </w:r>
      <w:r w:rsidR="001D5ECC" w:rsidRPr="00355715">
        <w:t xml:space="preserve"> </w:t>
      </w:r>
      <w:r w:rsidR="00487A1C" w:rsidRPr="00355715">
        <w:t>The</w:t>
      </w:r>
      <w:r w:rsidR="00D450C6" w:rsidRPr="00355715">
        <w:t xml:space="preserve"> law</w:t>
      </w:r>
      <w:r w:rsidR="0049136B" w:rsidRPr="00355715">
        <w:t xml:space="preserve"> does</w:t>
      </w:r>
      <w:r w:rsidR="00D450C6" w:rsidRPr="00355715">
        <w:t xml:space="preserve"> provide that </w:t>
      </w:r>
      <w:proofErr w:type="gramStart"/>
      <w:r w:rsidR="00D450C6" w:rsidRPr="00355715">
        <w:t>the appointment of the guarantor should be reviewed by a judge</w:t>
      </w:r>
      <w:proofErr w:type="gramEnd"/>
      <w:r w:rsidR="00D450C6" w:rsidRPr="00355715">
        <w:t xml:space="preserve"> every five years.</w:t>
      </w:r>
      <w:r w:rsidR="00D450C6" w:rsidRPr="00355715">
        <w:rPr>
          <w:rStyle w:val="FootnoteReference"/>
        </w:rPr>
        <w:footnoteReference w:id="114"/>
      </w:r>
      <w:r w:rsidR="00E47EFD" w:rsidRPr="00355715">
        <w:t xml:space="preserve"> </w:t>
      </w:r>
      <w:r w:rsidR="00617B71" w:rsidRPr="00355715">
        <w:t>A</w:t>
      </w:r>
      <w:r w:rsidR="00691211" w:rsidRPr="00355715">
        <w:t>dditionally, t</w:t>
      </w:r>
      <w:r w:rsidR="002E0873" w:rsidRPr="00355715">
        <w:t xml:space="preserve">he law requires that </w:t>
      </w:r>
      <w:r w:rsidR="00461D08" w:rsidRPr="00355715">
        <w:t>the</w:t>
      </w:r>
      <w:r w:rsidR="00461D08" w:rsidRPr="002A28E1">
        <w:t xml:space="preserve"> Unit of Personal Autonomy and Independent Living</w:t>
      </w:r>
      <w:r w:rsidR="00C613B1" w:rsidRPr="002A28E1">
        <w:t xml:space="preserve"> at</w:t>
      </w:r>
      <w:r w:rsidR="00461D08" w:rsidRPr="002A28E1">
        <w:t xml:space="preserve"> </w:t>
      </w:r>
      <w:proofErr w:type="spellStart"/>
      <w:r w:rsidR="002E0873" w:rsidRPr="002A28E1">
        <w:t>Conapdis</w:t>
      </w:r>
      <w:proofErr w:type="spellEnd"/>
      <w:r w:rsidR="002E0873" w:rsidRPr="002A28E1">
        <w:t xml:space="preserve">, </w:t>
      </w:r>
      <w:r w:rsidR="002E0873" w:rsidRPr="00887322">
        <w:rPr>
          <w:i/>
        </w:rPr>
        <w:t>ex officio</w:t>
      </w:r>
      <w:r w:rsidR="002E0873" w:rsidRPr="002A28E1">
        <w:t xml:space="preserve"> or upon the request of a party, </w:t>
      </w:r>
      <w:proofErr w:type="gramStart"/>
      <w:r w:rsidR="002E0873" w:rsidRPr="002A28E1">
        <w:t>ensure</w:t>
      </w:r>
      <w:r w:rsidR="00062680">
        <w:t>s</w:t>
      </w:r>
      <w:proofErr w:type="gramEnd"/>
      <w:r w:rsidR="002E0873" w:rsidRPr="002A28E1">
        <w:t xml:space="preserve"> that personal assistants are adhering to individual support plans and the provisions outlined in the law and its regulations.</w:t>
      </w:r>
      <w:r w:rsidR="002E0873" w:rsidRPr="002A28E1">
        <w:rPr>
          <w:rStyle w:val="FootnoteReference"/>
        </w:rPr>
        <w:footnoteReference w:id="115"/>
      </w:r>
      <w:r w:rsidR="0024182A" w:rsidRPr="002A28E1">
        <w:t xml:space="preserve"> </w:t>
      </w:r>
    </w:p>
    <w:p w14:paraId="38D44324" w14:textId="77777777" w:rsidR="00594466" w:rsidRPr="002A28E1" w:rsidRDefault="00594466" w:rsidP="00594466"/>
    <w:p w14:paraId="5205D38F" w14:textId="2EBB8655" w:rsidR="00841571" w:rsidRDefault="005F5A25" w:rsidP="00594466">
      <w:r>
        <w:lastRenderedPageBreak/>
        <w:t>According</w:t>
      </w:r>
      <w:r w:rsidR="00594466" w:rsidRPr="002A28E1">
        <w:t xml:space="preserve"> to </w:t>
      </w:r>
      <w:r w:rsidR="000D6A39">
        <w:t>a</w:t>
      </w:r>
      <w:r w:rsidR="00B72693">
        <w:t xml:space="preserve"> 2018</w:t>
      </w:r>
      <w:r w:rsidR="000D6A39">
        <w:t xml:space="preserve"> report pr</w:t>
      </w:r>
      <w:r w:rsidR="000D6A39" w:rsidRPr="00355715">
        <w:t xml:space="preserve">epared by the Costa Rican NGO </w:t>
      </w:r>
      <w:proofErr w:type="spellStart"/>
      <w:r w:rsidR="009A2202" w:rsidRPr="00355715">
        <w:t>Informe</w:t>
      </w:r>
      <w:proofErr w:type="spellEnd"/>
      <w:r w:rsidR="009A2202" w:rsidRPr="00355715">
        <w:t xml:space="preserve"> </w:t>
      </w:r>
      <w:proofErr w:type="spellStart"/>
      <w:r w:rsidR="009A2202" w:rsidRPr="00355715">
        <w:t>Alternativo</w:t>
      </w:r>
      <w:proofErr w:type="spellEnd"/>
      <w:r w:rsidR="00594466" w:rsidRPr="00355715">
        <w:t>, the</w:t>
      </w:r>
      <w:r w:rsidR="009D2FA5" w:rsidRPr="00355715">
        <w:t xml:space="preserve"> new</w:t>
      </w:r>
      <w:r w:rsidR="00594466" w:rsidRPr="00355715">
        <w:t xml:space="preserve"> law </w:t>
      </w:r>
      <w:proofErr w:type="gramStart"/>
      <w:r w:rsidR="00594466" w:rsidRPr="00355715">
        <w:t>has been met</w:t>
      </w:r>
      <w:proofErr w:type="gramEnd"/>
      <w:r w:rsidR="00594466" w:rsidRPr="00355715">
        <w:t xml:space="preserve"> with some resistance by some parts of the legal community, especially in the area of family law. </w:t>
      </w:r>
      <w:r w:rsidR="00754D6E" w:rsidRPr="00355715">
        <w:t>This report</w:t>
      </w:r>
      <w:r w:rsidR="00594466" w:rsidRPr="00355715">
        <w:t xml:space="preserve"> expres</w:t>
      </w:r>
      <w:r w:rsidR="00667D6B" w:rsidRPr="00355715">
        <w:t>s</w:t>
      </w:r>
      <w:r w:rsidR="00754D6E" w:rsidRPr="00355715">
        <w:t>es</w:t>
      </w:r>
      <w:r w:rsidR="00594466" w:rsidRPr="00355715">
        <w:t xml:space="preserve"> the concern that a </w:t>
      </w:r>
      <w:r w:rsidR="00FA6224" w:rsidRPr="00355715">
        <w:t xml:space="preserve">broad </w:t>
      </w:r>
      <w:r w:rsidR="00594466" w:rsidRPr="00355715">
        <w:t xml:space="preserve">cultural change </w:t>
      </w:r>
      <w:proofErr w:type="gramStart"/>
      <w:r w:rsidR="00594466" w:rsidRPr="00355715">
        <w:t>is still needed</w:t>
      </w:r>
      <w:proofErr w:type="gramEnd"/>
      <w:r w:rsidR="00594466" w:rsidRPr="00355715">
        <w:t xml:space="preserve"> in Costa Rica</w:t>
      </w:r>
      <w:r w:rsidR="005A284B" w:rsidRPr="00355715">
        <w:t xml:space="preserve"> to </w:t>
      </w:r>
      <w:r w:rsidR="00A468D4" w:rsidRPr="00355715">
        <w:t>embrace</w:t>
      </w:r>
      <w:r w:rsidR="005A284B" w:rsidRPr="00355715">
        <w:t xml:space="preserve"> the philosophy </w:t>
      </w:r>
      <w:r w:rsidR="00803A51" w:rsidRPr="00355715">
        <w:t>underlying the</w:t>
      </w:r>
      <w:r w:rsidR="005A284B" w:rsidRPr="00355715">
        <w:t xml:space="preserve"> new law.</w:t>
      </w:r>
      <w:r w:rsidR="00594466" w:rsidRPr="00355715">
        <w:t xml:space="preserve"> </w:t>
      </w:r>
      <w:r w:rsidR="00047243" w:rsidRPr="00355715">
        <w:t>The report warns</w:t>
      </w:r>
      <w:r w:rsidR="00594466" w:rsidRPr="00355715">
        <w:t xml:space="preserve"> that due to the</w:t>
      </w:r>
      <w:r w:rsidR="008B265A" w:rsidRPr="00355715">
        <w:t xml:space="preserve"> </w:t>
      </w:r>
      <w:r w:rsidR="003139B2" w:rsidRPr="00355715">
        <w:t>weight of</w:t>
      </w:r>
      <w:r w:rsidR="00974041" w:rsidRPr="00355715">
        <w:t xml:space="preserve"> longstanding</w:t>
      </w:r>
      <w:r w:rsidR="003139B2" w:rsidRPr="00355715">
        <w:t xml:space="preserve"> cultural attitudes </w:t>
      </w:r>
      <w:r w:rsidR="00974041" w:rsidRPr="00355715">
        <w:t xml:space="preserve">and </w:t>
      </w:r>
      <w:r w:rsidR="00E74A97" w:rsidRPr="00355715">
        <w:t>the</w:t>
      </w:r>
      <w:r w:rsidR="008B265A" w:rsidRPr="00355715">
        <w:t xml:space="preserve"> history of guardianship in this country</w:t>
      </w:r>
      <w:r w:rsidR="00594466" w:rsidRPr="00355715">
        <w:t xml:space="preserve">, there is a persistent risk that guarantors will act in practice as substitute decision-makers. </w:t>
      </w:r>
      <w:proofErr w:type="spellStart"/>
      <w:r w:rsidR="00594466" w:rsidRPr="00355715">
        <w:t>Informe</w:t>
      </w:r>
      <w:proofErr w:type="spellEnd"/>
      <w:r w:rsidR="00594466" w:rsidRPr="00355715">
        <w:t xml:space="preserve"> </w:t>
      </w:r>
      <w:proofErr w:type="spellStart"/>
      <w:r w:rsidR="00594466" w:rsidRPr="00355715">
        <w:t>Alternativo’s</w:t>
      </w:r>
      <w:proofErr w:type="spellEnd"/>
      <w:r w:rsidR="00594466" w:rsidRPr="00355715">
        <w:t xml:space="preserve"> </w:t>
      </w:r>
      <w:r w:rsidR="001976B1" w:rsidRPr="00355715">
        <w:t>representatives</w:t>
      </w:r>
      <w:r w:rsidR="00594466" w:rsidRPr="00355715">
        <w:t xml:space="preserve"> maintain</w:t>
      </w:r>
      <w:r w:rsidR="004A4C19" w:rsidRPr="00355715">
        <w:t xml:space="preserve"> </w:t>
      </w:r>
      <w:r w:rsidR="00594466" w:rsidRPr="00355715">
        <w:t>that there is a pressing need to develop training programs to educate judges, prosecutors,</w:t>
      </w:r>
      <w:r w:rsidR="00594466" w:rsidRPr="002A28E1">
        <w:t xml:space="preserve"> public defenders and experts on the new law and its application. Moreover, </w:t>
      </w:r>
      <w:r w:rsidR="00341CFE">
        <w:t xml:space="preserve">the organization’s </w:t>
      </w:r>
      <w:r w:rsidR="00594466" w:rsidRPr="002A28E1">
        <w:t xml:space="preserve">representatives argue that law school curricula </w:t>
      </w:r>
      <w:proofErr w:type="gramStart"/>
      <w:r w:rsidR="00594466" w:rsidRPr="002A28E1">
        <w:t>should be reformed</w:t>
      </w:r>
      <w:proofErr w:type="gramEnd"/>
      <w:r w:rsidR="00594466" w:rsidRPr="002A28E1">
        <w:t xml:space="preserve"> in order to ensure that law programs accurately impart to future lawyers the content of the new legislation.</w:t>
      </w:r>
      <w:bookmarkStart w:id="18" w:name="_Ref15376395"/>
      <w:r w:rsidR="00C315BB">
        <w:rPr>
          <w:rStyle w:val="FootnoteReference"/>
        </w:rPr>
        <w:footnoteReference w:id="116"/>
      </w:r>
      <w:bookmarkEnd w:id="18"/>
    </w:p>
    <w:p w14:paraId="2D90EC69" w14:textId="77777777" w:rsidR="00841571" w:rsidRDefault="00841571" w:rsidP="00594466"/>
    <w:p w14:paraId="42208C8D" w14:textId="1FE70BA8" w:rsidR="00594466" w:rsidRPr="002A28E1" w:rsidRDefault="00594466" w:rsidP="00594466">
      <w:r w:rsidRPr="002A28E1">
        <w:t xml:space="preserve">In her 2017 Report, the Special Rapporteur on the </w:t>
      </w:r>
      <w:r w:rsidR="001D07A2">
        <w:t>Ri</w:t>
      </w:r>
      <w:r w:rsidRPr="002A28E1">
        <w:t xml:space="preserve">ghts of </w:t>
      </w:r>
      <w:r w:rsidR="001D07A2">
        <w:t>P</w:t>
      </w:r>
      <w:r w:rsidRPr="002A28E1">
        <w:t xml:space="preserve">ersons with </w:t>
      </w:r>
      <w:r w:rsidR="001D07A2">
        <w:t>D</w:t>
      </w:r>
      <w:r w:rsidRPr="002A28E1">
        <w:t>isabilities praised the new Costa Rican law as a “significant development” and urged Costa Rica to “promptly adopt the necessary regulations to effectively implement the reform in line with the principles and rights of the Convention.”</w:t>
      </w:r>
      <w:r w:rsidRPr="002A28E1">
        <w:rPr>
          <w:rStyle w:val="FootnoteReference"/>
        </w:rPr>
        <w:footnoteReference w:id="117"/>
      </w:r>
      <w:r w:rsidRPr="002A28E1">
        <w:t xml:space="preserve"> Despite outstanding challenges that </w:t>
      </w:r>
      <w:proofErr w:type="gramStart"/>
      <w:r w:rsidRPr="002A28E1">
        <w:t>must be overcome</w:t>
      </w:r>
      <w:proofErr w:type="gramEnd"/>
      <w:r w:rsidRPr="002A28E1">
        <w:t xml:space="preserve"> to ensure the proper implementation of the new legislation on the ground, Costa Rica has undoubtedly made great strides towards securing equal recognition before the law for persons with disabilities.</w:t>
      </w:r>
      <w:r w:rsidR="00CC4694" w:rsidRPr="002A28E1">
        <w:t xml:space="preserve"> The new law has allowed Costa Rica to transition away from substitute decision-making through the creation of the guarantor and personal assistant, coupled with the abolition of guardianship and the elimination of declarations of mental insanity.</w:t>
      </w:r>
    </w:p>
    <w:p w14:paraId="0334355F" w14:textId="5D3F2A60" w:rsidR="00D442B1" w:rsidRPr="002A28E1" w:rsidRDefault="00D442B1" w:rsidP="00D442B1">
      <w:pPr>
        <w:pStyle w:val="Heading1"/>
      </w:pPr>
    </w:p>
    <w:p w14:paraId="0BE7DEDB" w14:textId="77777777" w:rsidR="005520E9" w:rsidRPr="002A28E1" w:rsidRDefault="005520E9" w:rsidP="00D442B1">
      <w:pPr>
        <w:pStyle w:val="Heading1"/>
      </w:pPr>
      <w:r w:rsidRPr="002A28E1">
        <w:br w:type="page"/>
      </w:r>
      <w:bookmarkStart w:id="19" w:name="_Toc16081753"/>
      <w:r w:rsidRPr="002A28E1">
        <w:lastRenderedPageBreak/>
        <w:t>Argentina</w:t>
      </w:r>
      <w:bookmarkEnd w:id="19"/>
    </w:p>
    <w:p w14:paraId="26F86BF9" w14:textId="4EC3DA2D" w:rsidR="005520E9" w:rsidRPr="002A28E1" w:rsidRDefault="005520E9" w:rsidP="005520E9">
      <w:r w:rsidRPr="002A28E1">
        <w:t xml:space="preserve">Argentina’s law on legal capacity has undergone significant changes with the entry into force of a new </w:t>
      </w:r>
      <w:r w:rsidRPr="00CE0395">
        <w:t>Civil and Commercial Code in 2015.</w:t>
      </w:r>
      <w:bookmarkStart w:id="20" w:name="_Ref15297830"/>
      <w:r w:rsidR="00836AF5" w:rsidRPr="00CE0395">
        <w:rPr>
          <w:rStyle w:val="FootnoteReference"/>
        </w:rPr>
        <w:footnoteReference w:id="118"/>
      </w:r>
      <w:bookmarkEnd w:id="20"/>
      <w:r w:rsidRPr="00CE0395">
        <w:t xml:space="preserve"> The reformed Argentinian legislation critically sets out a </w:t>
      </w:r>
      <w:r w:rsidR="003D5111" w:rsidRPr="00CE0395">
        <w:t>versatile</w:t>
      </w:r>
      <w:r w:rsidRPr="00CE0395">
        <w:t xml:space="preserve"> system</w:t>
      </w:r>
      <w:r w:rsidRPr="002A28E1">
        <w:t xml:space="preserve"> of supported decision-making. Nevertheless, </w:t>
      </w:r>
      <w:r w:rsidR="00EF16F3">
        <w:t xml:space="preserve">under Argentinian law, </w:t>
      </w:r>
      <w:r w:rsidRPr="002A28E1">
        <w:t>the</w:t>
      </w:r>
      <w:r w:rsidR="005B7CF3">
        <w:t>re remains the</w:t>
      </w:r>
      <w:r w:rsidRPr="002A28E1">
        <w:t xml:space="preserve"> possibility for persons with</w:t>
      </w:r>
      <w:r w:rsidR="00060726" w:rsidRPr="002A28E1">
        <w:t xml:space="preserve"> disabilities </w:t>
      </w:r>
      <w:r w:rsidRPr="002A28E1">
        <w:t>to have their legal capacity restricted</w:t>
      </w:r>
      <w:r w:rsidR="001C7CDF" w:rsidRPr="002A28E1">
        <w:t xml:space="preserve"> </w:t>
      </w:r>
      <w:r w:rsidR="001979DD">
        <w:t xml:space="preserve">or removed </w:t>
      </w:r>
      <w:r w:rsidR="001C7CDF" w:rsidRPr="002A28E1">
        <w:t>by a judge</w:t>
      </w:r>
      <w:r w:rsidRPr="002A28E1">
        <w:t xml:space="preserve">. </w:t>
      </w:r>
    </w:p>
    <w:p w14:paraId="2352FEE2" w14:textId="77777777" w:rsidR="005520E9" w:rsidRPr="002A28E1" w:rsidRDefault="005520E9" w:rsidP="005520E9"/>
    <w:p w14:paraId="4208EC42" w14:textId="3908B6EE" w:rsidR="005520E9" w:rsidRPr="002A28E1" w:rsidRDefault="005520E9" w:rsidP="005520E9">
      <w:pPr>
        <w:rPr>
          <w:highlight w:val="lightGray"/>
        </w:rPr>
      </w:pPr>
      <w:r w:rsidRPr="002A28E1">
        <w:t>Argentina ratified the CRPD in 2008.</w:t>
      </w:r>
      <w:r w:rsidR="00226F7E">
        <w:rPr>
          <w:rStyle w:val="FootnoteReference"/>
        </w:rPr>
        <w:footnoteReference w:id="119"/>
      </w:r>
      <w:r w:rsidRPr="002A28E1">
        <w:t xml:space="preserve"> Argentinian civil society </w:t>
      </w:r>
      <w:r w:rsidRPr="000C1CD2">
        <w:t>was actively involved in the preparatory work of the country’s legal capacity legislation reform. Representative organizations of persons with disabilities played a particularly important role in the process.</w:t>
      </w:r>
      <w:r w:rsidRPr="000C1CD2">
        <w:rPr>
          <w:rStyle w:val="FootnoteReference"/>
        </w:rPr>
        <w:footnoteReference w:id="120"/>
      </w:r>
      <w:r w:rsidRPr="000C1CD2">
        <w:t xml:space="preserve"> The Association for Civil Rights (ADC) and the Center for Legal and Social Studies (CELS) constitute two examples of non-governmental organizations that have been heavily engaged in advocacy for Argentinian legal reform in the area of disability rights.</w:t>
      </w:r>
      <w:r w:rsidR="00CD28A0" w:rsidRPr="000C1CD2">
        <w:rPr>
          <w:rStyle w:val="FootnoteReference"/>
        </w:rPr>
        <w:footnoteReference w:id="121"/>
      </w:r>
    </w:p>
    <w:p w14:paraId="6B5C76BE" w14:textId="77777777" w:rsidR="005520E9" w:rsidRPr="002A28E1" w:rsidRDefault="005520E9" w:rsidP="005520E9"/>
    <w:p w14:paraId="55443DE6" w14:textId="7D8F8279" w:rsidR="005520E9" w:rsidRPr="002A28E1" w:rsidRDefault="005520E9" w:rsidP="005520E9">
      <w:r w:rsidRPr="002A28E1">
        <w:t>The new law in Argentina recognizes that all individuals possess the ability to hold and to exercise rights, but specifies that legal capacity may be restricted.</w:t>
      </w:r>
      <w:r w:rsidRPr="002A28E1">
        <w:rPr>
          <w:rStyle w:val="FootnoteReference"/>
        </w:rPr>
        <w:footnoteReference w:id="122"/>
      </w:r>
      <w:r w:rsidRPr="002A28E1">
        <w:t xml:space="preserve"> Article 32 of the Code </w:t>
      </w:r>
      <w:proofErr w:type="gramStart"/>
      <w:r w:rsidRPr="002A28E1">
        <w:t>stipulates that</w:t>
      </w:r>
      <w:proofErr w:type="gramEnd"/>
      <w:r w:rsidRPr="002A28E1">
        <w:t xml:space="preserve"> “the judge may restrict the capacity for certain acts of a person over thirteen years of age who suffers from an addiction or permanent or prolonged mental disorder, of sufficient severity, whenever he/she considers that the exercise of the individual’s full capacity may result in damage to his/her person or property.”</w:t>
      </w:r>
      <w:r w:rsidRPr="002A28E1">
        <w:rPr>
          <w:rStyle w:val="FootnoteReference"/>
        </w:rPr>
        <w:footnoteReference w:id="123"/>
      </w:r>
      <w:r w:rsidRPr="002A28E1">
        <w:t xml:space="preserve"> Capacity must only be restricted with respect to specific acts </w:t>
      </w:r>
      <w:r w:rsidRPr="00F660AF">
        <w:t xml:space="preserve">delineated by the court, such that </w:t>
      </w:r>
      <w:proofErr w:type="gramStart"/>
      <w:r w:rsidRPr="00F660AF">
        <w:t>with regards to</w:t>
      </w:r>
      <w:proofErr w:type="gramEnd"/>
      <w:r w:rsidRPr="00F660AF">
        <w:t xml:space="preserve"> other acts not addressed in the judgement, a person is presumed to have capacity.</w:t>
      </w:r>
      <w:r w:rsidRPr="00F660AF">
        <w:rPr>
          <w:rStyle w:val="FootnoteReference"/>
        </w:rPr>
        <w:footnoteReference w:id="124"/>
      </w:r>
      <w:r w:rsidRPr="00F660AF">
        <w:t xml:space="preserve"> Under the Code, “personal autonomy must be affected as little as possible.”</w:t>
      </w:r>
      <w:r w:rsidRPr="00F660AF">
        <w:rPr>
          <w:rStyle w:val="FootnoteReference"/>
        </w:rPr>
        <w:footnoteReference w:id="125"/>
      </w:r>
      <w:r w:rsidRPr="00F660AF">
        <w:t xml:space="preserve"> Thus, the extent of the deprivation of legal capacity </w:t>
      </w:r>
      <w:proofErr w:type="gramStart"/>
      <w:r w:rsidRPr="00F660AF">
        <w:t>must be minimized</w:t>
      </w:r>
      <w:proofErr w:type="gramEnd"/>
      <w:r w:rsidRPr="00F660AF">
        <w:t>.</w:t>
      </w:r>
      <w:r w:rsidRPr="00F660AF">
        <w:rPr>
          <w:rStyle w:val="FootnoteReference"/>
        </w:rPr>
        <w:footnoteReference w:id="126"/>
      </w:r>
    </w:p>
    <w:p w14:paraId="36078988" w14:textId="77777777" w:rsidR="005520E9" w:rsidRPr="002A28E1" w:rsidRDefault="005520E9" w:rsidP="005520E9">
      <w:pPr>
        <w:rPr>
          <w:b/>
          <w:sz w:val="32"/>
          <w:szCs w:val="32"/>
        </w:rPr>
      </w:pPr>
    </w:p>
    <w:p w14:paraId="5F34E042" w14:textId="2EEBD7C7" w:rsidR="00BB5DF4" w:rsidRPr="002A28E1" w:rsidRDefault="005520E9" w:rsidP="005520E9">
      <w:pPr>
        <w:pStyle w:val="NormalWeb"/>
        <w:spacing w:before="0" w:beforeAutospacing="0" w:after="0" w:afterAutospacing="0"/>
      </w:pPr>
      <w:r w:rsidRPr="00C63BF6">
        <w:t>When a judge decides to limit a person’s legal capacity to exercise certain acts under Article 32 of the Code, the judge must then designate support measures.</w:t>
      </w:r>
      <w:r w:rsidRPr="00C63BF6">
        <w:rPr>
          <w:rStyle w:val="FootnoteReference"/>
        </w:rPr>
        <w:footnoteReference w:id="127"/>
      </w:r>
      <w:r w:rsidRPr="00C63BF6">
        <w:t xml:space="preserve"> Support </w:t>
      </w:r>
      <w:proofErr w:type="gramStart"/>
      <w:r w:rsidRPr="00C63BF6">
        <w:t>is defined</w:t>
      </w:r>
      <w:proofErr w:type="gramEnd"/>
      <w:r w:rsidRPr="00C63BF6">
        <w:t xml:space="preserve"> broadly in the Code as “any measure of a judicial or extrajudicial nature that facilitates the person who needs it to make decisions to manage themselves, manage their assets or enter into legal acts in general.”</w:t>
      </w:r>
      <w:r w:rsidRPr="00C63BF6">
        <w:rPr>
          <w:rStyle w:val="FootnoteReference"/>
        </w:rPr>
        <w:footnoteReference w:id="128"/>
      </w:r>
      <w:r w:rsidRPr="00C63BF6">
        <w:t xml:space="preserve"> According to the Code, the purpose of support measures are to promote autonomy, as well as to help a </w:t>
      </w:r>
      <w:proofErr w:type="gramStart"/>
      <w:r w:rsidRPr="00C63BF6">
        <w:t>person’s</w:t>
      </w:r>
      <w:proofErr w:type="gramEnd"/>
      <w:r w:rsidRPr="00C63BF6">
        <w:t xml:space="preserve"> will to be understood and expressed.</w:t>
      </w:r>
      <w:r w:rsidRPr="00C63BF6">
        <w:rPr>
          <w:rStyle w:val="FootnoteReference"/>
        </w:rPr>
        <w:footnoteReference w:id="129"/>
      </w:r>
      <w:r w:rsidRPr="00C63BF6">
        <w:t xml:space="preserve"> </w:t>
      </w:r>
      <w:r w:rsidR="00C80096" w:rsidRPr="00C63BF6">
        <w:t>Support</w:t>
      </w:r>
      <w:r w:rsidR="00C80096" w:rsidRPr="002A28E1">
        <w:t xml:space="preserve"> measures should </w:t>
      </w:r>
      <w:r w:rsidR="00C80096">
        <w:lastRenderedPageBreak/>
        <w:t xml:space="preserve">also </w:t>
      </w:r>
      <w:r w:rsidR="00C80096" w:rsidRPr="002A28E1">
        <w:t>“</w:t>
      </w:r>
      <w:r w:rsidR="00E0024F">
        <w:t>favour</w:t>
      </w:r>
      <w:r w:rsidR="00C80096" w:rsidRPr="002A28E1">
        <w:t xml:space="preserve"> decisions that respond to the preferences of the </w:t>
      </w:r>
      <w:r w:rsidR="005D796B">
        <w:t xml:space="preserve">protected </w:t>
      </w:r>
      <w:r w:rsidR="00C80096" w:rsidRPr="002A28E1">
        <w:t>person.”</w:t>
      </w:r>
      <w:r w:rsidR="00C80096" w:rsidRPr="002A28E1">
        <w:rPr>
          <w:rStyle w:val="FootnoteReference"/>
        </w:rPr>
        <w:footnoteReference w:id="130"/>
      </w:r>
      <w:r w:rsidR="00C80096" w:rsidRPr="002A28E1">
        <w:t xml:space="preserve"> </w:t>
      </w:r>
      <w:r w:rsidRPr="002A28E1">
        <w:t xml:space="preserve">The precise nature, scope, and consequences of support measures </w:t>
      </w:r>
      <w:proofErr w:type="gramStart"/>
      <w:r w:rsidRPr="002A28E1">
        <w:t>are established</w:t>
      </w:r>
      <w:proofErr w:type="gramEnd"/>
      <w:r w:rsidRPr="002A28E1">
        <w:t xml:space="preserve"> on a case-by-case basis in a court judgment.</w:t>
      </w:r>
      <w:r w:rsidRPr="002A28E1">
        <w:rPr>
          <w:rStyle w:val="FootnoteReference"/>
        </w:rPr>
        <w:footnoteReference w:id="131"/>
      </w:r>
      <w:r w:rsidRPr="002A28E1">
        <w:t xml:space="preserve"> Supports may relate to both personal and property matters.</w:t>
      </w:r>
      <w:r w:rsidRPr="002A28E1">
        <w:rPr>
          <w:rStyle w:val="FootnoteReference"/>
        </w:rPr>
        <w:footnoteReference w:id="132"/>
      </w:r>
      <w:r w:rsidR="00BB5DF4" w:rsidRPr="002A28E1">
        <w:t xml:space="preserve"> The </w:t>
      </w:r>
      <w:r w:rsidR="003F0BC5" w:rsidRPr="002A28E1">
        <w:t>court judgment establish</w:t>
      </w:r>
      <w:r w:rsidR="00E11177" w:rsidRPr="002A28E1">
        <w:t>es the particular condition</w:t>
      </w:r>
      <w:r w:rsidR="00851CF6" w:rsidRPr="002A28E1">
        <w:t>s</w:t>
      </w:r>
      <w:r w:rsidR="00E11177" w:rsidRPr="002A28E1">
        <w:t xml:space="preserve"> for the validity of legal acts in the areas in which legal capacity has been restricted.</w:t>
      </w:r>
      <w:r w:rsidR="00E11177" w:rsidRPr="002A28E1">
        <w:rPr>
          <w:rStyle w:val="FootnoteReference"/>
        </w:rPr>
        <w:footnoteReference w:id="133"/>
      </w:r>
      <w:r w:rsidR="00A32C07" w:rsidRPr="002A28E1">
        <w:t xml:space="preserve"> </w:t>
      </w:r>
      <w:r w:rsidR="00063DBF" w:rsidRPr="002A28E1">
        <w:t xml:space="preserve">For instance, the judgment can stipulate that legal acts made by the person with a disability are valid </w:t>
      </w:r>
      <w:r w:rsidR="002B05F9">
        <w:t>if</w:t>
      </w:r>
      <w:r w:rsidR="00063DBF" w:rsidRPr="002A28E1">
        <w:t xml:space="preserve"> they had the assistance of the supporter</w:t>
      </w:r>
      <w:r w:rsidR="00A459D4" w:rsidRPr="002A28E1">
        <w:t xml:space="preserve"> in coming to the decision</w:t>
      </w:r>
      <w:r w:rsidR="00BB56D3" w:rsidRPr="002A28E1">
        <w:t>.</w:t>
      </w:r>
      <w:r w:rsidR="00B17FAE">
        <w:rPr>
          <w:rStyle w:val="FootnoteReference"/>
        </w:rPr>
        <w:footnoteReference w:id="134"/>
      </w:r>
      <w:r w:rsidR="00BB56D3" w:rsidRPr="002A28E1">
        <w:t xml:space="preserve"> </w:t>
      </w:r>
      <w:r w:rsidR="00537BCC" w:rsidRPr="002A28E1">
        <w:t>Alternatively</w:t>
      </w:r>
      <w:r w:rsidR="00BB56D3" w:rsidRPr="002A28E1">
        <w:t xml:space="preserve">, </w:t>
      </w:r>
      <w:r w:rsidR="00851CF6" w:rsidRPr="002A28E1">
        <w:t xml:space="preserve">the ruling may require </w:t>
      </w:r>
      <w:r w:rsidR="00C16DDB" w:rsidRPr="002A28E1">
        <w:t xml:space="preserve">the supporter’s consent </w:t>
      </w:r>
      <w:r w:rsidR="00851CF6" w:rsidRPr="002A28E1">
        <w:t xml:space="preserve">for legal acts to be valid, or validity may be </w:t>
      </w:r>
      <w:r w:rsidR="00537BCC" w:rsidRPr="002A28E1">
        <w:t xml:space="preserve">merely </w:t>
      </w:r>
      <w:r w:rsidR="00851CF6" w:rsidRPr="002A28E1">
        <w:t xml:space="preserve">satisfied by </w:t>
      </w:r>
      <w:r w:rsidR="00537BCC" w:rsidRPr="002A28E1">
        <w:t>the expr</w:t>
      </w:r>
      <w:r w:rsidR="00A03079" w:rsidRPr="002A28E1">
        <w:t>e</w:t>
      </w:r>
      <w:r w:rsidR="00537BCC" w:rsidRPr="002A28E1">
        <w:t>s</w:t>
      </w:r>
      <w:r w:rsidR="00A03079" w:rsidRPr="002A28E1">
        <w:t>s</w:t>
      </w:r>
      <w:r w:rsidR="00537BCC" w:rsidRPr="002A28E1">
        <w:t xml:space="preserve"> will of the supporter, since the law indicates that the supporter may have representative functions </w:t>
      </w:r>
      <w:proofErr w:type="gramStart"/>
      <w:r w:rsidR="00537BCC" w:rsidRPr="002A28E1">
        <w:t>with regards to</w:t>
      </w:r>
      <w:proofErr w:type="gramEnd"/>
      <w:r w:rsidR="00537BCC" w:rsidRPr="002A28E1">
        <w:t xml:space="preserve"> certain acts specified in the judgment.</w:t>
      </w:r>
      <w:r w:rsidR="00537BCC" w:rsidRPr="002A28E1">
        <w:rPr>
          <w:rStyle w:val="FootnoteReference"/>
        </w:rPr>
        <w:footnoteReference w:id="135"/>
      </w:r>
    </w:p>
    <w:p w14:paraId="3E77548B" w14:textId="77777777" w:rsidR="00BB5DF4" w:rsidRPr="002A28E1" w:rsidRDefault="00BB5DF4" w:rsidP="005520E9">
      <w:pPr>
        <w:pStyle w:val="NormalWeb"/>
        <w:spacing w:before="0" w:beforeAutospacing="0" w:after="0" w:afterAutospacing="0"/>
      </w:pPr>
    </w:p>
    <w:p w14:paraId="5A33EC3D" w14:textId="611B54B1" w:rsidR="005520E9" w:rsidRPr="004941C3" w:rsidRDefault="005520E9" w:rsidP="004941C3">
      <w:pPr>
        <w:rPr>
          <w:highlight w:val="lightGray"/>
        </w:rPr>
      </w:pPr>
      <w:r w:rsidRPr="001A076A">
        <w:t xml:space="preserve">The affected individual can submit a request to the judge as to which </w:t>
      </w:r>
      <w:r w:rsidR="00ED1D2D" w:rsidRPr="001A076A">
        <w:t>particular</w:t>
      </w:r>
      <w:r w:rsidR="00981757" w:rsidRPr="001A076A">
        <w:t xml:space="preserve"> </w:t>
      </w:r>
      <w:r w:rsidRPr="001A076A">
        <w:t xml:space="preserve">trusted person or persons </w:t>
      </w:r>
      <w:proofErr w:type="gramStart"/>
      <w:r w:rsidRPr="001A076A">
        <w:t>should be appointed</w:t>
      </w:r>
      <w:proofErr w:type="gramEnd"/>
      <w:r w:rsidRPr="001A076A">
        <w:t xml:space="preserve"> to provide them with support.</w:t>
      </w:r>
      <w:r w:rsidRPr="001A076A">
        <w:rPr>
          <w:rStyle w:val="FootnoteReference"/>
        </w:rPr>
        <w:footnoteReference w:id="136"/>
      </w:r>
      <w:r w:rsidR="00E425D0" w:rsidRPr="001A076A">
        <w:t xml:space="preserve"> </w:t>
      </w:r>
      <w:r w:rsidR="00654DC7" w:rsidRPr="001A076A">
        <w:t xml:space="preserve">The Code appears to be silent, however, as to how much weight the judge should give such a </w:t>
      </w:r>
      <w:r w:rsidR="00111FF1" w:rsidRPr="001A076A">
        <w:t>nomination</w:t>
      </w:r>
      <w:r w:rsidR="00654DC7" w:rsidRPr="001A076A">
        <w:t>.</w:t>
      </w:r>
      <w:r w:rsidR="004941C3" w:rsidRPr="001A076A">
        <w:t xml:space="preserve"> The Code simply </w:t>
      </w:r>
      <w:r w:rsidR="00C92CD6" w:rsidRPr="001A076A">
        <w:t xml:space="preserve">implies that the decision on the identity of the supporter </w:t>
      </w:r>
      <w:r w:rsidR="00E55BB0" w:rsidRPr="001A076A">
        <w:t>ultimately</w:t>
      </w:r>
      <w:r w:rsidR="00C92CD6" w:rsidRPr="001A076A">
        <w:t xml:space="preserve"> lies in the hands of the judge, who must</w:t>
      </w:r>
      <w:r w:rsidRPr="001A076A">
        <w:t xml:space="preserve"> assess the scope of the appointment and take actions to protect the person in the event of the presen</w:t>
      </w:r>
      <w:r w:rsidRPr="002A28E1">
        <w:t>ce of a conflict of interest or the exercise of undue influence.</w:t>
      </w:r>
      <w:r w:rsidRPr="002A28E1">
        <w:rPr>
          <w:rStyle w:val="FootnoteReference"/>
        </w:rPr>
        <w:footnoteReference w:id="137"/>
      </w:r>
    </w:p>
    <w:p w14:paraId="14FAC517" w14:textId="77777777" w:rsidR="005520E9" w:rsidRPr="002A28E1" w:rsidRDefault="005520E9" w:rsidP="005520E9"/>
    <w:p w14:paraId="7367D087" w14:textId="60C1D9C9" w:rsidR="005520E9" w:rsidRPr="002A28E1" w:rsidRDefault="005520E9" w:rsidP="005520E9">
      <w:r w:rsidRPr="002A28E1">
        <w:t>Despite introducing the concept of supported decision-making, the Argentinian law retains the possibility of a declaration of incapacitation and the imposition of substitute decision-making. Under Article 32 of the Code, “when a person is absolutely unable to interact with the environment and express his or her will in any appropriate way or format and the support system is ineffective, the judge may declare incapacity.”</w:t>
      </w:r>
      <w:r w:rsidRPr="002A28E1">
        <w:rPr>
          <w:rStyle w:val="FootnoteReference"/>
        </w:rPr>
        <w:footnoteReference w:id="138"/>
      </w:r>
      <w:r w:rsidRPr="002A28E1">
        <w:t xml:space="preserve"> In such cases where incapacity is declared, a “curator” (or trustee) is appointed.</w:t>
      </w:r>
      <w:r w:rsidRPr="002A28E1">
        <w:rPr>
          <w:rStyle w:val="FootnoteReference"/>
        </w:rPr>
        <w:footnoteReference w:id="139"/>
      </w:r>
      <w:r w:rsidRPr="002A28E1">
        <w:t xml:space="preserve"> The curator represents the affected person in property affairs</w:t>
      </w:r>
      <w:r w:rsidRPr="002A28E1">
        <w:rPr>
          <w:rStyle w:val="FootnoteReference"/>
        </w:rPr>
        <w:footnoteReference w:id="140"/>
      </w:r>
      <w:r w:rsidRPr="002A28E1">
        <w:t xml:space="preserve"> and substitutes them in decision-making, with the caveat that judicial authorization </w:t>
      </w:r>
      <w:proofErr w:type="gramStart"/>
      <w:r w:rsidRPr="002A28E1">
        <w:t>may be needed</w:t>
      </w:r>
      <w:proofErr w:type="gramEnd"/>
      <w:r w:rsidRPr="002A28E1">
        <w:t xml:space="preserve"> for some legal acts.</w:t>
      </w:r>
      <w:r w:rsidRPr="002A28E1">
        <w:rPr>
          <w:rStyle w:val="FootnoteReference"/>
        </w:rPr>
        <w:footnoteReference w:id="141"/>
      </w:r>
    </w:p>
    <w:p w14:paraId="36DB8B41" w14:textId="77777777" w:rsidR="005520E9" w:rsidRPr="002A28E1" w:rsidRDefault="005520E9" w:rsidP="005520E9">
      <w:pPr>
        <w:rPr>
          <w:b/>
          <w:sz w:val="32"/>
          <w:szCs w:val="32"/>
        </w:rPr>
      </w:pPr>
    </w:p>
    <w:p w14:paraId="1F7A1EEC" w14:textId="781DF1D8" w:rsidR="005520E9" w:rsidRPr="002A28E1" w:rsidRDefault="005520E9" w:rsidP="005520E9">
      <w:pPr>
        <w:rPr>
          <w:b/>
          <w:sz w:val="32"/>
          <w:szCs w:val="32"/>
        </w:rPr>
      </w:pPr>
      <w:r w:rsidRPr="002A28E1">
        <w:t xml:space="preserve">With respect to the conformity of Argentina’s legislation with </w:t>
      </w:r>
      <w:r w:rsidR="008C5A29">
        <w:t xml:space="preserve">Article 12 of the </w:t>
      </w:r>
      <w:r w:rsidRPr="002A28E1">
        <w:t xml:space="preserve">CRPD, a few issues are </w:t>
      </w:r>
      <w:r w:rsidRPr="001A076A">
        <w:t>apparent. Firstly, under Argentinian law, restrictions on legal capacity are possible. Furthermore, as argued by Professor Martinez-</w:t>
      </w:r>
      <w:proofErr w:type="spellStart"/>
      <w:r w:rsidRPr="001A076A">
        <w:t>Pujalte</w:t>
      </w:r>
      <w:proofErr w:type="spellEnd"/>
      <w:r w:rsidRPr="001A076A">
        <w:t xml:space="preserve">, Argentinian law explicitly links the restriction of legal capacity with a “permanent or prolonged mental disorder,” such </w:t>
      </w:r>
      <w:r w:rsidR="009C0E98" w:rsidRPr="001A076A">
        <w:t xml:space="preserve">that </w:t>
      </w:r>
      <w:r w:rsidR="00AC7491" w:rsidRPr="001A076A">
        <w:t xml:space="preserve">persons </w:t>
      </w:r>
      <w:r w:rsidRPr="001A076A">
        <w:t xml:space="preserve">with disabilities </w:t>
      </w:r>
      <w:r w:rsidR="007174C9" w:rsidRPr="001A076A">
        <w:t>are</w:t>
      </w:r>
      <w:r w:rsidRPr="001A076A">
        <w:t xml:space="preserve"> stripped of legal capacity</w:t>
      </w:r>
      <w:r w:rsidR="00AF5E5E" w:rsidRPr="001A076A">
        <w:t xml:space="preserve"> </w:t>
      </w:r>
      <w:proofErr w:type="gramStart"/>
      <w:r w:rsidR="00AF5E5E" w:rsidRPr="001A076A">
        <w:t>by reason of</w:t>
      </w:r>
      <w:proofErr w:type="gramEnd"/>
      <w:r w:rsidR="00AF5E5E" w:rsidRPr="001A076A">
        <w:t xml:space="preserve"> their disability</w:t>
      </w:r>
      <w:r w:rsidRPr="001A076A">
        <w:t>.</w:t>
      </w:r>
      <w:r w:rsidRPr="001A076A">
        <w:rPr>
          <w:rStyle w:val="FootnoteReference"/>
        </w:rPr>
        <w:footnoteReference w:id="142"/>
      </w:r>
      <w:r w:rsidRPr="001A076A">
        <w:t xml:space="preserve"> </w:t>
      </w:r>
      <w:proofErr w:type="gramStart"/>
      <w:r w:rsidR="00EA51E4" w:rsidRPr="001A076A">
        <w:t xml:space="preserve">The Argentinian approach seems to combine </w:t>
      </w:r>
      <w:r w:rsidR="0095231F" w:rsidRPr="001A076A">
        <w:t>the so-called “status” approach (where legal capacity is rest</w:t>
      </w:r>
      <w:r w:rsidR="00592EB2" w:rsidRPr="001A076A">
        <w:t>ri</w:t>
      </w:r>
      <w:r w:rsidR="0095231F" w:rsidRPr="001A076A">
        <w:t>cted based on the diagnosis of</w:t>
      </w:r>
      <w:r w:rsidR="0095231F">
        <w:t xml:space="preserve"> an impairment), </w:t>
      </w:r>
      <w:r w:rsidR="006E1E12">
        <w:t xml:space="preserve">with </w:t>
      </w:r>
      <w:r w:rsidR="00DC132F">
        <w:t>elements of a “</w:t>
      </w:r>
      <w:r w:rsidR="00981774">
        <w:t>outcome</w:t>
      </w:r>
      <w:r w:rsidR="00DC132F">
        <w:t xml:space="preserve">” approach, since the </w:t>
      </w:r>
      <w:r w:rsidR="00DC132F">
        <w:lastRenderedPageBreak/>
        <w:t>court’s assessment also appears to look into whether giving the person full legal capacity would bring harm to the</w:t>
      </w:r>
      <w:r w:rsidR="00B526E8">
        <w:t>ir</w:t>
      </w:r>
      <w:r w:rsidR="00DC132F">
        <w:t xml:space="preserve"> person or their property</w:t>
      </w:r>
      <w:r w:rsidR="002243EC">
        <w:t xml:space="preserve"> (i.e. will the person make a decision with </w:t>
      </w:r>
      <w:r w:rsidR="00AE379F">
        <w:t>“bad” consequences).</w:t>
      </w:r>
      <w:r w:rsidR="00AF70F2">
        <w:rPr>
          <w:rStyle w:val="FootnoteReference"/>
        </w:rPr>
        <w:footnoteReference w:id="143"/>
      </w:r>
      <w:proofErr w:type="gramEnd"/>
      <w:r w:rsidR="00874C29">
        <w:t xml:space="preserve"> This</w:t>
      </w:r>
      <w:r w:rsidR="00C62697">
        <w:t xml:space="preserve"> process of limiting legal capacity</w:t>
      </w:r>
      <w:r w:rsidR="00312E93">
        <w:t xml:space="preserve"> based on a person’s disability</w:t>
      </w:r>
      <w:r w:rsidR="00AB324A">
        <w:t xml:space="preserve"> and decision-making skills</w:t>
      </w:r>
      <w:r w:rsidR="009D5731">
        <w:t xml:space="preserve"> would seem to conflict with Article 12.</w:t>
      </w:r>
      <w:r w:rsidR="00160BE9">
        <w:rPr>
          <w:rStyle w:val="FootnoteReference"/>
        </w:rPr>
        <w:footnoteReference w:id="144"/>
      </w:r>
    </w:p>
    <w:p w14:paraId="2B010333" w14:textId="77777777" w:rsidR="005520E9" w:rsidRPr="002A28E1" w:rsidRDefault="005520E9" w:rsidP="005520E9">
      <w:pPr>
        <w:rPr>
          <w:b/>
          <w:sz w:val="32"/>
          <w:szCs w:val="32"/>
        </w:rPr>
      </w:pPr>
    </w:p>
    <w:p w14:paraId="60E48F98" w14:textId="6FB48F85" w:rsidR="005520E9" w:rsidRPr="001A076A" w:rsidRDefault="00990E68" w:rsidP="005520E9">
      <w:r w:rsidRPr="002A28E1">
        <w:t xml:space="preserve">Argentina’s new law does introduce a framework of supported decision-making. </w:t>
      </w:r>
      <w:r w:rsidR="00795718" w:rsidRPr="002A28E1">
        <w:t>That said</w:t>
      </w:r>
      <w:proofErr w:type="gramStart"/>
      <w:r w:rsidRPr="002A28E1">
        <w:t>,</w:t>
      </w:r>
      <w:proofErr w:type="gramEnd"/>
      <w:r w:rsidRPr="002A28E1">
        <w:t xml:space="preserve"> </w:t>
      </w:r>
      <w:r w:rsidR="005520E9" w:rsidRPr="002A28E1">
        <w:t>supported decision-making measures are only available to those who have had their legal capacity restricted by a court. This, according to Martinez-</w:t>
      </w:r>
      <w:proofErr w:type="spellStart"/>
      <w:r w:rsidR="005520E9" w:rsidRPr="002A28E1">
        <w:t>Pujalte</w:t>
      </w:r>
      <w:proofErr w:type="spellEnd"/>
      <w:r w:rsidR="005520E9" w:rsidRPr="002A28E1">
        <w:t xml:space="preserve"> is completely paradoxical, since a “correct understanding of the support model implies knowing that the support is aimed precisely at facilitating that the persons can make their own decisions and exercise their legal capacity.”</w:t>
      </w:r>
      <w:r w:rsidR="005520E9" w:rsidRPr="002A28E1">
        <w:rPr>
          <w:rStyle w:val="FootnoteReference"/>
        </w:rPr>
        <w:footnoteReference w:id="145"/>
      </w:r>
      <w:r w:rsidR="005520E9" w:rsidRPr="002A28E1">
        <w:t xml:space="preserve"> Thus, as Martinez-</w:t>
      </w:r>
      <w:proofErr w:type="spellStart"/>
      <w:r w:rsidR="005520E9" w:rsidRPr="002A28E1">
        <w:t>Pujalte</w:t>
      </w:r>
      <w:proofErr w:type="spellEnd"/>
      <w:r w:rsidR="005520E9" w:rsidRPr="002A28E1">
        <w:t xml:space="preserve"> argues, it seems illogical to make a restriction of capacity a pre-requisite for supported decision-making.</w:t>
      </w:r>
      <w:r w:rsidR="005520E9" w:rsidRPr="002A28E1">
        <w:rPr>
          <w:rStyle w:val="FootnoteReference"/>
        </w:rPr>
        <w:footnoteReference w:id="146"/>
      </w:r>
      <w:r w:rsidR="005520E9" w:rsidRPr="002A28E1">
        <w:t xml:space="preserve"> Supported decision-making as foreseen by the CRPD should empower individuals to make </w:t>
      </w:r>
      <w:r w:rsidR="005520E9" w:rsidRPr="001A076A">
        <w:t>decisions, with their legal capacity intact.</w:t>
      </w:r>
    </w:p>
    <w:p w14:paraId="55DB76D2" w14:textId="77777777" w:rsidR="005520E9" w:rsidRPr="001A076A" w:rsidRDefault="005520E9" w:rsidP="005520E9"/>
    <w:p w14:paraId="03D492D5" w14:textId="04192A8E" w:rsidR="00230A11" w:rsidRPr="001A076A" w:rsidRDefault="00230A11" w:rsidP="005520E9">
      <w:r w:rsidRPr="001A076A">
        <w:t xml:space="preserve">Moreover, </w:t>
      </w:r>
      <w:r w:rsidR="00E51801" w:rsidRPr="001A076A">
        <w:t>the flexibility of the form that supported decision-making may take may be problematic, given that the supporter may be authorized to have a “veto” over the affected person’s decisions, thus restricting the exercise of their legal capacity. Even more problematic is the allowance for supporters to take on representative functions</w:t>
      </w:r>
      <w:r w:rsidR="00422AAA" w:rsidRPr="001A076A">
        <w:t>, as in these cases</w:t>
      </w:r>
      <w:r w:rsidR="00F24A01" w:rsidRPr="001A076A">
        <w:t>,</w:t>
      </w:r>
      <w:r w:rsidR="00422AAA" w:rsidRPr="001A076A">
        <w:t xml:space="preserve"> they arguably assume roles of de facto substitute decision-makers as opposed to genuine supporters.</w:t>
      </w:r>
    </w:p>
    <w:p w14:paraId="1BF54FC1" w14:textId="77777777" w:rsidR="001C0A53" w:rsidRPr="001A076A" w:rsidRDefault="001C0A53" w:rsidP="005520E9"/>
    <w:p w14:paraId="53947C32" w14:textId="612DA193" w:rsidR="00B94879" w:rsidRDefault="009F21BA" w:rsidP="0060321F">
      <w:r w:rsidRPr="001A076A">
        <w:t>In terms of safeguards against abuse of support measures, t</w:t>
      </w:r>
      <w:r w:rsidR="00F24A01" w:rsidRPr="001A076A">
        <w:t>he</w:t>
      </w:r>
      <w:r w:rsidR="005520E9" w:rsidRPr="001A076A">
        <w:t xml:space="preserve"> law</w:t>
      </w:r>
      <w:r w:rsidR="005520E9" w:rsidRPr="002A28E1">
        <w:t xml:space="preserve"> </w:t>
      </w:r>
      <w:r w:rsidR="00F24A01" w:rsidRPr="002A28E1">
        <w:t>does</w:t>
      </w:r>
      <w:r w:rsidR="005520E9" w:rsidRPr="002A28E1">
        <w:t xml:space="preserve"> provide for the periodic review of support mechanisms by the </w:t>
      </w:r>
      <w:r w:rsidR="009519BA" w:rsidRPr="002A28E1">
        <w:t>judge every three years or upon the request of the party concerned</w:t>
      </w:r>
      <w:r w:rsidR="005520E9" w:rsidRPr="002A28E1">
        <w:t>.</w:t>
      </w:r>
      <w:r w:rsidR="005520E9" w:rsidRPr="002A28E1">
        <w:rPr>
          <w:rStyle w:val="FootnoteReference"/>
        </w:rPr>
        <w:footnoteReference w:id="147"/>
      </w:r>
      <w:r w:rsidR="005520E9" w:rsidRPr="002A28E1">
        <w:t xml:space="preserve"> </w:t>
      </w:r>
      <w:r w:rsidR="00F21BA0" w:rsidRPr="002A28E1">
        <w:t>M</w:t>
      </w:r>
      <w:r w:rsidR="00466D44" w:rsidRPr="002A28E1">
        <w:t xml:space="preserve">echanisms to challenge the support person’s actions </w:t>
      </w:r>
      <w:r w:rsidR="00BA60FD" w:rsidRPr="002A28E1">
        <w:t xml:space="preserve">where there is a suspicion that they are not </w:t>
      </w:r>
      <w:r w:rsidR="001B628D" w:rsidRPr="002A28E1">
        <w:t>in conformity with the will and preferences of the person</w:t>
      </w:r>
      <w:r w:rsidR="00C61F7B" w:rsidRPr="002A28E1">
        <w:t xml:space="preserve"> appear to be </w:t>
      </w:r>
      <w:r w:rsidR="00100E0A" w:rsidRPr="002A28E1">
        <w:t>absent from the legislation.</w:t>
      </w:r>
      <w:r w:rsidR="00FE7F02">
        <w:t xml:space="preserve"> Moreover, the </w:t>
      </w:r>
      <w:r w:rsidR="000208F7">
        <w:t>Code stipulates</w:t>
      </w:r>
      <w:r w:rsidR="00FE7F02">
        <w:t xml:space="preserve"> that supports should merely “</w:t>
      </w:r>
      <w:r w:rsidR="00FE7F02" w:rsidRPr="00403229">
        <w:t>favour</w:t>
      </w:r>
      <w:r w:rsidR="00BA4CF2">
        <w:t>”</w:t>
      </w:r>
      <w:r w:rsidR="00FE7F02">
        <w:rPr>
          <w:i/>
        </w:rPr>
        <w:t xml:space="preserve"> </w:t>
      </w:r>
      <w:r w:rsidR="00FE7F02">
        <w:t xml:space="preserve">decisions </w:t>
      </w:r>
      <w:r w:rsidR="00403229">
        <w:t>aligned with the preferences of the concerned person,</w:t>
      </w:r>
      <w:r w:rsidR="00C740FC">
        <w:rPr>
          <w:rStyle w:val="FootnoteReference"/>
        </w:rPr>
        <w:footnoteReference w:id="148"/>
      </w:r>
      <w:r w:rsidR="00403229">
        <w:t xml:space="preserve"> as opposed to requiring that supports “uphold” or “respect” </w:t>
      </w:r>
      <w:r w:rsidR="00BF2732">
        <w:t xml:space="preserve">decisions </w:t>
      </w:r>
      <w:r w:rsidR="005A4365">
        <w:t>conforming</w:t>
      </w:r>
      <w:r w:rsidR="00BF2732">
        <w:t xml:space="preserve"> to the</w:t>
      </w:r>
      <w:r w:rsidR="002F62B2">
        <w:t xml:space="preserve"> given</w:t>
      </w:r>
      <w:r w:rsidR="00BF2732">
        <w:t xml:space="preserve"> person’s preferences.</w:t>
      </w:r>
      <w:r w:rsidR="009A5C55">
        <w:t xml:space="preserve"> Thus, the reformed Argentinian Code may not </w:t>
      </w:r>
      <w:r w:rsidR="00885CB3">
        <w:t xml:space="preserve">wholeheartedly </w:t>
      </w:r>
      <w:r w:rsidR="004A19B8">
        <w:t>espouse the “will and preferences” paradigm</w:t>
      </w:r>
      <w:r w:rsidR="00F9711E">
        <w:t xml:space="preserve"> </w:t>
      </w:r>
      <w:r w:rsidR="00A30993">
        <w:t>advanced</w:t>
      </w:r>
      <w:r w:rsidR="00F9711E">
        <w:t xml:space="preserve"> </w:t>
      </w:r>
      <w:r w:rsidR="00A30993">
        <w:t>by</w:t>
      </w:r>
      <w:r w:rsidR="00F9711E">
        <w:t xml:space="preserve"> Article 12.</w:t>
      </w:r>
    </w:p>
    <w:p w14:paraId="408F1539" w14:textId="77777777" w:rsidR="004A19B8" w:rsidRPr="002A28E1" w:rsidRDefault="004A19B8" w:rsidP="0060321F"/>
    <w:p w14:paraId="182E7E07" w14:textId="5F3A2155" w:rsidR="00B94879" w:rsidRPr="002A28E1" w:rsidRDefault="00B94879" w:rsidP="0060321F">
      <w:r w:rsidRPr="002A28E1">
        <w:t xml:space="preserve">The retention of the notion of legal incapacity and substitute decision-making constitutes a critical shortcoming of the Argentinian legal regime from the perspective of Article 12. Furthermore, curators under Argentinian law are not under the same obligation as supporters to </w:t>
      </w:r>
      <w:r w:rsidR="0063617E">
        <w:t xml:space="preserve">give priority </w:t>
      </w:r>
      <w:r w:rsidR="00BD69AE">
        <w:t>to the preferences of protected persons.</w:t>
      </w:r>
      <w:r w:rsidRPr="002A28E1">
        <w:rPr>
          <w:rStyle w:val="FootnoteReference"/>
        </w:rPr>
        <w:footnoteReference w:id="149"/>
      </w:r>
    </w:p>
    <w:p w14:paraId="3BD5B2B0" w14:textId="77777777" w:rsidR="00B94879" w:rsidRPr="002A28E1" w:rsidRDefault="00B94879" w:rsidP="0060321F"/>
    <w:p w14:paraId="77978F9C" w14:textId="206BDC3A" w:rsidR="0060321F" w:rsidRPr="002A28E1" w:rsidRDefault="005520E9" w:rsidP="0060321F">
      <w:r w:rsidRPr="002A28E1">
        <w:t xml:space="preserve">It is therefore evident that although Argentina has established a </w:t>
      </w:r>
      <w:proofErr w:type="gramStart"/>
      <w:r w:rsidRPr="002A28E1">
        <w:t>legally-recognized</w:t>
      </w:r>
      <w:proofErr w:type="gramEnd"/>
      <w:r w:rsidRPr="002A28E1">
        <w:t xml:space="preserve"> supported decision-making system, the connection made between support mechanisms and the restriction of legal capacity is problematic, as is the law’s retention of substitute decision-making.</w:t>
      </w:r>
      <w:r w:rsidR="0060321F" w:rsidRPr="002A28E1">
        <w:t xml:space="preserve"> </w:t>
      </w:r>
    </w:p>
    <w:p w14:paraId="533D6AB3" w14:textId="02EFFCED" w:rsidR="005520E9" w:rsidRPr="002A28E1" w:rsidRDefault="005520E9" w:rsidP="005520E9"/>
    <w:p w14:paraId="07B4871E" w14:textId="115475F4" w:rsidR="00791114" w:rsidRPr="002F3C21" w:rsidRDefault="00791114" w:rsidP="00A27C5B">
      <w:pPr>
        <w:pStyle w:val="Heading1"/>
      </w:pPr>
      <w:r>
        <w:br w:type="page"/>
      </w:r>
      <w:bookmarkStart w:id="21" w:name="_Toc16081754"/>
      <w:r w:rsidRPr="002F3C21">
        <w:lastRenderedPageBreak/>
        <w:t>Colombia</w:t>
      </w:r>
      <w:bookmarkEnd w:id="21"/>
      <w:r w:rsidRPr="002F3C21">
        <w:t xml:space="preserve"> </w:t>
      </w:r>
    </w:p>
    <w:p w14:paraId="33B042D8" w14:textId="1FC24B36" w:rsidR="00791114" w:rsidRDefault="00791114" w:rsidP="00791114">
      <w:r w:rsidRPr="002F3C21">
        <w:t xml:space="preserve">A bill recognizing full </w:t>
      </w:r>
      <w:proofErr w:type="gramStart"/>
      <w:r w:rsidRPr="002F3C21">
        <w:t>legal capacity for all persons with disabilities has been passed by both</w:t>
      </w:r>
      <w:proofErr w:type="gramEnd"/>
      <w:r w:rsidRPr="002F3C21">
        <w:t xml:space="preserve"> houses of the Colombian</w:t>
      </w:r>
      <w:r>
        <w:t xml:space="preserve"> Parliament and</w:t>
      </w:r>
      <w:r w:rsidR="00A3174D">
        <w:t xml:space="preserve"> presently</w:t>
      </w:r>
      <w:r>
        <w:t xml:space="preserve"> awaits sanction by the President.</w:t>
      </w:r>
      <w:bookmarkStart w:id="22" w:name="_Ref15651965"/>
      <w:r>
        <w:rPr>
          <w:rStyle w:val="FootnoteReference"/>
        </w:rPr>
        <w:footnoteReference w:id="150"/>
      </w:r>
      <w:bookmarkEnd w:id="22"/>
      <w:r>
        <w:t xml:space="preserve"> This bill would abolish substitute decision-making and put forward a framework for supported decision-making encompassing support agreements, </w:t>
      </w:r>
      <w:proofErr w:type="gramStart"/>
      <w:r>
        <w:t>judicially-awarded</w:t>
      </w:r>
      <w:proofErr w:type="gramEnd"/>
      <w:r>
        <w:t xml:space="preserve"> supports, and advance directives.</w:t>
      </w:r>
    </w:p>
    <w:p w14:paraId="0C01341C" w14:textId="77777777" w:rsidR="00791114" w:rsidRDefault="00791114" w:rsidP="00791114"/>
    <w:p w14:paraId="2538CF45" w14:textId="77777777" w:rsidR="00791114" w:rsidRDefault="00791114" w:rsidP="00791114">
      <w:r>
        <w:t>Colombia ratified the CRPD in 2011.</w:t>
      </w:r>
      <w:r>
        <w:rPr>
          <w:rStyle w:val="FootnoteReference"/>
        </w:rPr>
        <w:footnoteReference w:id="151"/>
      </w:r>
      <w:r>
        <w:t xml:space="preserve"> Over the course of the past several years, many civil society groups including ASDOWN, LICA, and </w:t>
      </w:r>
      <w:proofErr w:type="spellStart"/>
      <w:r>
        <w:t>Profamilia</w:t>
      </w:r>
      <w:proofErr w:type="spellEnd"/>
      <w:r>
        <w:t xml:space="preserve"> vocally advocated to reform Colombia’s traditional guardianship legislation in line with international human rights standards.</w:t>
      </w:r>
      <w:bookmarkStart w:id="23" w:name="_Ref15652424"/>
      <w:r>
        <w:rPr>
          <w:rStyle w:val="FootnoteReference"/>
        </w:rPr>
        <w:footnoteReference w:id="152"/>
      </w:r>
      <w:bookmarkEnd w:id="23"/>
      <w:r>
        <w:t xml:space="preserve"> These civil society groups also received the backing of the Program of Action for Equality and Social Inclusion (PAIIS) at the University of Los Andes.</w:t>
      </w:r>
      <w:r>
        <w:rPr>
          <w:rStyle w:val="FootnoteReference"/>
        </w:rPr>
        <w:footnoteReference w:id="153"/>
      </w:r>
      <w:r>
        <w:t xml:space="preserve"> The Ministry of Justice and Presidency of the Republic were also heavily involved in the law reform process, as were several key </w:t>
      </w:r>
      <w:proofErr w:type="gramStart"/>
      <w:r>
        <w:t>congress persons</w:t>
      </w:r>
      <w:proofErr w:type="gramEnd"/>
      <w:r>
        <w:t xml:space="preserve"> who promoted the initiative.</w:t>
      </w:r>
      <w:r>
        <w:rPr>
          <w:rStyle w:val="FootnoteReference"/>
        </w:rPr>
        <w:footnoteReference w:id="154"/>
      </w:r>
    </w:p>
    <w:p w14:paraId="0F744D48" w14:textId="77777777" w:rsidR="00791114" w:rsidRDefault="00791114" w:rsidP="00791114"/>
    <w:p w14:paraId="7BC57402" w14:textId="77777777" w:rsidR="00791114" w:rsidRDefault="00791114" w:rsidP="00791114">
      <w:r>
        <w:t>The Bill critically recognizes that all persons with disabilities have “legal capacity under equal conditions, without any distinction whatsoever and regardless of whether or not they use support for the performance of legal acts.”</w:t>
      </w:r>
      <w:r>
        <w:rPr>
          <w:rStyle w:val="FootnoteReference"/>
        </w:rPr>
        <w:footnoteReference w:id="155"/>
      </w:r>
      <w:r>
        <w:t xml:space="preserve"> The Bill specifies that a person’s disability can never constitute grounds for restricting legal capacity.</w:t>
      </w:r>
      <w:r>
        <w:rPr>
          <w:rStyle w:val="FootnoteReference"/>
        </w:rPr>
        <w:footnoteReference w:id="156"/>
      </w:r>
    </w:p>
    <w:p w14:paraId="61005B0C" w14:textId="77777777" w:rsidR="00791114" w:rsidRDefault="00791114" w:rsidP="00791114"/>
    <w:p w14:paraId="65B1D1F8" w14:textId="77777777" w:rsidR="00791114" w:rsidRDefault="00791114" w:rsidP="00791114">
      <w:r>
        <w:t xml:space="preserve">The Bill proceeds to </w:t>
      </w:r>
      <w:proofErr w:type="gramStart"/>
      <w:r>
        <w:t>state that</w:t>
      </w:r>
      <w:proofErr w:type="gramEnd"/>
      <w:r>
        <w:t xml:space="preserve"> “all persons with disabilities of legal age have the right to carry out legal acts independently and to have support for their realization.”</w:t>
      </w:r>
      <w:r>
        <w:rPr>
          <w:rStyle w:val="FootnoteReference"/>
        </w:rPr>
        <w:footnoteReference w:id="157"/>
      </w:r>
      <w:r>
        <w:t xml:space="preserve"> The Bill lists actions that </w:t>
      </w:r>
      <w:proofErr w:type="gramStart"/>
      <w:r>
        <w:t>may be performed</w:t>
      </w:r>
      <w:proofErr w:type="gramEnd"/>
      <w:r>
        <w:t xml:space="preserve"> by support persons, while indicating that this list is not exhaustive, as further support actions may be authorized depending on the needs and preferences of each </w:t>
      </w:r>
      <w:r w:rsidRPr="002F3C21">
        <w:t>individual.</w:t>
      </w:r>
      <w:r w:rsidRPr="002F3C21">
        <w:rPr>
          <w:rStyle w:val="FootnoteReference"/>
        </w:rPr>
        <w:footnoteReference w:id="158"/>
      </w:r>
      <w:r w:rsidRPr="002F3C21">
        <w:t xml:space="preserve"> The Bill explains that supporters may assist supported persons to express their will and preferences, help supported persons to understand legal acts, represent supported persons via power</w:t>
      </w:r>
      <w:r>
        <w:t xml:space="preserve"> or mandate, interpret supported persons’ will and preferences in situations where they cannot interact with their environment, and honour supported persons’ will and preferences set out in advance directives.</w:t>
      </w:r>
      <w:r>
        <w:rPr>
          <w:rStyle w:val="FootnoteReference"/>
        </w:rPr>
        <w:footnoteReference w:id="159"/>
      </w:r>
      <w:r>
        <w:t xml:space="preserve"> Supports </w:t>
      </w:r>
      <w:proofErr w:type="gramStart"/>
      <w:r>
        <w:t>must be grounded</w:t>
      </w:r>
      <w:proofErr w:type="gramEnd"/>
      <w:r>
        <w:t xml:space="preserve"> in respect for the will of the supported person and where it is impossible to determine a person’s will, the criterion of the best interpretation of the will must be applied.</w:t>
      </w:r>
      <w:r>
        <w:rPr>
          <w:rStyle w:val="FootnoteReference"/>
        </w:rPr>
        <w:footnoteReference w:id="160"/>
      </w:r>
      <w:r>
        <w:t xml:space="preserve">  </w:t>
      </w:r>
    </w:p>
    <w:p w14:paraId="71D10589" w14:textId="77777777" w:rsidR="00791114" w:rsidRDefault="00791114" w:rsidP="00791114"/>
    <w:p w14:paraId="7ACE4EEE" w14:textId="5DA4AAB3" w:rsidR="00791114" w:rsidRDefault="00791114" w:rsidP="00791114">
      <w:r>
        <w:lastRenderedPageBreak/>
        <w:t xml:space="preserve">The Bill </w:t>
      </w:r>
      <w:r w:rsidRPr="002F3C21">
        <w:t xml:space="preserve">lays out three different support mechanisms: support agreements, </w:t>
      </w:r>
      <w:proofErr w:type="gramStart"/>
      <w:r w:rsidRPr="002F3C21">
        <w:t>judicially</w:t>
      </w:r>
      <w:r w:rsidR="002A2FF1" w:rsidRPr="002F3C21">
        <w:t>-</w:t>
      </w:r>
      <w:r w:rsidRPr="002F3C21">
        <w:t>awarded</w:t>
      </w:r>
      <w:proofErr w:type="gramEnd"/>
      <w:r w:rsidRPr="002F3C21">
        <w:t xml:space="preserve"> supports, and advance directives.</w:t>
      </w:r>
      <w:r w:rsidRPr="002F3C21">
        <w:rPr>
          <w:rStyle w:val="FootnoteReference"/>
        </w:rPr>
        <w:footnoteReference w:id="161"/>
      </w:r>
      <w:r w:rsidRPr="002F3C21">
        <w:t xml:space="preserve"> With support agreements, the </w:t>
      </w:r>
      <w:proofErr w:type="gramStart"/>
      <w:r w:rsidRPr="002F3C21">
        <w:t>nature of the support may be determined by the person in need of</w:t>
      </w:r>
      <w:proofErr w:type="gramEnd"/>
      <w:r w:rsidRPr="002F3C21">
        <w:t xml:space="preserve"> support or by an assessment of support conducted </w:t>
      </w:r>
      <w:r w:rsidR="000D74DC" w:rsidRPr="002F3C21">
        <w:t xml:space="preserve">at the person’s request </w:t>
      </w:r>
      <w:r w:rsidRPr="002F3C21">
        <w:t xml:space="preserve">by public or private entities </w:t>
      </w:r>
      <w:r w:rsidR="00787CD7" w:rsidRPr="002F3C21">
        <w:t>observing</w:t>
      </w:r>
      <w:r w:rsidRPr="002F3C21">
        <w:t xml:space="preserve"> guidelines issued by the governing body of the National Disability Policy.</w:t>
      </w:r>
      <w:r w:rsidRPr="002F3C21">
        <w:rPr>
          <w:rStyle w:val="FootnoteReference"/>
        </w:rPr>
        <w:footnoteReference w:id="162"/>
      </w:r>
      <w:r w:rsidRPr="002F3C21">
        <w:t xml:space="preserve"> Where an assessment of support is conducted, the </w:t>
      </w:r>
      <w:proofErr w:type="gramStart"/>
      <w:r w:rsidRPr="002F3C21">
        <w:t>entity’s determination of supports must be approved by the person in need of support</w:t>
      </w:r>
      <w:proofErr w:type="gramEnd"/>
      <w:r w:rsidRPr="002F3C21">
        <w:t>.</w:t>
      </w:r>
      <w:r w:rsidRPr="002F3C21">
        <w:rPr>
          <w:rStyle w:val="FootnoteReference"/>
        </w:rPr>
        <w:footnoteReference w:id="163"/>
      </w:r>
      <w:r w:rsidRPr="002F3C21">
        <w:t xml:space="preserve"> Support agreements </w:t>
      </w:r>
      <w:proofErr w:type="gramStart"/>
      <w:r w:rsidRPr="002F3C21">
        <w:t>may be made</w:t>
      </w:r>
      <w:proofErr w:type="gramEnd"/>
      <w:r w:rsidRPr="002F3C21">
        <w:t xml:space="preserve"> by public deed or before extrajudicial conciliators in law.</w:t>
      </w:r>
      <w:r w:rsidRPr="002F3C21">
        <w:rPr>
          <w:rStyle w:val="FootnoteReference"/>
        </w:rPr>
        <w:footnoteReference w:id="164"/>
      </w:r>
      <w:r w:rsidRPr="002F3C21">
        <w:t xml:space="preserve"> In both cases, </w:t>
      </w:r>
      <w:proofErr w:type="gramStart"/>
      <w:r w:rsidRPr="002F3C21">
        <w:t>the person in need of support is interviewed privately by either the notary or the conciliator</w:t>
      </w:r>
      <w:proofErr w:type="gramEnd"/>
      <w:r w:rsidRPr="002F3C21">
        <w:t xml:space="preserve"> in order</w:t>
      </w:r>
      <w:r>
        <w:t xml:space="preserve"> to confirm that the support agreement aligns with their will.</w:t>
      </w:r>
      <w:r>
        <w:rPr>
          <w:rStyle w:val="FootnoteReference"/>
        </w:rPr>
        <w:footnoteReference w:id="165"/>
      </w:r>
      <w:r>
        <w:t xml:space="preserve"> The notary or conciliator will also explain to the support person(s) what legal obligations are incumbent upon them.</w:t>
      </w:r>
      <w:r>
        <w:rPr>
          <w:rStyle w:val="FootnoteReference"/>
        </w:rPr>
        <w:footnoteReference w:id="166"/>
      </w:r>
      <w:r>
        <w:t xml:space="preserve"> The supported person may terminate the support agreement at any moment and the agreement </w:t>
      </w:r>
      <w:proofErr w:type="gramStart"/>
      <w:r>
        <w:t>may be modified</w:t>
      </w:r>
      <w:proofErr w:type="gramEnd"/>
      <w:r>
        <w:t xml:space="preserve"> by mutual agreement between the supporter and the supported person.</w:t>
      </w:r>
      <w:r>
        <w:rPr>
          <w:rStyle w:val="FootnoteReference"/>
        </w:rPr>
        <w:footnoteReference w:id="167"/>
      </w:r>
    </w:p>
    <w:p w14:paraId="57B6EB88" w14:textId="77777777" w:rsidR="00791114" w:rsidRDefault="00791114" w:rsidP="00791114">
      <w:pPr>
        <w:rPr>
          <w:highlight w:val="lightGray"/>
        </w:rPr>
      </w:pPr>
    </w:p>
    <w:p w14:paraId="1F76AFFA" w14:textId="3D07FF79" w:rsidR="00791114" w:rsidRPr="0049227E" w:rsidRDefault="00791114" w:rsidP="00791114">
      <w:r w:rsidRPr="003971C5">
        <w:t>Next, the Bill</w:t>
      </w:r>
      <w:r>
        <w:t xml:space="preserve"> allows for </w:t>
      </w:r>
      <w:proofErr w:type="gramStart"/>
      <w:r>
        <w:t>judicially-awarded</w:t>
      </w:r>
      <w:proofErr w:type="gramEnd"/>
      <w:r>
        <w:t xml:space="preserve"> supports, although it </w:t>
      </w:r>
      <w:r w:rsidR="00AF62B0">
        <w:t>emphasizes th</w:t>
      </w:r>
      <w:r w:rsidR="0062496F">
        <w:t xml:space="preserve">at </w:t>
      </w:r>
      <w:r w:rsidR="008E06D8">
        <w:t xml:space="preserve">judicial adjudication of support </w:t>
      </w:r>
      <w:r w:rsidR="00B65F04">
        <w:t>will be</w:t>
      </w:r>
      <w:r>
        <w:t xml:space="preserve"> “exceptional</w:t>
      </w:r>
      <w:r w:rsidR="0062496F">
        <w:t>.</w:t>
      </w:r>
      <w:r>
        <w:t>”</w:t>
      </w:r>
      <w:r>
        <w:rPr>
          <w:rStyle w:val="FootnoteReference"/>
        </w:rPr>
        <w:footnoteReference w:id="168"/>
      </w:r>
      <w:r>
        <w:t xml:space="preserve"> The request for </w:t>
      </w:r>
      <w:proofErr w:type="gramStart"/>
      <w:r>
        <w:t>judicially-awarded</w:t>
      </w:r>
      <w:proofErr w:type="gramEnd"/>
      <w:r>
        <w:t xml:space="preserve"> supports </w:t>
      </w:r>
      <w:r w:rsidR="006001CB">
        <w:t>must</w:t>
      </w:r>
      <w:r>
        <w:t xml:space="preserve"> be filed by the person in need of support, unless this person is unable to express their will by any means.</w:t>
      </w:r>
      <w:r>
        <w:rPr>
          <w:rStyle w:val="FootnoteReference"/>
        </w:rPr>
        <w:footnoteReference w:id="169"/>
      </w:r>
      <w:r>
        <w:t xml:space="preserve"> In cases where the person in need of support is unable to communicate their will, the application </w:t>
      </w:r>
      <w:r w:rsidRPr="00EC7058">
        <w:t xml:space="preserve">for </w:t>
      </w:r>
      <w:proofErr w:type="gramStart"/>
      <w:r w:rsidRPr="00EC7058">
        <w:t>judicially</w:t>
      </w:r>
      <w:r w:rsidR="007C38EA" w:rsidRPr="00EC7058">
        <w:t>-</w:t>
      </w:r>
      <w:r w:rsidRPr="00EC7058">
        <w:t>awarded</w:t>
      </w:r>
      <w:proofErr w:type="gramEnd"/>
      <w:r w:rsidRPr="00EC7058">
        <w:t xml:space="preserve"> support must be launched by a person who is deemed to have a “legitimate interest” in the matter.</w:t>
      </w:r>
      <w:r w:rsidRPr="00EC7058">
        <w:rPr>
          <w:rStyle w:val="FootnoteReference"/>
        </w:rPr>
        <w:footnoteReference w:id="170"/>
      </w:r>
      <w:r w:rsidRPr="00EC7058">
        <w:t xml:space="preserve"> It seems that </w:t>
      </w:r>
      <w:r w:rsidR="007E0483" w:rsidRPr="00EC7058">
        <w:t xml:space="preserve">in cases where the </w:t>
      </w:r>
      <w:proofErr w:type="gramStart"/>
      <w:r w:rsidR="007E0483" w:rsidRPr="00EC7058">
        <w:t>application for support has been launched by the prospective support recipient</w:t>
      </w:r>
      <w:proofErr w:type="gramEnd"/>
      <w:r w:rsidR="007E0483" w:rsidRPr="00EC7058">
        <w:t xml:space="preserve">, </w:t>
      </w:r>
      <w:r w:rsidRPr="00EC7058">
        <w:t>the judge gives th</w:t>
      </w:r>
      <w:r w:rsidR="001E4462" w:rsidRPr="00EC7058">
        <w:t>is person the</w:t>
      </w:r>
      <w:r w:rsidRPr="00EC7058">
        <w:t xml:space="preserve"> opportunity to nominate support persons.</w:t>
      </w:r>
      <w:r w:rsidRPr="00EC7058">
        <w:rPr>
          <w:rStyle w:val="FootnoteReference"/>
        </w:rPr>
        <w:footnoteReference w:id="171"/>
      </w:r>
      <w:r w:rsidRPr="00EC7058">
        <w:t xml:space="preserve"> In all processes of judicially awarded supports, the judge orders an assessment</w:t>
      </w:r>
      <w:r>
        <w:t xml:space="preserve"> of support akin to the one described above.</w:t>
      </w:r>
      <w:r>
        <w:rPr>
          <w:rStyle w:val="FootnoteReference"/>
        </w:rPr>
        <w:footnoteReference w:id="172"/>
      </w:r>
      <w:r>
        <w:t xml:space="preserve"> This assessment will indicate the level and degrees of support that a person needs for particular decisions as well as the people who form their support network and who can help with decision-making.</w:t>
      </w:r>
      <w:r>
        <w:rPr>
          <w:rStyle w:val="FootnoteReference"/>
        </w:rPr>
        <w:footnoteReference w:id="173"/>
      </w:r>
      <w:r>
        <w:t xml:space="preserve"> If the person in need of support has launched the application for support themselves, then they must approve this assessment and if </w:t>
      </w:r>
      <w:proofErr w:type="gramStart"/>
      <w:r>
        <w:t>the application has been launched by another person</w:t>
      </w:r>
      <w:proofErr w:type="gramEnd"/>
      <w:r>
        <w:t>, the assessment must then be approved by the judicial authority.</w:t>
      </w:r>
      <w:r>
        <w:rPr>
          <w:rStyle w:val="FootnoteReference"/>
        </w:rPr>
        <w:footnoteReference w:id="174"/>
      </w:r>
      <w:r>
        <w:t xml:space="preserve"> The judge then issues a final judgement on the allocation of supports.</w:t>
      </w:r>
      <w:r>
        <w:rPr>
          <w:rStyle w:val="FootnoteReference"/>
        </w:rPr>
        <w:footnoteReference w:id="175"/>
      </w:r>
      <w:r>
        <w:t xml:space="preserve"> The Bill specifies that in the process of awarding support, the judge must consider and promote the will and preferences of the prospective supported person and must take into account the relationship of trust between the prospective supported person and supporter</w:t>
      </w:r>
      <w:r w:rsidR="00E43F8F">
        <w:t>(s)</w:t>
      </w:r>
      <w:r>
        <w:t>.</w:t>
      </w:r>
      <w:r>
        <w:rPr>
          <w:rStyle w:val="FootnoteReference"/>
        </w:rPr>
        <w:footnoteReference w:id="176"/>
      </w:r>
      <w:r>
        <w:t xml:space="preserve"> The judge may review supports at the request of the </w:t>
      </w:r>
      <w:r>
        <w:lastRenderedPageBreak/>
        <w:t xml:space="preserve">supported person, the supporter, or </w:t>
      </w:r>
      <w:r>
        <w:rPr>
          <w:i/>
        </w:rPr>
        <w:t xml:space="preserve">ex officio, </w:t>
      </w:r>
      <w:r>
        <w:t>in order to verify that they conform to the law.</w:t>
      </w:r>
      <w:r>
        <w:rPr>
          <w:rStyle w:val="FootnoteReference"/>
        </w:rPr>
        <w:footnoteReference w:id="177"/>
      </w:r>
      <w:r w:rsidRPr="003D3D0D">
        <w:t xml:space="preserve"> </w:t>
      </w:r>
      <w:r>
        <w:t xml:space="preserve">Where </w:t>
      </w:r>
      <w:proofErr w:type="gramStart"/>
      <w:r>
        <w:t>supports were requested by a person other than the supported person, a judge</w:t>
      </w:r>
      <w:proofErr w:type="gramEnd"/>
      <w:r>
        <w:t xml:space="preserve"> will review support measures ex officio on a yearly basis.</w:t>
      </w:r>
      <w:r>
        <w:rPr>
          <w:rStyle w:val="FootnoteReference"/>
        </w:rPr>
        <w:footnoteReference w:id="178"/>
      </w:r>
      <w:r>
        <w:t xml:space="preserve"> Supported persons may request at any moment that judicially awarded supports </w:t>
      </w:r>
      <w:proofErr w:type="gramStart"/>
      <w:r>
        <w:t>be modified or terminated</w:t>
      </w:r>
      <w:proofErr w:type="gramEnd"/>
      <w:r>
        <w:t>.</w:t>
      </w:r>
      <w:r>
        <w:rPr>
          <w:rStyle w:val="FootnoteReference"/>
        </w:rPr>
        <w:footnoteReference w:id="179"/>
      </w:r>
    </w:p>
    <w:p w14:paraId="2749CF0E" w14:textId="77777777" w:rsidR="00791114" w:rsidRDefault="00791114" w:rsidP="00791114"/>
    <w:p w14:paraId="55991FA1" w14:textId="77777777" w:rsidR="00791114" w:rsidRDefault="00791114" w:rsidP="00791114">
      <w:r>
        <w:t>Support persons may be natural persons or legal entities.</w:t>
      </w:r>
      <w:r>
        <w:rPr>
          <w:rStyle w:val="FootnoteReference"/>
        </w:rPr>
        <w:footnoteReference w:id="180"/>
      </w:r>
      <w:r>
        <w:t xml:space="preserve"> In situations where a person with disabilities needs support but has no person to nominate for this role, the judge will appoint a “personal defender” from the Ombudsman Office, who will provide the requisite support.</w:t>
      </w:r>
      <w:r>
        <w:rPr>
          <w:rStyle w:val="FootnoteReference"/>
        </w:rPr>
        <w:footnoteReference w:id="181"/>
      </w:r>
      <w:r>
        <w:t xml:space="preserve"> </w:t>
      </w:r>
    </w:p>
    <w:p w14:paraId="6E5F51A1" w14:textId="77777777" w:rsidR="00791114" w:rsidRDefault="00791114" w:rsidP="00791114">
      <w:r>
        <w:t xml:space="preserve">The Bill outlines obligations for all supporters. Namely, their actions should align with the will and preferences of the supported </w:t>
      </w:r>
      <w:proofErr w:type="gramStart"/>
      <w:r>
        <w:t>person,</w:t>
      </w:r>
      <w:proofErr w:type="gramEnd"/>
      <w:r>
        <w:t xml:space="preserve"> they should maintain a relationship of trust with the supported person and safeguard the confidentiality of the support person’s personal information.</w:t>
      </w:r>
      <w:r>
        <w:rPr>
          <w:rStyle w:val="FootnoteReference"/>
        </w:rPr>
        <w:footnoteReference w:id="182"/>
      </w:r>
      <w:r>
        <w:t xml:space="preserve"> Supporters are entitled to take on representative functions if they </w:t>
      </w:r>
      <w:proofErr w:type="gramStart"/>
      <w:r>
        <w:t>have been expressly mandated</w:t>
      </w:r>
      <w:proofErr w:type="gramEnd"/>
      <w:r>
        <w:t xml:space="preserve"> to do so by the given person or in situations where a person is unable to express their will and a given act of representation is seen to conform to the best interpretation of their will and preferences.</w:t>
      </w:r>
      <w:r>
        <w:rPr>
          <w:rStyle w:val="FootnoteReference"/>
        </w:rPr>
        <w:footnoteReference w:id="183"/>
      </w:r>
      <w:r>
        <w:t xml:space="preserve"> Article 30 lists other functions that support persons may be authorized to carry out, including the ability to make “recommendations” to the supported person about a relevant legal act.</w:t>
      </w:r>
      <w:r>
        <w:rPr>
          <w:rStyle w:val="FootnoteReference"/>
        </w:rPr>
        <w:footnoteReference w:id="184"/>
      </w:r>
    </w:p>
    <w:p w14:paraId="59CB8E24" w14:textId="77777777" w:rsidR="00791114" w:rsidRDefault="00791114" w:rsidP="00791114"/>
    <w:p w14:paraId="7118D045" w14:textId="77777777" w:rsidR="00791114" w:rsidRDefault="00791114" w:rsidP="00791114">
      <w:r>
        <w:t>The Bill also stipulates that support persons must prepare yearly reports in which they indicate the type of support that they have provided as well as a justification for the manner in which they have given support, with a focus on how their actions upheld the person’s will and preferences.</w:t>
      </w:r>
      <w:r>
        <w:rPr>
          <w:rStyle w:val="FootnoteReference"/>
        </w:rPr>
        <w:footnoteReference w:id="185"/>
      </w:r>
      <w:r>
        <w:t xml:space="preserve"> In the case of support agreements, this report is to be submitted to the supported person and in the case of judicially awarded </w:t>
      </w:r>
      <w:proofErr w:type="gramStart"/>
      <w:r>
        <w:t>supports,</w:t>
      </w:r>
      <w:proofErr w:type="gramEnd"/>
      <w:r>
        <w:t xml:space="preserve"> this report is to be submitted to the supported person and the judge.</w:t>
      </w:r>
      <w:r>
        <w:rPr>
          <w:rStyle w:val="FootnoteReference"/>
        </w:rPr>
        <w:footnoteReference w:id="186"/>
      </w:r>
    </w:p>
    <w:p w14:paraId="5FFAD50F" w14:textId="77777777" w:rsidR="00791114" w:rsidRDefault="00791114" w:rsidP="00791114"/>
    <w:p w14:paraId="34CC932A" w14:textId="1EBEC182" w:rsidR="00791114" w:rsidRDefault="00791114" w:rsidP="00791114">
      <w:r>
        <w:t xml:space="preserve">Finally, the Bill outlines a framework for advance directives, which </w:t>
      </w:r>
      <w:proofErr w:type="gramStart"/>
      <w:r>
        <w:t>must be made</w:t>
      </w:r>
      <w:proofErr w:type="gramEnd"/>
      <w:r>
        <w:t xml:space="preserve"> by public deed or before extrajudicial conciliators in law.</w:t>
      </w:r>
      <w:r>
        <w:rPr>
          <w:rStyle w:val="FootnoteReference"/>
        </w:rPr>
        <w:footnoteReference w:id="187"/>
      </w:r>
      <w:r>
        <w:t xml:space="preserve"> The Bill describes advance directives as a kind of “formal support” through which persons can make decisions about the future.</w:t>
      </w:r>
      <w:r>
        <w:rPr>
          <w:rStyle w:val="FootnoteReference"/>
        </w:rPr>
        <w:footnoteReference w:id="188"/>
      </w:r>
      <w:r>
        <w:t xml:space="preserve"> Advance directives </w:t>
      </w:r>
      <w:proofErr w:type="gramStart"/>
      <w:r>
        <w:t>must be followed</w:t>
      </w:r>
      <w:proofErr w:type="gramEnd"/>
      <w:r>
        <w:t xml:space="preserve"> by the support persons designated.</w:t>
      </w:r>
      <w:r>
        <w:rPr>
          <w:rStyle w:val="FootnoteReference"/>
        </w:rPr>
        <w:footnoteReference w:id="189"/>
      </w:r>
      <w:r>
        <w:t xml:space="preserve"> The person requesting support indicates the circumstances under which the advance directive is to take effect.</w:t>
      </w:r>
      <w:r>
        <w:rPr>
          <w:rStyle w:val="FootnoteReference"/>
        </w:rPr>
        <w:footnoteReference w:id="190"/>
      </w:r>
      <w:r>
        <w:t xml:space="preserve"> Advance directives may presumably cover a wide range of matters, as the Bill stipulates that they can </w:t>
      </w:r>
      <w:r>
        <w:lastRenderedPageBreak/>
        <w:t>pertain to “health issues, financial matters or personal matters, among others.”</w:t>
      </w:r>
      <w:r>
        <w:rPr>
          <w:rStyle w:val="FootnoteReference"/>
        </w:rPr>
        <w:footnoteReference w:id="191"/>
      </w:r>
      <w:r>
        <w:t xml:space="preserve"> Advance directives </w:t>
      </w:r>
      <w:proofErr w:type="gramStart"/>
      <w:r>
        <w:t>may be modified, replaced or revoked by the affected person</w:t>
      </w:r>
      <w:proofErr w:type="gramEnd"/>
      <w:r>
        <w:t>.</w:t>
      </w:r>
      <w:r>
        <w:rPr>
          <w:rStyle w:val="FootnoteReference"/>
        </w:rPr>
        <w:footnoteReference w:id="192"/>
      </w:r>
      <w:r>
        <w:t xml:space="preserve"> </w:t>
      </w:r>
    </w:p>
    <w:p w14:paraId="27368F9F" w14:textId="77777777" w:rsidR="00791114" w:rsidRDefault="00791114" w:rsidP="00791114"/>
    <w:p w14:paraId="733086AC" w14:textId="77777777" w:rsidR="00791114" w:rsidRDefault="00791114" w:rsidP="00791114">
      <w:r>
        <w:t>In terms of its conformity with Article 12 of the CRPD, the Bill critically recognizes legal capacity for all persons with disabilities on an equal basis with others,</w:t>
      </w:r>
      <w:r>
        <w:rPr>
          <w:rStyle w:val="FootnoteReference"/>
        </w:rPr>
        <w:footnoteReference w:id="193"/>
      </w:r>
      <w:r>
        <w:t xml:space="preserve"> and does so in a categorical manner. The Bill eliminates the former regime of substituted decision-</w:t>
      </w:r>
      <w:proofErr w:type="gramStart"/>
      <w:r>
        <w:t>making which</w:t>
      </w:r>
      <w:proofErr w:type="gramEnd"/>
      <w:r>
        <w:t xml:space="preserve"> allowed persons with disabilities to be placed under guardianship through the legal figure of interdiction.</w:t>
      </w:r>
      <w:r>
        <w:rPr>
          <w:rStyle w:val="FootnoteReference"/>
        </w:rPr>
        <w:footnoteReference w:id="194"/>
      </w:r>
      <w:r>
        <w:t xml:space="preserve"> The Bill specifies that people currently under guardianship in Colombia will be deemed </w:t>
      </w:r>
      <w:proofErr w:type="gramStart"/>
      <w:r>
        <w:t>to be persons</w:t>
      </w:r>
      <w:proofErr w:type="gramEnd"/>
      <w:r>
        <w:t xml:space="preserve"> with full legal capacity and will be brought before the court to establish whether the judicial awarding of supports is required.</w:t>
      </w:r>
      <w:r>
        <w:rPr>
          <w:rStyle w:val="FootnoteReference"/>
        </w:rPr>
        <w:footnoteReference w:id="195"/>
      </w:r>
    </w:p>
    <w:p w14:paraId="27AB725E" w14:textId="77777777" w:rsidR="00791114" w:rsidRDefault="00791114" w:rsidP="00791114"/>
    <w:p w14:paraId="774F399E" w14:textId="77777777" w:rsidR="00791114" w:rsidRDefault="00791114" w:rsidP="00791114">
      <w:r>
        <w:t>The Bill also introduces several forms of supported decision-making, grounded in the “will and preferences” paradigm.</w:t>
      </w:r>
      <w:r>
        <w:rPr>
          <w:rStyle w:val="FootnoteReference"/>
        </w:rPr>
        <w:footnoteReference w:id="196"/>
      </w:r>
      <w:r>
        <w:t xml:space="preserve"> Importantly, the Bill enables persons with disabilities to determine the exact moment at which advance directives enter into effect.</w:t>
      </w:r>
      <w:r>
        <w:rPr>
          <w:rStyle w:val="FootnoteReference"/>
        </w:rPr>
        <w:footnoteReference w:id="197"/>
      </w:r>
      <w:r>
        <w:t xml:space="preserve"> Additionally, the Bill’s inclusion of the “best interpretation of the will” standard for cases in which a person’s will is impossible to discern is also a significant achievement with respect to compliance with Article 12.</w:t>
      </w:r>
      <w:r>
        <w:rPr>
          <w:rStyle w:val="FootnoteReference"/>
        </w:rPr>
        <w:footnoteReference w:id="198"/>
      </w:r>
    </w:p>
    <w:p w14:paraId="35624874" w14:textId="77777777" w:rsidR="00791114" w:rsidRDefault="00791114" w:rsidP="00791114"/>
    <w:p w14:paraId="16824CE8" w14:textId="77777777" w:rsidR="00791114" w:rsidRPr="00D50F8A" w:rsidRDefault="00791114" w:rsidP="00791114">
      <w:r>
        <w:t>The Bill allows for great flexibility in the form that supports may take.</w:t>
      </w:r>
      <w:r>
        <w:rPr>
          <w:rStyle w:val="FootnoteReference"/>
        </w:rPr>
        <w:footnoteReference w:id="199"/>
      </w:r>
      <w:r>
        <w:t xml:space="preserve"> One may note the possibility for supports to encompass representative functions.</w:t>
      </w:r>
      <w:r>
        <w:rPr>
          <w:rStyle w:val="FootnoteReference"/>
        </w:rPr>
        <w:footnoteReference w:id="200"/>
      </w:r>
      <w:r>
        <w:t xml:space="preserve"> This may be problematic with respect to Article 12, but representation would not seem to be presented </w:t>
      </w:r>
      <w:proofErr w:type="gramStart"/>
      <w:r>
        <w:t>as a “general rule</w:t>
      </w:r>
      <w:proofErr w:type="gramEnd"/>
      <w:r>
        <w:t>” for support.</w:t>
      </w:r>
      <w:r>
        <w:rPr>
          <w:rStyle w:val="FootnoteReference"/>
        </w:rPr>
        <w:footnoteReference w:id="201"/>
      </w:r>
      <w:r>
        <w:t xml:space="preserve"> Nevertheless, the Bill’s statement that supporters may “make recommendations” </w:t>
      </w:r>
      <w:proofErr w:type="gramStart"/>
      <w:r>
        <w:t>to  supported</w:t>
      </w:r>
      <w:proofErr w:type="gramEnd"/>
      <w:r>
        <w:t xml:space="preserve"> persons</w:t>
      </w:r>
      <w:r>
        <w:rPr>
          <w:rStyle w:val="FootnoteReference"/>
        </w:rPr>
        <w:footnoteReference w:id="202"/>
      </w:r>
      <w:r>
        <w:t xml:space="preserve"> may be cause for concern. This provision could provide supporters with authorization to exert pressure on supported persons </w:t>
      </w:r>
      <w:r w:rsidRPr="00D50F8A">
        <w:t>and to sway them in the decision-making process. The potential functions of a supporter are quite broad, and this arguably leads to a risk of de facto substitute decision making.</w:t>
      </w:r>
    </w:p>
    <w:p w14:paraId="1FCD0DB1" w14:textId="77777777" w:rsidR="00791114" w:rsidRPr="00D50F8A" w:rsidRDefault="00791114" w:rsidP="00791114"/>
    <w:p w14:paraId="1892F5A0" w14:textId="0286A940" w:rsidR="00791114" w:rsidRDefault="00791114" w:rsidP="00791114">
      <w:r w:rsidRPr="00D50F8A">
        <w:t xml:space="preserve">Moreover, there may be a concern that where supports are determined by support assessments, support measures could be imposed against a person’s will, especially given the latitude that the entities conducting support assessments seem to have to determine the type and intensity of support, as well as the identity of support persons. Nevertheless, it appears that unless a person is incapable of expressing their will, they </w:t>
      </w:r>
      <w:r w:rsidR="000A1BD8">
        <w:t>do</w:t>
      </w:r>
      <w:r w:rsidRPr="00D50F8A">
        <w:t xml:space="preserve"> need to approve of the </w:t>
      </w:r>
      <w:r w:rsidRPr="00EC142B">
        <w:t xml:space="preserve">support system proposed in the support assessment. </w:t>
      </w:r>
      <w:r w:rsidR="00DA59BF" w:rsidRPr="00EC142B">
        <w:t xml:space="preserve">The Bill does not detail the guidelines for the performance of these support </w:t>
      </w:r>
      <w:r w:rsidR="00DA59BF" w:rsidRPr="00EC142B">
        <w:lastRenderedPageBreak/>
        <w:t>assessments</w:t>
      </w:r>
      <w:r w:rsidR="00F97161" w:rsidRPr="00EC142B">
        <w:t xml:space="preserve"> by private or public </w:t>
      </w:r>
      <w:r w:rsidR="0088652B" w:rsidRPr="00EC142B">
        <w:t>entities</w:t>
      </w:r>
      <w:r w:rsidR="00DA59BF" w:rsidRPr="00EC142B">
        <w:t xml:space="preserve">. </w:t>
      </w:r>
      <w:r w:rsidR="00196E05" w:rsidRPr="00EC142B">
        <w:t>Undoubtedly</w:t>
      </w:r>
      <w:r w:rsidR="00DA59BF" w:rsidRPr="00EC142B">
        <w:t xml:space="preserve">, any guidelines for such procedures would have to </w:t>
      </w:r>
      <w:proofErr w:type="gramStart"/>
      <w:r w:rsidR="00DA59BF" w:rsidRPr="00EC142B">
        <w:t>be grounded</w:t>
      </w:r>
      <w:proofErr w:type="gramEnd"/>
      <w:r w:rsidR="00DA59BF" w:rsidRPr="00EC142B">
        <w:t xml:space="preserve"> in respect for the person’s will and preferences.</w:t>
      </w:r>
    </w:p>
    <w:p w14:paraId="58E5C90D" w14:textId="77777777" w:rsidR="00791114" w:rsidRDefault="00791114" w:rsidP="00791114"/>
    <w:p w14:paraId="025ECDF8" w14:textId="237F957F" w:rsidR="00791114" w:rsidRDefault="00791114" w:rsidP="00791114">
      <w:r>
        <w:t xml:space="preserve">In terms of safeguards to prevent abuse, one may point to the possibility for supported persons </w:t>
      </w:r>
      <w:proofErr w:type="gramStart"/>
      <w:r>
        <w:t>to freely terminate</w:t>
      </w:r>
      <w:proofErr w:type="gramEnd"/>
      <w:r>
        <w:t xml:space="preserve"> support agreements and advance directives,</w:t>
      </w:r>
      <w:r>
        <w:rPr>
          <w:rStyle w:val="FootnoteReference"/>
        </w:rPr>
        <w:footnoteReference w:id="203"/>
      </w:r>
      <w:r>
        <w:t xml:space="preserve"> as well as the potential for supported persons to request the termination of judicially awarded supports.</w:t>
      </w:r>
      <w:r>
        <w:rPr>
          <w:rStyle w:val="FootnoteReference"/>
        </w:rPr>
        <w:footnoteReference w:id="204"/>
      </w:r>
      <w:r>
        <w:t xml:space="preserve"> The provision allowing for review of </w:t>
      </w:r>
      <w:proofErr w:type="gramStart"/>
      <w:r>
        <w:t>judicially</w:t>
      </w:r>
      <w:r w:rsidR="003B558B">
        <w:t>-</w:t>
      </w:r>
      <w:r>
        <w:t>awarded</w:t>
      </w:r>
      <w:proofErr w:type="gramEnd"/>
      <w:r>
        <w:t xml:space="preserve"> supports is also important.</w:t>
      </w:r>
      <w:r>
        <w:rPr>
          <w:rStyle w:val="FootnoteReference"/>
        </w:rPr>
        <w:footnoteReference w:id="205"/>
      </w:r>
      <w:r>
        <w:t xml:space="preserve"> One may also highlight the reporting requirements incumbent upon supporters,</w:t>
      </w:r>
      <w:r>
        <w:rPr>
          <w:rStyle w:val="FootnoteReference"/>
        </w:rPr>
        <w:footnoteReference w:id="206"/>
      </w:r>
      <w:r>
        <w:t xml:space="preserve"> although with support agreements, the supporter’s report presumably </w:t>
      </w:r>
      <w:proofErr w:type="gramStart"/>
      <w:r>
        <w:t>must only be submitted</w:t>
      </w:r>
      <w:proofErr w:type="gramEnd"/>
      <w:r>
        <w:t xml:space="preserve"> to the supported person, and thus there is no oversight of the supporter’s activities by a third party in these situations. The Bill also does not provide for mechanisms whereby the actions of support persons </w:t>
      </w:r>
      <w:proofErr w:type="gramStart"/>
      <w:r>
        <w:t>may be challenged</w:t>
      </w:r>
      <w:proofErr w:type="gramEnd"/>
      <w:r>
        <w:t xml:space="preserve"> if there is a belief that they are not upholding the will and preferences of the supported person.</w:t>
      </w:r>
      <w:r>
        <w:rPr>
          <w:rStyle w:val="FootnoteReference"/>
        </w:rPr>
        <w:footnoteReference w:id="207"/>
      </w:r>
    </w:p>
    <w:p w14:paraId="0A105932" w14:textId="77777777" w:rsidR="00791114" w:rsidRDefault="00791114" w:rsidP="00791114"/>
    <w:p w14:paraId="303A8C30" w14:textId="22C97C37" w:rsidR="00791114" w:rsidRDefault="00791114" w:rsidP="00791114">
      <w:r>
        <w:t xml:space="preserve">Overall, Colombia’s Bill appears to make great strides towards securing legal capacity for persons with disabilities. Nevertheless, the legislative scheme may lack certain safeguards in order to ensure that support measures align with the will and preferences of the person concerned. Moreover, civil society actors maintain that great efforts will have to </w:t>
      </w:r>
      <w:proofErr w:type="gramStart"/>
      <w:r>
        <w:t>be exerted</w:t>
      </w:r>
      <w:proofErr w:type="gramEnd"/>
      <w:r>
        <w:t xml:space="preserve"> to train judges and public service personnel on the content of the new legislation.</w:t>
      </w:r>
      <w:r w:rsidR="00BB4A93">
        <w:rPr>
          <w:rStyle w:val="FootnoteReference"/>
        </w:rPr>
        <w:footnoteReference w:id="208"/>
      </w:r>
      <w:r>
        <w:t xml:space="preserve"> As well, civil society activists maintain that there will be a dire need to educate the general population on the exercise of rights of persons with disabilities according to the social </w:t>
      </w:r>
      <w:r w:rsidR="00B20C64">
        <w:t>model</w:t>
      </w:r>
      <w:r w:rsidR="00CF60C6">
        <w:t xml:space="preserve"> </w:t>
      </w:r>
      <w:r w:rsidR="00B20C64">
        <w:t>of</w:t>
      </w:r>
      <w:r w:rsidR="00CF60C6">
        <w:t xml:space="preserve"> disability</w:t>
      </w:r>
      <w:r>
        <w:t>.</w:t>
      </w:r>
      <w:r>
        <w:rPr>
          <w:rStyle w:val="FootnoteReference"/>
        </w:rPr>
        <w:footnoteReference w:id="209"/>
      </w:r>
      <w:r>
        <w:t xml:space="preserve"> In the meantime, however, the Bill needs to receive Presidential sanction before it can duly enter into force as Colombian law.</w:t>
      </w:r>
    </w:p>
    <w:p w14:paraId="1B698023" w14:textId="1E04200D" w:rsidR="00791114" w:rsidRDefault="00791114">
      <w:pPr>
        <w:rPr>
          <w:b/>
          <w:bCs/>
          <w:kern w:val="36"/>
          <w:sz w:val="48"/>
          <w:szCs w:val="48"/>
        </w:rPr>
      </w:pPr>
    </w:p>
    <w:p w14:paraId="1F4E4AB2" w14:textId="19945C71" w:rsidR="00791114" w:rsidRDefault="00791114">
      <w:pPr>
        <w:rPr>
          <w:b/>
          <w:bCs/>
          <w:kern w:val="36"/>
          <w:sz w:val="48"/>
          <w:szCs w:val="48"/>
        </w:rPr>
      </w:pPr>
    </w:p>
    <w:p w14:paraId="6BAB235B" w14:textId="1F783EC4" w:rsidR="00791114" w:rsidRDefault="00791114">
      <w:pPr>
        <w:rPr>
          <w:b/>
          <w:bCs/>
          <w:kern w:val="36"/>
          <w:sz w:val="48"/>
          <w:szCs w:val="48"/>
        </w:rPr>
      </w:pPr>
      <w:r>
        <w:rPr>
          <w:b/>
          <w:bCs/>
          <w:kern w:val="36"/>
          <w:sz w:val="48"/>
          <w:szCs w:val="48"/>
        </w:rPr>
        <w:br w:type="page"/>
      </w:r>
    </w:p>
    <w:p w14:paraId="1ECC4617" w14:textId="63324AB9" w:rsidR="0079310E" w:rsidRPr="002A28E1" w:rsidRDefault="0079310E" w:rsidP="00763F79">
      <w:pPr>
        <w:pStyle w:val="Heading1"/>
        <w:rPr>
          <w:sz w:val="24"/>
          <w:szCs w:val="24"/>
        </w:rPr>
      </w:pPr>
      <w:bookmarkStart w:id="24" w:name="_Toc16081755"/>
      <w:r w:rsidRPr="002A28E1">
        <w:lastRenderedPageBreak/>
        <w:t>India</w:t>
      </w:r>
      <w:bookmarkEnd w:id="24"/>
    </w:p>
    <w:p w14:paraId="1DA9921C" w14:textId="77777777" w:rsidR="0079310E" w:rsidRPr="002A28E1" w:rsidRDefault="0079310E" w:rsidP="0079310E">
      <w:r w:rsidRPr="002A28E1">
        <w:t>India ratified the CRPD in 2007.</w:t>
      </w:r>
      <w:r w:rsidRPr="002A28E1">
        <w:rPr>
          <w:rStyle w:val="FootnoteReference"/>
        </w:rPr>
        <w:footnoteReference w:id="210"/>
      </w:r>
      <w:r w:rsidRPr="002A28E1">
        <w:t xml:space="preserve"> In 2016, the Indian Parliament passed The Rights of Persons with Disabilities Act.</w:t>
      </w:r>
      <w:bookmarkStart w:id="25" w:name="_Ref15298320"/>
      <w:r w:rsidRPr="002A28E1">
        <w:rPr>
          <w:rStyle w:val="FootnoteReference"/>
        </w:rPr>
        <w:footnoteReference w:id="211"/>
      </w:r>
      <w:bookmarkEnd w:id="25"/>
      <w:r w:rsidRPr="002A28E1">
        <w:t xml:space="preserve"> According to the text of the legislation, it constitutes “an Act to give effect to the United Nations Convention on the Rights of Persons with Disabilities and for matters connected therewith or incidental thereto.”</w:t>
      </w:r>
      <w:r w:rsidRPr="002A28E1">
        <w:rPr>
          <w:rStyle w:val="FootnoteReference"/>
        </w:rPr>
        <w:footnoteReference w:id="212"/>
      </w:r>
      <w:r w:rsidRPr="002A28E1">
        <w:t xml:space="preserve"> The Act recognizes full legal capacity for persons with disabilities and references supported decision-making measures, but it also allows for the imposition of “limited guardianship.”</w:t>
      </w:r>
    </w:p>
    <w:p w14:paraId="0D570707" w14:textId="77777777" w:rsidR="0079310E" w:rsidRPr="002A28E1" w:rsidRDefault="0079310E" w:rsidP="0079310E"/>
    <w:p w14:paraId="5EB55CA0" w14:textId="6AF9594F" w:rsidR="0079310E" w:rsidRPr="002A28E1" w:rsidRDefault="0079310E" w:rsidP="0079310E">
      <w:r w:rsidRPr="002A28E1">
        <w:t>In 2010, the Indian Ministry of Social Justice &amp; Empowerment struck a Committee to draft a new piece of legislation to implement India’s obligations under the CRPD.</w:t>
      </w:r>
      <w:r w:rsidR="00D4633D">
        <w:rPr>
          <w:rStyle w:val="FootnoteReference"/>
        </w:rPr>
        <w:footnoteReference w:id="213"/>
      </w:r>
      <w:r w:rsidRPr="002A28E1">
        <w:t xml:space="preserve"> The Committee </w:t>
      </w:r>
      <w:proofErr w:type="gramStart"/>
      <w:r w:rsidRPr="002A28E1">
        <w:t>was led</w:t>
      </w:r>
      <w:proofErr w:type="gramEnd"/>
      <w:r w:rsidRPr="002A28E1">
        <w:t xml:space="preserve"> by Dr. </w:t>
      </w:r>
      <w:proofErr w:type="spellStart"/>
      <w:r w:rsidRPr="002A28E1">
        <w:t>Sudha</w:t>
      </w:r>
      <w:proofErr w:type="spellEnd"/>
      <w:r w:rsidRPr="002A28E1">
        <w:t xml:space="preserve"> </w:t>
      </w:r>
      <w:proofErr w:type="spellStart"/>
      <w:r w:rsidRPr="002A28E1">
        <w:t>Kaul</w:t>
      </w:r>
      <w:proofErr w:type="spellEnd"/>
      <w:r w:rsidRPr="002A28E1">
        <w:t xml:space="preserve"> of the Indian Institute of Cerebral Palsy</w:t>
      </w:r>
      <w:r w:rsidR="008434F6">
        <w:t xml:space="preserve"> and</w:t>
      </w:r>
      <w:r w:rsidRPr="002A28E1">
        <w:t xml:space="preserve"> was comprised of experts, members of the NGO community, and bureaucrats.</w:t>
      </w:r>
      <w:r w:rsidR="00AC3FF9">
        <w:rPr>
          <w:rStyle w:val="FootnoteReference"/>
        </w:rPr>
        <w:footnoteReference w:id="214"/>
      </w:r>
      <w:r w:rsidRPr="002A28E1">
        <w:t xml:space="preserve"> The drafting process </w:t>
      </w:r>
      <w:proofErr w:type="gramStart"/>
      <w:r w:rsidRPr="002A28E1">
        <w:t>was criticized</w:t>
      </w:r>
      <w:proofErr w:type="gramEnd"/>
      <w:r w:rsidRPr="002A28E1">
        <w:t xml:space="preserve"> by civil society for largely excluding persons with disabilities.</w:t>
      </w:r>
      <w:r w:rsidRPr="002A28E1">
        <w:rPr>
          <w:rStyle w:val="FootnoteReference"/>
        </w:rPr>
        <w:footnoteReference w:id="215"/>
      </w:r>
      <w:r w:rsidRPr="002A28E1">
        <w:t xml:space="preserve"> In the aftermath of considerable pressure exerted by Indian civil society, the final version of the 2016 Act ultimately did away with plenary guardianship, while still providing for an institution of “limited guardianship.” </w:t>
      </w:r>
      <w:proofErr w:type="gramStart"/>
      <w:r w:rsidRPr="002A28E1">
        <w:t>Prior to the passage of the legislation, some civil society groups spoke out against the Act’s “limited guardianship” provision, but these criticisms went unanswered.</w:t>
      </w:r>
      <w:bookmarkStart w:id="26" w:name="_Ref15375016"/>
      <w:proofErr w:type="gramEnd"/>
      <w:r w:rsidRPr="002A28E1">
        <w:rPr>
          <w:rStyle w:val="FootnoteReference"/>
        </w:rPr>
        <w:footnoteReference w:id="216"/>
      </w:r>
      <w:bookmarkEnd w:id="26"/>
    </w:p>
    <w:p w14:paraId="6EAF5218" w14:textId="77777777" w:rsidR="0079310E" w:rsidRPr="002A28E1" w:rsidRDefault="0079310E" w:rsidP="0079310E"/>
    <w:p w14:paraId="56ED591B" w14:textId="104DDACB" w:rsidR="0079310E" w:rsidRPr="002A28E1" w:rsidRDefault="0079310E" w:rsidP="0079310E">
      <w:r w:rsidRPr="002A28E1">
        <w:t xml:space="preserve">The Act </w:t>
      </w:r>
      <w:proofErr w:type="gramStart"/>
      <w:r w:rsidRPr="002A28E1">
        <w:t>stipulates that</w:t>
      </w:r>
      <w:proofErr w:type="gramEnd"/>
      <w:r w:rsidRPr="002A28E1">
        <w:t xml:space="preserve"> “the appropriate Government shall ensure </w:t>
      </w:r>
      <w:r w:rsidR="006A7E9A">
        <w:t xml:space="preserve">that </w:t>
      </w:r>
      <w:r w:rsidRPr="002A28E1">
        <w:t>the persons with disabilities enjoy legal capacity on an equal basis with others in all aspects of life and have the right to equal recognition everywhere as any other person before the law.”</w:t>
      </w:r>
      <w:bookmarkStart w:id="27" w:name="_Ref15375621"/>
      <w:r w:rsidRPr="002A28E1">
        <w:rPr>
          <w:rStyle w:val="FootnoteReference"/>
        </w:rPr>
        <w:footnoteReference w:id="217"/>
      </w:r>
      <w:bookmarkEnd w:id="27"/>
      <w:r w:rsidRPr="002A28E1">
        <w:t xml:space="preserve"> The Act also indicates that “the appropriate Government shall ensure that the persons with disabilities have right, equally with others, to own or inherit property, movable or immovable, control their financial affairs </w:t>
      </w:r>
      <w:proofErr w:type="gramStart"/>
      <w:r w:rsidRPr="002A28E1">
        <w:t>and  have</w:t>
      </w:r>
      <w:proofErr w:type="gramEnd"/>
      <w:r w:rsidRPr="002A28E1">
        <w:t xml:space="preserve"> access to bank loans, mortgages and other forms of financial credit.</w:t>
      </w:r>
      <w:r w:rsidRPr="002A28E1">
        <w:rPr>
          <w:rStyle w:val="FootnoteReference"/>
        </w:rPr>
        <w:footnoteReference w:id="218"/>
      </w:r>
      <w:r w:rsidRPr="002A28E1">
        <w:t xml:space="preserve"> The Act introduces the concept of “support,”</w:t>
      </w:r>
      <w:r w:rsidR="00DE6F2B">
        <w:rPr>
          <w:rStyle w:val="FootnoteReference"/>
        </w:rPr>
        <w:footnoteReference w:id="219"/>
      </w:r>
      <w:r w:rsidRPr="002A28E1">
        <w:t xml:space="preserve"> though it does not define the term. Under the Act, persons with disabilities </w:t>
      </w:r>
      <w:proofErr w:type="gramStart"/>
      <w:r w:rsidRPr="002A28E1">
        <w:t>are authorized</w:t>
      </w:r>
      <w:proofErr w:type="gramEnd"/>
      <w:r w:rsidRPr="002A28E1">
        <w:t xml:space="preserve"> to “alter, modify, or dismantle any support arrangement and seek the support of another.”</w:t>
      </w:r>
      <w:r w:rsidRPr="002A28E1">
        <w:rPr>
          <w:rStyle w:val="FootnoteReference"/>
        </w:rPr>
        <w:footnoteReference w:id="220"/>
      </w:r>
      <w:r w:rsidRPr="002A28E1">
        <w:t xml:space="preserve"> Furthermore, it stipulates that should there be a conflict of interest between a support person and the person with disabilities, the support person </w:t>
      </w:r>
      <w:r w:rsidRPr="002A28E1">
        <w:lastRenderedPageBreak/>
        <w:t>should refrain from providing support for that transaction.</w:t>
      </w:r>
      <w:r w:rsidRPr="002A28E1">
        <w:rPr>
          <w:rStyle w:val="FootnoteReference"/>
        </w:rPr>
        <w:footnoteReference w:id="221"/>
      </w:r>
      <w:r w:rsidRPr="002A28E1">
        <w:t xml:space="preserve"> The Act also contains a provision prohibiting support persons from exercising undue influence and obliging support persons to respect the “autonomy, dignity and privacy” of the supported person.</w:t>
      </w:r>
      <w:r w:rsidRPr="002A28E1">
        <w:rPr>
          <w:rStyle w:val="FootnoteReference"/>
        </w:rPr>
        <w:footnoteReference w:id="222"/>
      </w:r>
      <w:r w:rsidRPr="002A28E1">
        <w:t xml:space="preserve">  </w:t>
      </w:r>
    </w:p>
    <w:p w14:paraId="6A803A58" w14:textId="77777777" w:rsidR="0079310E" w:rsidRPr="002A28E1" w:rsidRDefault="0079310E" w:rsidP="0079310E"/>
    <w:p w14:paraId="544B447E" w14:textId="33D0192E" w:rsidR="0079310E" w:rsidRPr="002A28E1" w:rsidRDefault="0079310E" w:rsidP="0079310E">
      <w:r w:rsidRPr="002A28E1">
        <w:t xml:space="preserve">The Act </w:t>
      </w:r>
      <w:proofErr w:type="gramStart"/>
      <w:r w:rsidRPr="002A28E1">
        <w:t>states that</w:t>
      </w:r>
      <w:proofErr w:type="gramEnd"/>
      <w:r w:rsidRPr="002A28E1">
        <w:t xml:space="preserve"> “the appropriate Government shall designate one or more authorities to mobilise the community and create social awareness to support persons with disabilities in the exercise of their legal capacity.”</w:t>
      </w:r>
      <w:r w:rsidRPr="002A28E1">
        <w:rPr>
          <w:rStyle w:val="FootnoteReference"/>
        </w:rPr>
        <w:footnoteReference w:id="223"/>
      </w:r>
      <w:r w:rsidRPr="002A28E1">
        <w:t xml:space="preserve"> Furthermore, this authority “shall take up measures for setting up suitable support arrangements to exercise legal capacity by persons with disabilities living in institutions and those with high support needs and any other measures as may be required.”</w:t>
      </w:r>
      <w:r w:rsidR="000C0BD9" w:rsidRPr="002A28E1">
        <w:rPr>
          <w:rStyle w:val="FootnoteReference"/>
        </w:rPr>
        <w:footnoteReference w:id="224"/>
      </w:r>
    </w:p>
    <w:p w14:paraId="668F7FA5" w14:textId="77777777" w:rsidR="0079310E" w:rsidRPr="002A28E1" w:rsidRDefault="0079310E" w:rsidP="0079310E"/>
    <w:p w14:paraId="2A20D008" w14:textId="5EBD82F7" w:rsidR="0079310E" w:rsidRPr="00142E5A" w:rsidRDefault="0079310E" w:rsidP="0079310E">
      <w:r w:rsidRPr="002A28E1">
        <w:t>The Act also establishes the regime of “limited guardianship,” which the Act defines as a “system of joint decision which operates on mutual understanding and trust between the guardian and the person with disability.”</w:t>
      </w:r>
      <w:r w:rsidR="005B7A13" w:rsidRPr="002A28E1">
        <w:rPr>
          <w:rStyle w:val="FootnoteReference"/>
        </w:rPr>
        <w:footnoteReference w:id="225"/>
      </w:r>
      <w:r w:rsidRPr="002A28E1">
        <w:t xml:space="preserve"> The Act also stipulates that “limited guardianship” appointments must be restricted to specific </w:t>
      </w:r>
      <w:proofErr w:type="gramStart"/>
      <w:r w:rsidRPr="002A28E1">
        <w:t>time periods</w:t>
      </w:r>
      <w:proofErr w:type="gramEnd"/>
      <w:r w:rsidRPr="002A28E1">
        <w:t xml:space="preserve"> and to particular decisions and situations.</w:t>
      </w:r>
      <w:r w:rsidR="00E16800">
        <w:rPr>
          <w:rStyle w:val="FootnoteReference"/>
        </w:rPr>
        <w:footnoteReference w:id="226"/>
      </w:r>
      <w:r w:rsidRPr="002A28E1">
        <w:t xml:space="preserve"> Moreover, limited guardianship “shall operate in accordance to the will of the person with disability.”</w:t>
      </w:r>
      <w:r w:rsidRPr="002A28E1">
        <w:rPr>
          <w:rStyle w:val="FootnoteReference"/>
        </w:rPr>
        <w:footnoteReference w:id="227"/>
      </w:r>
      <w:r w:rsidRPr="002A28E1">
        <w:t xml:space="preserve"> </w:t>
      </w:r>
      <w:proofErr w:type="gramStart"/>
      <w:r w:rsidRPr="002A28E1">
        <w:t xml:space="preserve">Under the Act, </w:t>
      </w:r>
      <w:r w:rsidR="001A4995">
        <w:t xml:space="preserve">where a district court or designated authority </w:t>
      </w:r>
      <w:r w:rsidR="00D80ACE">
        <w:t>concludes</w:t>
      </w:r>
      <w:r w:rsidR="00AF2ED5">
        <w:t xml:space="preserve"> </w:t>
      </w:r>
      <w:r w:rsidR="00E961B8">
        <w:t xml:space="preserve">that a person with a disability has been </w:t>
      </w:r>
      <w:r w:rsidR="00C40D3D">
        <w:t xml:space="preserve">“provided with adequate and appropriate support but is unable to </w:t>
      </w:r>
      <w:r w:rsidR="00FA2BA6">
        <w:t xml:space="preserve">take legally binding decisions,” </w:t>
      </w:r>
      <w:r w:rsidR="004A2259">
        <w:t xml:space="preserve">the court or authority may then </w:t>
      </w:r>
      <w:r w:rsidR="0095527B">
        <w:t xml:space="preserve">render a </w:t>
      </w:r>
      <w:r w:rsidR="00126246">
        <w:t>decision allowing for the “further support of a limited guardian to take legally binding decisions</w:t>
      </w:r>
      <w:r w:rsidR="00DE406E">
        <w:t xml:space="preserve"> on his behalf, in consultation with such a person.”</w:t>
      </w:r>
      <w:r w:rsidRPr="002A28E1">
        <w:rPr>
          <w:rStyle w:val="FootnoteReference"/>
        </w:rPr>
        <w:footnoteReference w:id="228"/>
      </w:r>
      <w:proofErr w:type="gramEnd"/>
      <w:r w:rsidRPr="002A28E1">
        <w:t xml:space="preserve">  The Act proceeds to mention that the court or designated authority may authorise a regime of “total support” for a person with disabilities under limited guardianship.</w:t>
      </w:r>
      <w:r w:rsidRPr="002A28E1">
        <w:rPr>
          <w:rStyle w:val="FootnoteReference"/>
        </w:rPr>
        <w:footnoteReference w:id="229"/>
      </w:r>
      <w:r w:rsidRPr="002A28E1">
        <w:t xml:space="preserve"> Finally, the Act proclaims that all guardians previously appointed to persons with disabilities under any other provision of law </w:t>
      </w:r>
      <w:proofErr w:type="gramStart"/>
      <w:r w:rsidRPr="002A28E1">
        <w:t>will now be considered</w:t>
      </w:r>
      <w:proofErr w:type="gramEnd"/>
      <w:r w:rsidRPr="002A28E1">
        <w:t xml:space="preserve"> limited guardians</w:t>
      </w:r>
      <w:r w:rsidRPr="00142E5A">
        <w:t>.</w:t>
      </w:r>
      <w:r w:rsidRPr="00142E5A">
        <w:rPr>
          <w:rStyle w:val="FootnoteReference"/>
        </w:rPr>
        <w:footnoteReference w:id="230"/>
      </w:r>
    </w:p>
    <w:p w14:paraId="47D99CBF" w14:textId="77777777" w:rsidR="0079310E" w:rsidRPr="00142E5A" w:rsidRDefault="0079310E" w:rsidP="0079310E"/>
    <w:p w14:paraId="025F1D10" w14:textId="643A0A1E" w:rsidR="0079310E" w:rsidRPr="002A28E1" w:rsidRDefault="0079310E" w:rsidP="0079310E">
      <w:r w:rsidRPr="00142E5A">
        <w:t>The Act’s apparent recognition of full legal capacity for persons with disabilities and the provision pertaining to property and financial affairs would appear to be in keeping with Article 12 of the CRPD. That said, it is worthwhile noting that instead of simply enshrining these rights in their legislation, the Indian legislator has chosen to precede these two provisions with the words: “the appropriate Government shall ensure.”</w:t>
      </w:r>
      <w:r w:rsidRPr="00142E5A">
        <w:rPr>
          <w:rStyle w:val="FootnoteReference"/>
        </w:rPr>
        <w:footnoteReference w:id="231"/>
      </w:r>
      <w:r w:rsidRPr="00142E5A">
        <w:t xml:space="preserve"> It is unclear whether this rather vague choice of language weakens the</w:t>
      </w:r>
      <w:r w:rsidR="00896CE7" w:rsidRPr="00142E5A">
        <w:t xml:space="preserve"> strength of the commitments contained in these</w:t>
      </w:r>
      <w:r w:rsidRPr="00142E5A">
        <w:t xml:space="preserve"> provisions. </w:t>
      </w:r>
      <w:r w:rsidR="006965F3" w:rsidRPr="00142E5A">
        <w:t>Additionally, t</w:t>
      </w:r>
      <w:r w:rsidRPr="00142E5A">
        <w:t xml:space="preserve">he legislation does not explain </w:t>
      </w:r>
      <w:r w:rsidRPr="00142E5A">
        <w:rPr>
          <w:i/>
        </w:rPr>
        <w:t xml:space="preserve">how </w:t>
      </w:r>
      <w:r w:rsidRPr="00142E5A">
        <w:t>the appropriate Government will ensure the realization of these rights.</w:t>
      </w:r>
    </w:p>
    <w:p w14:paraId="15EAA1D7" w14:textId="77777777" w:rsidR="0079310E" w:rsidRPr="002A28E1" w:rsidRDefault="0079310E" w:rsidP="0079310E"/>
    <w:p w14:paraId="654F8355" w14:textId="79B78823" w:rsidR="0079310E" w:rsidRPr="002A28E1" w:rsidRDefault="0079310E" w:rsidP="0079310E">
      <w:r w:rsidRPr="002A28E1">
        <w:lastRenderedPageBreak/>
        <w:t xml:space="preserve">There exist several other ambiguities in the Indian law that make assessing its compliance with Article 12 of the </w:t>
      </w:r>
      <w:r w:rsidRPr="00142E5A">
        <w:t>CRPD difficult. By failing to define what “support” entails, it is difficult to analyze whether the regime envisioned by the Act conforms to the CRPD. The Act does stipulate that the Central Government has the power to make rules for carrying out provisions of the Act,</w:t>
      </w:r>
      <w:r w:rsidR="00EF5429" w:rsidRPr="00142E5A">
        <w:rPr>
          <w:rStyle w:val="FootnoteReference"/>
        </w:rPr>
        <w:footnoteReference w:id="232"/>
      </w:r>
      <w:r w:rsidRPr="00142E5A">
        <w:t xml:space="preserve"> but the Indian government has not yet released any such rules that pertain to supported decision-making.</w:t>
      </w:r>
      <w:r w:rsidRPr="00142E5A">
        <w:rPr>
          <w:rStyle w:val="FootnoteReference"/>
        </w:rPr>
        <w:footnoteReference w:id="233"/>
      </w:r>
      <w:r w:rsidRPr="00142E5A">
        <w:t xml:space="preserve"> The National Disability Network (NDN) and the National Committee on the Rights of Persons with Disabilities</w:t>
      </w:r>
      <w:r w:rsidRPr="002A28E1">
        <w:t xml:space="preserve"> (NCRPD) have highlighted the fact that the government has yet to establish any form of guidelines or structures for support measures.</w:t>
      </w:r>
      <w:bookmarkStart w:id="28" w:name="_Ref15298381"/>
      <w:r w:rsidRPr="002A28E1">
        <w:rPr>
          <w:rStyle w:val="FootnoteReference"/>
        </w:rPr>
        <w:footnoteReference w:id="234"/>
      </w:r>
      <w:bookmarkEnd w:id="28"/>
      <w:r w:rsidRPr="002A28E1">
        <w:t xml:space="preserve"> The Act seems to call for making support measures available to “persons with disabilities living in institutions and those with high support needs,”</w:t>
      </w:r>
      <w:r w:rsidR="00E63E6A" w:rsidRPr="002A28E1">
        <w:rPr>
          <w:rStyle w:val="FootnoteReference"/>
        </w:rPr>
        <w:footnoteReference w:id="235"/>
      </w:r>
      <w:r w:rsidRPr="002A28E1">
        <w:t xml:space="preserve"> but the Act is silent about whether support measures </w:t>
      </w:r>
      <w:proofErr w:type="gramStart"/>
      <w:r w:rsidRPr="002A28E1">
        <w:t>will be made</w:t>
      </w:r>
      <w:proofErr w:type="gramEnd"/>
      <w:r w:rsidRPr="002A28E1">
        <w:t xml:space="preserve"> available to persons with disabilities that do not fall into these situations.</w:t>
      </w:r>
    </w:p>
    <w:p w14:paraId="366E36A3" w14:textId="77777777" w:rsidR="0079310E" w:rsidRPr="002A28E1" w:rsidRDefault="0079310E" w:rsidP="0079310E"/>
    <w:p w14:paraId="3D32CE20" w14:textId="77777777" w:rsidR="0079310E" w:rsidRPr="002A28E1" w:rsidRDefault="0079310E" w:rsidP="0079310E">
      <w:r w:rsidRPr="002A28E1">
        <w:t>Aside from the provision outlining the right of the supported person to change or undo support arrangements,</w:t>
      </w:r>
      <w:r w:rsidRPr="002A28E1">
        <w:rPr>
          <w:rStyle w:val="FootnoteReference"/>
        </w:rPr>
        <w:footnoteReference w:id="236"/>
      </w:r>
      <w:r w:rsidRPr="002A28E1">
        <w:t xml:space="preserve">  the Act appears to lack safeguards against abuse as required by Article 12.  </w:t>
      </w:r>
    </w:p>
    <w:p w14:paraId="611A8354" w14:textId="77777777" w:rsidR="0079310E" w:rsidRPr="002A28E1" w:rsidRDefault="0079310E" w:rsidP="0079310E">
      <w:r w:rsidRPr="002A28E1">
        <w:t xml:space="preserve">The Act has not introduced accountability mechanisms or mechanisms to challenge a support person’s actions where there is a belief that they have not acted in accordance with the will and preferences of the supported person. There are also seemingly no requirements that </w:t>
      </w:r>
      <w:proofErr w:type="gramStart"/>
      <w:r w:rsidRPr="002A28E1">
        <w:t>must be met</w:t>
      </w:r>
      <w:proofErr w:type="gramEnd"/>
      <w:r w:rsidRPr="002A28E1">
        <w:t xml:space="preserve"> in order to be a supporter.</w:t>
      </w:r>
    </w:p>
    <w:p w14:paraId="512D2853" w14:textId="77777777" w:rsidR="0079310E" w:rsidRPr="002A28E1" w:rsidRDefault="0079310E" w:rsidP="0079310E"/>
    <w:p w14:paraId="4C70C6D4" w14:textId="00735416" w:rsidR="0079310E" w:rsidRPr="002A28E1" w:rsidRDefault="0079310E" w:rsidP="0079310E">
      <w:r w:rsidRPr="002A28E1">
        <w:t xml:space="preserve">Next, the regime of “limited guardianship” put forward by the Act is arguably in contravention of Article 12. The NDN and the NCRPD affirm that </w:t>
      </w:r>
      <w:r w:rsidR="0044612B">
        <w:t>limited guardianship</w:t>
      </w:r>
      <w:r w:rsidRPr="002A28E1">
        <w:t xml:space="preserve"> is contrary to the notion of full legal capacity and that it does conflict with the CRPD.</w:t>
      </w:r>
      <w:r w:rsidRPr="002A28E1">
        <w:rPr>
          <w:rStyle w:val="FootnoteReference"/>
        </w:rPr>
        <w:footnoteReference w:id="237"/>
      </w:r>
      <w:r w:rsidRPr="002A28E1">
        <w:t xml:space="preserve"> </w:t>
      </w:r>
      <w:proofErr w:type="gramStart"/>
      <w:r w:rsidRPr="002A28E1">
        <w:t>In their communications with the UN Committee on the Rights of Persons with Disabilities,</w:t>
      </w:r>
      <w:proofErr w:type="gramEnd"/>
      <w:r w:rsidRPr="002A28E1">
        <w:t xml:space="preserve"> the Indian government characterizes limited guardianship as a “support system.”</w:t>
      </w:r>
      <w:r w:rsidRPr="002A28E1">
        <w:rPr>
          <w:rStyle w:val="FootnoteReference"/>
        </w:rPr>
        <w:footnoteReference w:id="238"/>
      </w:r>
      <w:r w:rsidRPr="002A28E1">
        <w:t xml:space="preserve"> The Act itself also speaks of “support of a limited guardian.”</w:t>
      </w:r>
      <w:r w:rsidRPr="002A28E1">
        <w:rPr>
          <w:rStyle w:val="FootnoteReference"/>
        </w:rPr>
        <w:footnoteReference w:id="239"/>
      </w:r>
      <w:r w:rsidRPr="002A28E1">
        <w:t xml:space="preserve"> However, it is uncertain as to whether the limited guardianship regime constitutes a genuine form of supported decision-making that would be in line with Article 12 of the CRPD. Firstly, a limited guardian is entitled “to take legally binding decisions on behalf [of the person with disabilities],”</w:t>
      </w:r>
      <w:r w:rsidRPr="002A28E1">
        <w:rPr>
          <w:rStyle w:val="FootnoteReference"/>
        </w:rPr>
        <w:footnoteReference w:id="240"/>
      </w:r>
      <w:r w:rsidRPr="002A28E1">
        <w:t xml:space="preserve"> which could be said to resemble substitute decision-making. Moreover, in some situations, the limited guardian may be </w:t>
      </w:r>
      <w:r w:rsidRPr="002A28E1">
        <w:lastRenderedPageBreak/>
        <w:t>authorised to “grant total support” to the person with disabilities.</w:t>
      </w:r>
      <w:r w:rsidRPr="002A28E1">
        <w:rPr>
          <w:rStyle w:val="FootnoteReference"/>
        </w:rPr>
        <w:footnoteReference w:id="241"/>
      </w:r>
      <w:r w:rsidRPr="002A28E1">
        <w:t xml:space="preserve"> “Total support” is not defined under the Act and the </w:t>
      </w:r>
      <w:proofErr w:type="gramStart"/>
      <w:r w:rsidRPr="002A28E1">
        <w:t>Act also</w:t>
      </w:r>
      <w:proofErr w:type="gramEnd"/>
      <w:r w:rsidRPr="002A28E1">
        <w:t xml:space="preserve"> </w:t>
      </w:r>
      <w:r w:rsidRPr="00142E5A">
        <w:t>seems to give the Court or designated authority great leeway to “determine the nature and manner of support to be provided.”</w:t>
      </w:r>
      <w:r w:rsidR="002D79D1" w:rsidRPr="00142E5A">
        <w:rPr>
          <w:rStyle w:val="FootnoteReference"/>
        </w:rPr>
        <w:footnoteReference w:id="242"/>
      </w:r>
      <w:r w:rsidRPr="00142E5A">
        <w:t xml:space="preserve"> If “total support” is a euphemism for substitute decision-making, this is cause for concern.</w:t>
      </w:r>
      <w:r w:rsidR="00B321A3">
        <w:t xml:space="preserve"> T</w:t>
      </w:r>
      <w:r w:rsidRPr="00142E5A">
        <w:t xml:space="preserve">he UN Committee on Rights of People with Disabilities has </w:t>
      </w:r>
      <w:r w:rsidR="005E422D">
        <w:t xml:space="preserve">also </w:t>
      </w:r>
      <w:r w:rsidRPr="00142E5A">
        <w:t>cautioned against supported decision-making arrangements that “over-regulate” the lives of persons with disabilities</w:t>
      </w:r>
      <w:r w:rsidRPr="00142E5A">
        <w:rPr>
          <w:rStyle w:val="FootnoteReference"/>
        </w:rPr>
        <w:footnoteReference w:id="243"/>
      </w:r>
      <w:r w:rsidRPr="00142E5A">
        <w:t xml:space="preserve"> and a system of “total support” might risk doing exactly this. Without a further description of the powers of the limited guardian, there is undoubtedly a risk that</w:t>
      </w:r>
      <w:r w:rsidRPr="002A28E1">
        <w:t xml:space="preserve"> the limited guardian could sideline the supported person in the decision-making process. That said, however, the Act does stipulate that the “limited guardianship” regime should be a decision-making process grounded in trust and respect for the will of the person with disabilities.</w:t>
      </w:r>
      <w:r w:rsidRPr="002A28E1">
        <w:rPr>
          <w:rStyle w:val="FootnoteReference"/>
        </w:rPr>
        <w:footnoteReference w:id="244"/>
      </w:r>
      <w:r w:rsidRPr="002A28E1">
        <w:t xml:space="preserve"> These aforementioned features of the “limited guardianship” institution seem in line with the CRPD.</w:t>
      </w:r>
    </w:p>
    <w:p w14:paraId="1D888238" w14:textId="77777777" w:rsidR="0079310E" w:rsidRPr="002A28E1" w:rsidRDefault="0079310E" w:rsidP="0079310E"/>
    <w:p w14:paraId="18F85199" w14:textId="414EE4DA" w:rsidR="0079310E" w:rsidRPr="002A28E1" w:rsidRDefault="0079310E" w:rsidP="0079310E">
      <w:pPr>
        <w:pStyle w:val="NormalWeb"/>
        <w:spacing w:before="0" w:beforeAutospacing="0" w:after="0" w:afterAutospacing="0"/>
        <w:jc w:val="both"/>
        <w:rPr>
          <w:color w:val="000000"/>
        </w:rPr>
      </w:pPr>
      <w:r w:rsidRPr="002A28E1">
        <w:t>Finally, it is critical to note that the National Trust Act (1999) remains in force in India to date.</w:t>
      </w:r>
      <w:bookmarkStart w:id="29" w:name="_Ref15298452"/>
      <w:r w:rsidR="008C52C7">
        <w:rPr>
          <w:rStyle w:val="FootnoteReference"/>
        </w:rPr>
        <w:footnoteReference w:id="245"/>
      </w:r>
      <w:bookmarkEnd w:id="29"/>
      <w:r w:rsidRPr="002A28E1">
        <w:t xml:space="preserve"> This legislation allows for the imposition of plenary guardianship for persons with specified disabilities (autism, cerebral palsy, mental retardation, or a combination thereof), thus in effect permitting </w:t>
      </w:r>
      <w:r w:rsidRPr="00142E5A">
        <w:t xml:space="preserve">the legal capacity of these people to be </w:t>
      </w:r>
      <w:r w:rsidR="003F060F" w:rsidRPr="00142E5A">
        <w:t>removed</w:t>
      </w:r>
      <w:r w:rsidRPr="00142E5A">
        <w:t>.</w:t>
      </w:r>
      <w:bookmarkStart w:id="30" w:name="_Ref15376562"/>
      <w:r w:rsidRPr="00142E5A">
        <w:rPr>
          <w:rStyle w:val="FootnoteReference"/>
        </w:rPr>
        <w:footnoteReference w:id="246"/>
      </w:r>
      <w:bookmarkEnd w:id="30"/>
      <w:r w:rsidRPr="00142E5A">
        <w:t xml:space="preserve"> Under this Act, relatives of persons with the aforementioned disabilities may request the institution of guardianship by applying to Local Level Committees of the National Trust (a body under the Ministry of Social Justice and Empowerment).</w:t>
      </w:r>
      <w:r w:rsidRPr="00142E5A">
        <w:rPr>
          <w:rStyle w:val="FootnoteReference"/>
        </w:rPr>
        <w:footnoteReference w:id="247"/>
      </w:r>
      <w:r w:rsidRPr="00142E5A">
        <w:t xml:space="preserve"> The</w:t>
      </w:r>
      <w:r w:rsidRPr="002A28E1">
        <w:t xml:space="preserve"> relative indicates in the application their choice of person to serve as the guardian of the person with disabilities.</w:t>
      </w:r>
      <w:r w:rsidRPr="002A28E1">
        <w:rPr>
          <w:rStyle w:val="FootnoteReference"/>
        </w:rPr>
        <w:footnoteReference w:id="248"/>
      </w:r>
      <w:r w:rsidRPr="002A28E1">
        <w:t xml:space="preserve"> </w:t>
      </w:r>
      <w:r w:rsidR="00F20084">
        <w:t>A</w:t>
      </w:r>
      <w:r w:rsidRPr="002A28E1">
        <w:t xml:space="preserve"> Committee may then approve the application and authorise a guardian to make all legal decisions on behalf of the concerned person with respect to personal and property matters.</w:t>
      </w:r>
      <w:r w:rsidRPr="002A28E1">
        <w:rPr>
          <w:rStyle w:val="FootnoteReference"/>
        </w:rPr>
        <w:footnoteReference w:id="249"/>
      </w:r>
      <w:r w:rsidRPr="002A28E1">
        <w:t xml:space="preserve"> Reports indicate that the regime of plenary guardianship is continuing to </w:t>
      </w:r>
      <w:proofErr w:type="gramStart"/>
      <w:r w:rsidRPr="002A28E1">
        <w:t>be imposed</w:t>
      </w:r>
      <w:proofErr w:type="gramEnd"/>
      <w:r w:rsidRPr="002A28E1">
        <w:t xml:space="preserve"> by Local Level Committees of the National Trust, despite the enactment of the 2016 law.</w:t>
      </w:r>
      <w:r w:rsidRPr="002A28E1">
        <w:rPr>
          <w:rStyle w:val="FootnoteReference"/>
        </w:rPr>
        <w:footnoteReference w:id="250"/>
      </w:r>
      <w:r w:rsidRPr="002A28E1">
        <w:t xml:space="preserve"> </w:t>
      </w:r>
      <w:r w:rsidRPr="00142E5A">
        <w:t xml:space="preserve">The National Trust’s latest annual report reflects an arguably paternalistic vision endorsing plenary guardianship: </w:t>
      </w:r>
      <w:r w:rsidRPr="00142E5A">
        <w:rPr>
          <w:color w:val="000000"/>
        </w:rPr>
        <w:t>“Persons with Autism, Cerebral Palsy, Mental Retardation and Multiple Disabilities are in a special situation as even after they have acquired 18 years of age, they may not always be capable of managing their own lives or taking legal decisions for their own betterment. Therefore, they may require someone to represent their interests in the legal areas throughout their lives.”</w:t>
      </w:r>
      <w:r w:rsidRPr="00142E5A">
        <w:rPr>
          <w:rStyle w:val="FootnoteReference"/>
          <w:color w:val="000000"/>
        </w:rPr>
        <w:footnoteReference w:id="251"/>
      </w:r>
      <w:r w:rsidRPr="00142E5A">
        <w:rPr>
          <w:color w:val="000000"/>
        </w:rPr>
        <w:t xml:space="preserve"> The continued availability of plenary guardianship in India seems contrary to the 2016 </w:t>
      </w:r>
      <w:proofErr w:type="gramStart"/>
      <w:r w:rsidRPr="00142E5A">
        <w:rPr>
          <w:color w:val="000000"/>
        </w:rPr>
        <w:t>Act which</w:t>
      </w:r>
      <w:proofErr w:type="gramEnd"/>
      <w:r w:rsidRPr="00142E5A">
        <w:rPr>
          <w:color w:val="000000"/>
        </w:rPr>
        <w:t xml:space="preserve"> purportedly eliminated the option of plenary guardianship. Regardless, the retention of the institution of plenary guardianship under a separate act certainly violates Article 12 of the CRPD. Moreover, the</w:t>
      </w:r>
      <w:r w:rsidRPr="002A28E1">
        <w:rPr>
          <w:color w:val="000000"/>
        </w:rPr>
        <w:t xml:space="preserve"> denial of legal capacity to persons with listed </w:t>
      </w:r>
      <w:r w:rsidRPr="002A28E1">
        <w:rPr>
          <w:color w:val="000000"/>
        </w:rPr>
        <w:lastRenderedPageBreak/>
        <w:t xml:space="preserve">disabilities under the National Trust Act undoubtedly constitutes a discriminatory status </w:t>
      </w:r>
      <w:proofErr w:type="gramStart"/>
      <w:r w:rsidRPr="002A28E1">
        <w:rPr>
          <w:color w:val="000000"/>
        </w:rPr>
        <w:t>approach which</w:t>
      </w:r>
      <w:proofErr w:type="gramEnd"/>
      <w:r w:rsidRPr="002A28E1">
        <w:rPr>
          <w:color w:val="000000"/>
        </w:rPr>
        <w:t xml:space="preserve"> is incompatible with Article 12.</w:t>
      </w:r>
      <w:r w:rsidRPr="002A28E1">
        <w:rPr>
          <w:rStyle w:val="FootnoteReference"/>
          <w:color w:val="000000"/>
        </w:rPr>
        <w:footnoteReference w:id="252"/>
      </w:r>
    </w:p>
    <w:p w14:paraId="095F175A" w14:textId="77777777" w:rsidR="0079310E" w:rsidRPr="002A28E1" w:rsidRDefault="0079310E" w:rsidP="0079310E">
      <w:pPr>
        <w:pStyle w:val="NormalWeb"/>
        <w:spacing w:before="0" w:beforeAutospacing="0" w:after="0" w:afterAutospacing="0"/>
        <w:jc w:val="both"/>
      </w:pPr>
    </w:p>
    <w:p w14:paraId="200F9716" w14:textId="1D563DF7" w:rsidR="0079310E" w:rsidRPr="002A28E1" w:rsidRDefault="0079310E" w:rsidP="0079310E">
      <w:pPr>
        <w:pStyle w:val="NormalWeb"/>
        <w:spacing w:before="0" w:beforeAutospacing="0" w:after="0" w:afterAutospacing="0"/>
        <w:jc w:val="both"/>
      </w:pPr>
      <w:r w:rsidRPr="002A28E1">
        <w:t xml:space="preserve">To conclude, although India’s 2016 Act refers to support measures for persons with disabilities, there are several concerns with respect to this legislative scheme. The ambiguities surrounding the meaning of “limited guardianship” and “support” under the Act make it difficult to ascertain the law’s compliance with Article 12.  The government’s failure to establish a framework of support mechanisms for facilitating the exercise of legal capacity also means that supported decision-making </w:t>
      </w:r>
      <w:proofErr w:type="gramStart"/>
      <w:r w:rsidRPr="002A28E1">
        <w:t>is not being made</w:t>
      </w:r>
      <w:proofErr w:type="gramEnd"/>
      <w:r w:rsidRPr="002A28E1">
        <w:t xml:space="preserve"> available to persons with disabilities on the ground. The NDN and the NCRPD have called upon the Indian government to collaborate with civil society to put in place support structures, guidelines, </w:t>
      </w:r>
      <w:r w:rsidR="005D240F">
        <w:t xml:space="preserve">a </w:t>
      </w:r>
      <w:r w:rsidRPr="002A28E1">
        <w:t>budget and administrative measures, alongside proper safeguards.</w:t>
      </w:r>
      <w:r w:rsidRPr="002A28E1">
        <w:rPr>
          <w:rStyle w:val="FootnoteReference"/>
        </w:rPr>
        <w:footnoteReference w:id="253"/>
      </w:r>
    </w:p>
    <w:p w14:paraId="3E465725" w14:textId="77777777" w:rsidR="00B802C2" w:rsidRDefault="00B802C2">
      <w:pPr>
        <w:rPr>
          <w:b/>
          <w:bCs/>
          <w:kern w:val="36"/>
          <w:sz w:val="48"/>
          <w:szCs w:val="48"/>
        </w:rPr>
      </w:pPr>
      <w:r>
        <w:br w:type="page"/>
      </w:r>
    </w:p>
    <w:p w14:paraId="54BF6197" w14:textId="095934AC" w:rsidR="009158C8" w:rsidRPr="002A28E1" w:rsidRDefault="009158C8" w:rsidP="002071CE">
      <w:pPr>
        <w:pStyle w:val="Heading1"/>
      </w:pPr>
      <w:bookmarkStart w:id="31" w:name="_Toc16081756"/>
      <w:r w:rsidRPr="002A28E1">
        <w:lastRenderedPageBreak/>
        <w:t>Israel</w:t>
      </w:r>
      <w:bookmarkEnd w:id="31"/>
    </w:p>
    <w:p w14:paraId="4D0FBB5E" w14:textId="617AA406" w:rsidR="009158C8" w:rsidRPr="002A28E1" w:rsidRDefault="009158C8" w:rsidP="009158C8">
      <w:r w:rsidRPr="002A28E1">
        <w:t xml:space="preserve">In March 2016, the </w:t>
      </w:r>
      <w:r w:rsidRPr="00515AC3">
        <w:t>Israeli Parliament passed Amendment Number 18 to the Legal Capacity and Guardianship Law 5776-2016.</w:t>
      </w:r>
      <w:bookmarkStart w:id="32" w:name="_Ref15298558"/>
      <w:r w:rsidR="00D240B4" w:rsidRPr="00515AC3">
        <w:rPr>
          <w:rStyle w:val="FootnoteReference"/>
        </w:rPr>
        <w:footnoteReference w:id="254"/>
      </w:r>
      <w:bookmarkEnd w:id="32"/>
      <w:r w:rsidRPr="00515AC3">
        <w:t xml:space="preserve"> The law has now fully entered into effect, as the final stage came into force in April 2018.</w:t>
      </w:r>
      <w:bookmarkStart w:id="33" w:name="_Ref15298587"/>
      <w:r w:rsidRPr="00515AC3">
        <w:rPr>
          <w:rStyle w:val="FootnoteReference"/>
        </w:rPr>
        <w:footnoteReference w:id="255"/>
      </w:r>
      <w:bookmarkEnd w:id="33"/>
      <w:r w:rsidRPr="00515AC3">
        <w:t xml:space="preserve"> This amendment critically provides </w:t>
      </w:r>
      <w:proofErr w:type="gramStart"/>
      <w:r w:rsidRPr="00515AC3">
        <w:t>for supported decision-making as an alternative to guardianship</w:t>
      </w:r>
      <w:r w:rsidRPr="002A28E1">
        <w:t xml:space="preserve"> in a piece of </w:t>
      </w:r>
      <w:r w:rsidRPr="001F1A62">
        <w:t>national legislation</w:t>
      </w:r>
      <w:proofErr w:type="gramEnd"/>
      <w:r w:rsidRPr="001F1A62">
        <w:t>.</w:t>
      </w:r>
      <w:r w:rsidRPr="001F1A62">
        <w:rPr>
          <w:rStyle w:val="FootnoteReference"/>
        </w:rPr>
        <w:footnoteReference w:id="256"/>
      </w:r>
      <w:r w:rsidRPr="001F1A62">
        <w:t xml:space="preserve"> The amendment </w:t>
      </w:r>
      <w:proofErr w:type="gramStart"/>
      <w:r w:rsidRPr="001F1A62">
        <w:t>does not, however, prohibit</w:t>
      </w:r>
      <w:proofErr w:type="gramEnd"/>
      <w:r w:rsidRPr="001F1A62">
        <w:t xml:space="preserve"> guardianship.</w:t>
      </w:r>
      <w:r w:rsidRPr="001F1A62">
        <w:rPr>
          <w:rStyle w:val="FootnoteReference"/>
        </w:rPr>
        <w:footnoteReference w:id="257"/>
      </w:r>
      <w:r w:rsidRPr="002A28E1">
        <w:t xml:space="preserve">  </w:t>
      </w:r>
    </w:p>
    <w:p w14:paraId="6F93D2FF" w14:textId="77777777" w:rsidR="009158C8" w:rsidRPr="002A28E1" w:rsidRDefault="009158C8" w:rsidP="009158C8"/>
    <w:p w14:paraId="15127647" w14:textId="38F36241" w:rsidR="009158C8" w:rsidRPr="002A28E1" w:rsidRDefault="009158C8" w:rsidP="009158C8">
      <w:r w:rsidRPr="002A28E1">
        <w:t>Israel ratified the CRPD in 2012.</w:t>
      </w:r>
      <w:r w:rsidRPr="002A28E1">
        <w:rPr>
          <w:rStyle w:val="FootnoteReference"/>
        </w:rPr>
        <w:footnoteReference w:id="258"/>
      </w:r>
      <w:r w:rsidRPr="002A28E1">
        <w:t xml:space="preserve"> The Convention was one of the sources of inspiration for Amendment Number 18 to the Legal Capacity and Guardianship Law.</w:t>
      </w:r>
      <w:r w:rsidRPr="002A28E1">
        <w:rPr>
          <w:rStyle w:val="FootnoteReference"/>
        </w:rPr>
        <w:footnoteReference w:id="259"/>
      </w:r>
      <w:r w:rsidRPr="002A28E1">
        <w:t xml:space="preserve"> </w:t>
      </w:r>
      <w:proofErr w:type="gramStart"/>
      <w:r w:rsidRPr="002A28E1">
        <w:t>Though it was the Israeli Ministry of Justice that first recommended the amendment,</w:t>
      </w:r>
      <w:proofErr w:type="gramEnd"/>
      <w:r w:rsidRPr="002A28E1">
        <w:t xml:space="preserve"> civil society was instrumental in devising the text of the amendment and advocating for its passage.</w:t>
      </w:r>
      <w:r w:rsidRPr="002A28E1">
        <w:rPr>
          <w:rStyle w:val="FootnoteReference"/>
        </w:rPr>
        <w:footnoteReference w:id="260"/>
      </w:r>
      <w:r w:rsidRPr="002A28E1">
        <w:t xml:space="preserve"> The civil society organization at the forefront of the law reform process was </w:t>
      </w:r>
      <w:proofErr w:type="spellStart"/>
      <w:r w:rsidRPr="002A28E1">
        <w:t>Bizchut</w:t>
      </w:r>
      <w:proofErr w:type="spellEnd"/>
      <w:r w:rsidRPr="002A28E1">
        <w:t>, the Israel Center for Human Rights of People with Disabilities.</w:t>
      </w:r>
      <w:r w:rsidRPr="002A28E1">
        <w:rPr>
          <w:rStyle w:val="FootnoteReference"/>
        </w:rPr>
        <w:footnoteReference w:id="261"/>
      </w:r>
      <w:r w:rsidRPr="002A28E1">
        <w:t xml:space="preserve"> </w:t>
      </w:r>
      <w:proofErr w:type="spellStart"/>
      <w:r w:rsidRPr="002A28E1">
        <w:t>Bizchut</w:t>
      </w:r>
      <w:proofErr w:type="spellEnd"/>
      <w:r w:rsidRPr="002A28E1">
        <w:t xml:space="preserve"> devoted great efforts to raising awareness in Israel about the pitfalls of guardianship and proceeded to establish a coalition comprised of nineteen organizations committed to advocating for </w:t>
      </w:r>
      <w:r w:rsidRPr="006B75A9">
        <w:t>legal capacity reform.</w:t>
      </w:r>
      <w:r w:rsidR="00FC2ABD">
        <w:rPr>
          <w:rStyle w:val="FootnoteReference"/>
        </w:rPr>
        <w:footnoteReference w:id="262"/>
      </w:r>
      <w:r w:rsidRPr="006B75A9">
        <w:t xml:space="preserve"> The coalition</w:t>
      </w:r>
      <w:r w:rsidRPr="002A28E1">
        <w:t xml:space="preserve"> brought together organizations of people with disabilities, disability rights organizations, parents’ organizations, human rights organizations, and organizations representing elderly people</w:t>
      </w:r>
      <w:r w:rsidR="003F111E">
        <w:t>.</w:t>
      </w:r>
      <w:r w:rsidR="00971E23">
        <w:rPr>
          <w:rStyle w:val="FootnoteReference"/>
        </w:rPr>
        <w:footnoteReference w:id="263"/>
      </w:r>
      <w:r w:rsidR="003F111E">
        <w:t xml:space="preserve"> </w:t>
      </w:r>
      <w:r w:rsidRPr="002A28E1">
        <w:t>The civil society coalition played a critical role in pushing for the inclusion of supported decision-making in the legislative amendment. It is worth noting that the Israeli government’s first draft proposal for amending the Israeli Guardianship Law did not include supported-decision making.</w:t>
      </w:r>
      <w:r w:rsidR="00427D73">
        <w:rPr>
          <w:rStyle w:val="FootnoteReference"/>
        </w:rPr>
        <w:footnoteReference w:id="264"/>
      </w:r>
      <w:r w:rsidRPr="002A28E1">
        <w:t xml:space="preserve"> After the government issued this draft proposal, the civil society coalition proceeded to devise its own list of desired changes to the law, which included the introduction of supported decision-making mechanisms in law.</w:t>
      </w:r>
      <w:r w:rsidRPr="002A28E1">
        <w:rPr>
          <w:rStyle w:val="FootnoteReference"/>
        </w:rPr>
        <w:footnoteReference w:id="265"/>
      </w:r>
      <w:r w:rsidRPr="002A28E1">
        <w:t xml:space="preserve"> The coalition’s efforts ultimately proved successful, as a system of supported decision-making was included in the final version of the law.</w:t>
      </w:r>
    </w:p>
    <w:p w14:paraId="00503C2B" w14:textId="77777777" w:rsidR="009158C8" w:rsidRPr="002A28E1" w:rsidRDefault="009158C8" w:rsidP="009158C8">
      <w:pPr>
        <w:rPr>
          <w:highlight w:val="darkGreen"/>
        </w:rPr>
      </w:pPr>
    </w:p>
    <w:p w14:paraId="2120DDD8" w14:textId="4EA20FCE" w:rsidR="009158C8" w:rsidRPr="002A28E1" w:rsidRDefault="009158C8" w:rsidP="009158C8">
      <w:r w:rsidRPr="002A28E1">
        <w:t xml:space="preserve">Amendment Number 18 outlines two alternatives to guardianship. The first is supported decision-making. The newly enacted section 67B of the Legal Capacity and Guardianship Law </w:t>
      </w:r>
      <w:r w:rsidRPr="002A28E1">
        <w:lastRenderedPageBreak/>
        <w:t xml:space="preserve">allows </w:t>
      </w:r>
      <w:proofErr w:type="gramStart"/>
      <w:r w:rsidRPr="002A28E1">
        <w:t>for the</w:t>
      </w:r>
      <w:proofErr w:type="gramEnd"/>
      <w:r w:rsidRPr="002A28E1">
        <w:t xml:space="preserve"> court to appoint one or more decision</w:t>
      </w:r>
      <w:r w:rsidR="00AE19E5">
        <w:t>-</w:t>
      </w:r>
      <w:r w:rsidRPr="002A28E1">
        <w:t>making supporters to assist an adult who experiences difficulties making decisions, but who is able to make their own decisions regarding their affairs with help.</w:t>
      </w:r>
      <w:r w:rsidRPr="002A28E1">
        <w:rPr>
          <w:rStyle w:val="FootnoteReference"/>
        </w:rPr>
        <w:footnoteReference w:id="266"/>
      </w:r>
      <w:r w:rsidRPr="002A28E1">
        <w:t xml:space="preserve"> Under the Israeli law, the decision-making supporter helps the person to obtain information,</w:t>
      </w:r>
      <w:r w:rsidRPr="002A28E1">
        <w:rPr>
          <w:rStyle w:val="FootnoteReference"/>
        </w:rPr>
        <w:footnoteReference w:id="267"/>
      </w:r>
      <w:r w:rsidRPr="002A28E1">
        <w:t xml:space="preserve"> explains available alternatives in a manner that is understandable to the person,</w:t>
      </w:r>
      <w:r w:rsidRPr="002A28E1">
        <w:rPr>
          <w:rStyle w:val="FootnoteReference"/>
        </w:rPr>
        <w:footnoteReference w:id="268"/>
      </w:r>
      <w:r w:rsidRPr="002A28E1">
        <w:t xml:space="preserve"> and aids the person to carry out their decisions and communicate them to third parties.</w:t>
      </w:r>
      <w:r w:rsidRPr="002A28E1">
        <w:rPr>
          <w:rStyle w:val="FootnoteReference"/>
        </w:rPr>
        <w:footnoteReference w:id="269"/>
      </w:r>
      <w:r w:rsidRPr="002A28E1">
        <w:t xml:space="preserve"> The Amendment </w:t>
      </w:r>
      <w:proofErr w:type="gramStart"/>
      <w:r w:rsidRPr="00D03E63">
        <w:t>stipulates that</w:t>
      </w:r>
      <w:proofErr w:type="gramEnd"/>
      <w:r w:rsidRPr="00D03E63">
        <w:t xml:space="preserve"> “a decision</w:t>
      </w:r>
      <w:r w:rsidR="00CB2373" w:rsidRPr="00D03E63">
        <w:t>-</w:t>
      </w:r>
      <w:r w:rsidRPr="00D03E63">
        <w:t>making supporter will not make decisions on behalf of the person he is supporting.”</w:t>
      </w:r>
      <w:r w:rsidRPr="00D03E63">
        <w:rPr>
          <w:rStyle w:val="FootnoteReference"/>
        </w:rPr>
        <w:footnoteReference w:id="270"/>
      </w:r>
      <w:r w:rsidRPr="00D03E63">
        <w:t xml:space="preserve"> </w:t>
      </w:r>
      <w:r w:rsidR="00B52C84" w:rsidRPr="00D03E63">
        <w:t xml:space="preserve">When the Court appoints a decision-making supporter, it </w:t>
      </w:r>
      <w:r w:rsidR="0079326C" w:rsidRPr="00D03E63">
        <w:t>must</w:t>
      </w:r>
      <w:r w:rsidR="00B52C84" w:rsidRPr="00D03E63">
        <w:t xml:space="preserve"> indicate in its judgment the particular matters with respect to</w:t>
      </w:r>
      <w:r w:rsidR="008B3238" w:rsidRPr="00D03E63">
        <w:t xml:space="preserve"> which</w:t>
      </w:r>
      <w:r w:rsidR="00B52C84" w:rsidRPr="00D03E63">
        <w:t xml:space="preserve"> </w:t>
      </w:r>
      <w:r w:rsidR="00203239" w:rsidRPr="00D03E63">
        <w:t xml:space="preserve">support </w:t>
      </w:r>
      <w:r w:rsidR="00F34D29" w:rsidRPr="00D03E63">
        <w:t xml:space="preserve">is to </w:t>
      </w:r>
      <w:proofErr w:type="gramStart"/>
      <w:r w:rsidR="00F34D29" w:rsidRPr="00D03E63">
        <w:t>be provided</w:t>
      </w:r>
      <w:proofErr w:type="gramEnd"/>
      <w:r w:rsidR="009F34A6" w:rsidRPr="00D03E63">
        <w:t>.</w:t>
      </w:r>
      <w:r w:rsidR="0079326C" w:rsidRPr="00D03E63">
        <w:rPr>
          <w:rStyle w:val="FootnoteReference"/>
        </w:rPr>
        <w:footnoteReference w:id="271"/>
      </w:r>
      <w:r w:rsidR="009F34A6" w:rsidRPr="00D03E63">
        <w:t xml:space="preserve"> The Court judgment also</w:t>
      </w:r>
      <w:r w:rsidR="00115102" w:rsidRPr="00D03E63">
        <w:t xml:space="preserve"> </w:t>
      </w:r>
      <w:r w:rsidR="00D42D00" w:rsidRPr="00D03E63">
        <w:t>lays out</w:t>
      </w:r>
      <w:r w:rsidR="00115102" w:rsidRPr="00D03E63">
        <w:t xml:space="preserve"> the </w:t>
      </w:r>
      <w:r w:rsidR="00F142A1" w:rsidRPr="00D03E63">
        <w:t xml:space="preserve">supporter’s functions and powers as well as the </w:t>
      </w:r>
      <w:proofErr w:type="gramStart"/>
      <w:r w:rsidR="00485682" w:rsidRPr="00D03E63">
        <w:t>time period</w:t>
      </w:r>
      <w:proofErr w:type="gramEnd"/>
      <w:r w:rsidR="00485682" w:rsidRPr="00D03E63">
        <w:t xml:space="preserve"> </w:t>
      </w:r>
      <w:r w:rsidR="00031DF0" w:rsidRPr="00D03E63">
        <w:t>of</w:t>
      </w:r>
      <w:r w:rsidR="00485682" w:rsidRPr="00D03E63">
        <w:t xml:space="preserve"> the appointment.</w:t>
      </w:r>
      <w:r w:rsidR="00FA3BC8" w:rsidRPr="00D03E63">
        <w:rPr>
          <w:rStyle w:val="FootnoteReference"/>
        </w:rPr>
        <w:footnoteReference w:id="272"/>
      </w:r>
      <w:r w:rsidR="00485682" w:rsidRPr="00D03E63">
        <w:t xml:space="preserve"> </w:t>
      </w:r>
      <w:proofErr w:type="gramStart"/>
      <w:r w:rsidRPr="00D03E63">
        <w:t xml:space="preserve">In their Report to the UN </w:t>
      </w:r>
      <w:r w:rsidR="007C4AF3" w:rsidRPr="00D03E63">
        <w:t>Committee on the Rights of Persons with Disabilities</w:t>
      </w:r>
      <w:r w:rsidRPr="00D03E63">
        <w:t>, the Israeli government affirms that the function of the decision</w:t>
      </w:r>
      <w:r w:rsidR="00FA3BC8" w:rsidRPr="00D03E63">
        <w:t>-</w:t>
      </w:r>
      <w:r w:rsidRPr="00D03E63">
        <w:t>making supporter is to help the person to “make decisions according to her/his wishes,”</w:t>
      </w:r>
      <w:r w:rsidR="006B662E" w:rsidRPr="00D03E63">
        <w:rPr>
          <w:rStyle w:val="FootnoteReference"/>
        </w:rPr>
        <w:footnoteReference w:id="273"/>
      </w:r>
      <w:r w:rsidRPr="00D03E63">
        <w:t xml:space="preserve"> but the provision on supported decision-making </w:t>
      </w:r>
      <w:r w:rsidR="00744AE5" w:rsidRPr="00D03E63">
        <w:t xml:space="preserve">in the Legal Capacity and </w:t>
      </w:r>
      <w:r w:rsidR="002E01EE" w:rsidRPr="00D03E63">
        <w:t>Guardianship</w:t>
      </w:r>
      <w:r w:rsidR="00744AE5" w:rsidRPr="00D03E63">
        <w:t xml:space="preserve"> Law </w:t>
      </w:r>
      <w:r w:rsidRPr="00D03E63">
        <w:t>does not make any kind of reference to upholding the supported</w:t>
      </w:r>
      <w:r w:rsidRPr="002A28E1">
        <w:t xml:space="preserve"> person’s will and preferences.</w:t>
      </w:r>
      <w:proofErr w:type="gramEnd"/>
    </w:p>
    <w:p w14:paraId="04EB5EFF" w14:textId="77777777" w:rsidR="009158C8" w:rsidRPr="002A28E1" w:rsidRDefault="009158C8" w:rsidP="009158C8"/>
    <w:p w14:paraId="54A80EFD" w14:textId="061D4B46" w:rsidR="009158C8" w:rsidRPr="002A28E1" w:rsidRDefault="009158C8" w:rsidP="009158C8">
      <w:pPr>
        <w:rPr>
          <w:strike/>
        </w:rPr>
      </w:pPr>
      <w:r w:rsidRPr="002A28E1">
        <w:t>The second alternative to guardianship presented in the Amendment is the “enduring power of attorney.” This option allows a person (while mentally competent) to designate a representative who will be allowed to act on their behalf and to make their decisions should that person eventually lose the ability to make decisions.</w:t>
      </w:r>
      <w:r w:rsidRPr="002A28E1">
        <w:rPr>
          <w:rStyle w:val="FootnoteReference"/>
        </w:rPr>
        <w:footnoteReference w:id="274"/>
      </w:r>
      <w:r w:rsidRPr="002A28E1">
        <w:t xml:space="preserve"> </w:t>
      </w:r>
      <w:r w:rsidR="003D4BC4" w:rsidRPr="002A28E1">
        <w:t xml:space="preserve">The power of attorney can be restricted to </w:t>
      </w:r>
      <w:proofErr w:type="gramStart"/>
      <w:r w:rsidR="003D4BC4" w:rsidRPr="002A28E1">
        <w:t>specified</w:t>
      </w:r>
      <w:proofErr w:type="gramEnd"/>
      <w:r w:rsidR="003D4BC4" w:rsidRPr="002A28E1">
        <w:t xml:space="preserve"> matters – whether personal, medical or financial; or </w:t>
      </w:r>
      <w:r w:rsidR="00B5670A" w:rsidRPr="002A28E1">
        <w:t>the power of attorney may pertain to all matters</w:t>
      </w:r>
      <w:r w:rsidR="00BB4574" w:rsidRPr="002A28E1">
        <w:t xml:space="preserve"> relating to a person.</w:t>
      </w:r>
      <w:r w:rsidR="00A71E9A" w:rsidRPr="002A28E1">
        <w:rPr>
          <w:rStyle w:val="FootnoteReference"/>
        </w:rPr>
        <w:footnoteReference w:id="275"/>
      </w:r>
      <w:r w:rsidR="009B6FBB" w:rsidRPr="002A28E1">
        <w:t xml:space="preserve"> </w:t>
      </w:r>
      <w:r w:rsidR="00AA2723" w:rsidRPr="002A28E1">
        <w:t xml:space="preserve">Enduring powers of attorney </w:t>
      </w:r>
      <w:proofErr w:type="gramStart"/>
      <w:r w:rsidR="00AA2723" w:rsidRPr="002A28E1">
        <w:t>must be signed</w:t>
      </w:r>
      <w:proofErr w:type="gramEnd"/>
      <w:r w:rsidR="00AA2723" w:rsidRPr="002A28E1">
        <w:t xml:space="preserve"> before attorneys who have received special training in the drafting of these documents</w:t>
      </w:r>
      <w:r w:rsidR="00C65A0C" w:rsidRPr="002A28E1">
        <w:t xml:space="preserve"> and they must then be deposited with the Administrator-General </w:t>
      </w:r>
      <w:r w:rsidR="002B3BE2" w:rsidRPr="002A28E1">
        <w:t>(a governmental agency)</w:t>
      </w:r>
      <w:r w:rsidR="00AA2723" w:rsidRPr="002A28E1">
        <w:t>.</w:t>
      </w:r>
      <w:r w:rsidR="00AA2723" w:rsidRPr="002A28E1">
        <w:rPr>
          <w:rStyle w:val="FootnoteReference"/>
        </w:rPr>
        <w:footnoteReference w:id="276"/>
      </w:r>
      <w:r w:rsidR="00AA2723" w:rsidRPr="002A28E1">
        <w:t xml:space="preserve"> </w:t>
      </w:r>
      <w:r w:rsidR="009B6FBB" w:rsidRPr="002A28E1">
        <w:t xml:space="preserve">The law also provides for a complaint mechanism with respect to enduring powers of </w:t>
      </w:r>
      <w:proofErr w:type="gramStart"/>
      <w:r w:rsidR="009B6FBB" w:rsidRPr="002A28E1">
        <w:t>attorney, that</w:t>
      </w:r>
      <w:proofErr w:type="gramEnd"/>
      <w:r w:rsidR="009B6FBB" w:rsidRPr="002A28E1">
        <w:t xml:space="preserve"> allows for possible judicial intervention.</w:t>
      </w:r>
      <w:r w:rsidR="009B6FBB" w:rsidRPr="002A28E1">
        <w:rPr>
          <w:rStyle w:val="FootnoteReference"/>
        </w:rPr>
        <w:footnoteReference w:id="277"/>
      </w:r>
      <w:r w:rsidR="002B3BE2" w:rsidRPr="002A28E1">
        <w:t xml:space="preserve"> </w:t>
      </w:r>
    </w:p>
    <w:p w14:paraId="4E53DC25" w14:textId="77777777" w:rsidR="009158C8" w:rsidRPr="002A28E1" w:rsidRDefault="009158C8" w:rsidP="009158C8"/>
    <w:p w14:paraId="230731EC" w14:textId="43CB11E6" w:rsidR="00594C33" w:rsidRDefault="00594C33" w:rsidP="00594C33">
      <w:r>
        <w:t>With respect to its guardianship regime</w:t>
      </w:r>
      <w:r w:rsidR="00FA4454">
        <w:t xml:space="preserve">, Israeli law </w:t>
      </w:r>
      <w:r>
        <w:t xml:space="preserve">allows </w:t>
      </w:r>
      <w:proofErr w:type="gramStart"/>
      <w:r>
        <w:t>for a</w:t>
      </w:r>
      <w:proofErr w:type="gramEnd"/>
      <w:r>
        <w:t xml:space="preserve"> guardian to be appointed for a person who has been declared to be “legally incompetent.”</w:t>
      </w:r>
      <w:r>
        <w:rPr>
          <w:rStyle w:val="FootnoteReference"/>
        </w:rPr>
        <w:footnoteReference w:id="278"/>
      </w:r>
      <w:r w:rsidR="0027056C">
        <w:t xml:space="preserve"> The court can </w:t>
      </w:r>
      <w:r w:rsidR="002B260A">
        <w:t>order</w:t>
      </w:r>
      <w:r w:rsidR="0027056C">
        <w:t xml:space="preserve"> this </w:t>
      </w:r>
      <w:r w:rsidR="002B260A">
        <w:t>“</w:t>
      </w:r>
      <w:r w:rsidR="0027056C" w:rsidRPr="002A28E1">
        <w:t>legally incompetent</w:t>
      </w:r>
      <w:r w:rsidR="0027056C">
        <w:t>” designation</w:t>
      </w:r>
      <w:r w:rsidR="00645C61">
        <w:t xml:space="preserve"> for </w:t>
      </w:r>
      <w:r w:rsidRPr="002A28E1">
        <w:t xml:space="preserve">a person with mental or intellectual disabilities </w:t>
      </w:r>
      <w:r w:rsidR="00D6185C">
        <w:t>whom they deem</w:t>
      </w:r>
      <w:r w:rsidR="009B7665">
        <w:t xml:space="preserve"> is</w:t>
      </w:r>
      <w:r>
        <w:t xml:space="preserve"> unable to manage their own affairs</w:t>
      </w:r>
      <w:r w:rsidR="00170301">
        <w:t>.</w:t>
      </w:r>
      <w:r w:rsidRPr="002A28E1">
        <w:rPr>
          <w:rStyle w:val="FootnoteReference"/>
        </w:rPr>
        <w:footnoteReference w:id="279"/>
      </w:r>
      <w:r>
        <w:t xml:space="preserve"> </w:t>
      </w:r>
      <w:r w:rsidR="00224F0B">
        <w:t xml:space="preserve">Guardians for persons who </w:t>
      </w:r>
      <w:proofErr w:type="gramStart"/>
      <w:r w:rsidR="00224F0B">
        <w:t>have been declared</w:t>
      </w:r>
      <w:proofErr w:type="gramEnd"/>
      <w:r w:rsidR="00224F0B">
        <w:t xml:space="preserve"> legally incompetent are charged with taking care of matters assigned to them by the court</w:t>
      </w:r>
      <w:r w:rsidR="000600DF">
        <w:t xml:space="preserve"> and with </w:t>
      </w:r>
      <w:r w:rsidR="000600DF">
        <w:lastRenderedPageBreak/>
        <w:t>making decisions about the person under guardianship.</w:t>
      </w:r>
      <w:r w:rsidR="00614A9C">
        <w:rPr>
          <w:rStyle w:val="FootnoteReference"/>
        </w:rPr>
        <w:footnoteReference w:id="280"/>
      </w:r>
      <w:r w:rsidR="000600DF">
        <w:t xml:space="preserve"> This type of guardian</w:t>
      </w:r>
      <w:r w:rsidR="00224F0B">
        <w:t xml:space="preserve"> must act to protect the given person’s rights, interests</w:t>
      </w:r>
      <w:r w:rsidR="009737CC">
        <w:t>,</w:t>
      </w:r>
      <w:r w:rsidR="00224F0B">
        <w:t xml:space="preserve"> and needs</w:t>
      </w:r>
      <w:r w:rsidR="004A0400">
        <w:t>.</w:t>
      </w:r>
      <w:r w:rsidR="004A0400">
        <w:rPr>
          <w:rStyle w:val="FootnoteReference"/>
        </w:rPr>
        <w:footnoteReference w:id="281"/>
      </w:r>
    </w:p>
    <w:p w14:paraId="4F0A07C3" w14:textId="77777777" w:rsidR="00594C33" w:rsidRDefault="00594C33" w:rsidP="009158C8"/>
    <w:p w14:paraId="0D05BB97" w14:textId="26962A37" w:rsidR="003E016E" w:rsidRDefault="00F91853" w:rsidP="009158C8">
      <w:r>
        <w:t>In addition, Israel’s legislative scheme provides</w:t>
      </w:r>
      <w:r w:rsidR="00FA4454">
        <w:t xml:space="preserve"> for the appointment of a guardian for any individual who cannot manage their affairs.</w:t>
      </w:r>
      <w:r w:rsidR="00FA4454" w:rsidRPr="00FA4454">
        <w:rPr>
          <w:rStyle w:val="FootnoteReference"/>
        </w:rPr>
        <w:t xml:space="preserve"> </w:t>
      </w:r>
      <w:r w:rsidR="00FA4454">
        <w:rPr>
          <w:rStyle w:val="FootnoteReference"/>
        </w:rPr>
        <w:footnoteReference w:id="282"/>
      </w:r>
      <w:r w:rsidR="00594C33">
        <w:t xml:space="preserve"> In these situations, such individuals retain their legal capacity.</w:t>
      </w:r>
      <w:r w:rsidR="00594C33">
        <w:rPr>
          <w:rStyle w:val="FootnoteReference"/>
        </w:rPr>
        <w:footnoteReference w:id="283"/>
      </w:r>
      <w:r w:rsidR="00EA2B81">
        <w:t xml:space="preserve"> The Amendment puts forward a strict test for the appointment of a guardian in these circumstances.</w:t>
      </w:r>
      <w:r w:rsidR="00DC552A">
        <w:t xml:space="preserve"> </w:t>
      </w:r>
      <w:r w:rsidR="009158C8" w:rsidRPr="002A28E1">
        <w:t xml:space="preserve">Firstly, the principle of </w:t>
      </w:r>
      <w:r w:rsidR="0041433B">
        <w:t>“</w:t>
      </w:r>
      <w:r w:rsidR="009158C8" w:rsidRPr="002A28E1">
        <w:t>necessity</w:t>
      </w:r>
      <w:r w:rsidR="0041433B">
        <w:t>”</w:t>
      </w:r>
      <w:r w:rsidR="009158C8" w:rsidRPr="002A28E1">
        <w:t xml:space="preserve"> </w:t>
      </w:r>
      <w:proofErr w:type="gramStart"/>
      <w:r w:rsidR="009158C8" w:rsidRPr="002A28E1">
        <w:t>must be respected</w:t>
      </w:r>
      <w:proofErr w:type="gramEnd"/>
      <w:r w:rsidR="009158C8" w:rsidRPr="002A28E1">
        <w:t>: that is, there must be a determination that without the appointment of a guardian, a “violation of the person’s rights, interests or needs” would be likely.</w:t>
      </w:r>
      <w:bookmarkStart w:id="34" w:name="_Ref15827586"/>
      <w:r w:rsidR="009158C8" w:rsidRPr="002A28E1">
        <w:rPr>
          <w:rStyle w:val="FootnoteReference"/>
        </w:rPr>
        <w:footnoteReference w:id="284"/>
      </w:r>
      <w:bookmarkEnd w:id="34"/>
      <w:r w:rsidR="009158C8" w:rsidRPr="002A28E1">
        <w:t xml:space="preserve"> Second, the principle of the </w:t>
      </w:r>
      <w:r w:rsidR="003B781C">
        <w:t>“</w:t>
      </w:r>
      <w:r w:rsidR="009158C8" w:rsidRPr="002A28E1">
        <w:t>less restrictive measure</w:t>
      </w:r>
      <w:r w:rsidR="003B781C">
        <w:t>”</w:t>
      </w:r>
      <w:r w:rsidR="009158C8" w:rsidRPr="002A28E1">
        <w:t xml:space="preserve"> </w:t>
      </w:r>
      <w:proofErr w:type="gramStart"/>
      <w:r w:rsidR="009158C8" w:rsidRPr="002A28E1">
        <w:t xml:space="preserve">must also be </w:t>
      </w:r>
      <w:r w:rsidR="00CB7A9D" w:rsidRPr="002A28E1">
        <w:t>fulfilled</w:t>
      </w:r>
      <w:proofErr w:type="gramEnd"/>
      <w:r w:rsidR="003B781C">
        <w:t xml:space="preserve"> - </w:t>
      </w:r>
      <w:r w:rsidR="00E32EBC">
        <w:rPr>
          <w:rStyle w:val="FootnoteReference"/>
        </w:rPr>
        <w:t>.</w:t>
      </w:r>
      <w:r w:rsidR="003B781C">
        <w:t>t</w:t>
      </w:r>
      <w:r w:rsidR="009158C8" w:rsidRPr="002A28E1">
        <w:t>hat is, the court must be satisfied that it is impossible to opt for a less restrictive alternative in the form of an enduring power of attorney or supported decision-making.</w:t>
      </w:r>
      <w:r w:rsidR="009158C8" w:rsidRPr="002A28E1">
        <w:rPr>
          <w:rStyle w:val="FootnoteReference"/>
        </w:rPr>
        <w:footnoteReference w:id="285"/>
      </w:r>
      <w:r w:rsidR="009158C8" w:rsidRPr="002A28E1">
        <w:t xml:space="preserve"> Moreover,</w:t>
      </w:r>
      <w:r w:rsidR="00B804CE">
        <w:t xml:space="preserve"> </w:t>
      </w:r>
      <w:r w:rsidR="00960742">
        <w:t xml:space="preserve">the Amendment stipulates that </w:t>
      </w:r>
      <w:r w:rsidR="00B804CE">
        <w:t xml:space="preserve">where a guardian </w:t>
      </w:r>
      <w:proofErr w:type="gramStart"/>
      <w:r w:rsidR="00B804CE">
        <w:t>is appointed</w:t>
      </w:r>
      <w:proofErr w:type="gramEnd"/>
      <w:r w:rsidR="00B804CE">
        <w:t xml:space="preserve"> for persons who cannot manage their affairs</w:t>
      </w:r>
      <w:r w:rsidR="009158C8" w:rsidRPr="002A28E1">
        <w:t>, a judge must choose the areas to which guardianship will apply: a specific affair, medical matters, personal affairs, property, or several areas.</w:t>
      </w:r>
      <w:r w:rsidR="009158C8" w:rsidRPr="002A28E1">
        <w:rPr>
          <w:rStyle w:val="FootnoteReference"/>
        </w:rPr>
        <w:footnoteReference w:id="286"/>
      </w:r>
      <w:r w:rsidR="009158C8" w:rsidRPr="002A28E1">
        <w:t xml:space="preserve"> </w:t>
      </w:r>
      <w:r w:rsidR="00312E64">
        <w:t xml:space="preserve">The former </w:t>
      </w:r>
      <w:proofErr w:type="gramStart"/>
      <w:r w:rsidR="00312E64">
        <w:t xml:space="preserve">option </w:t>
      </w:r>
      <w:r w:rsidR="00D159D7">
        <w:t>which</w:t>
      </w:r>
      <w:proofErr w:type="gramEnd"/>
      <w:r w:rsidR="00D159D7">
        <w:t xml:space="preserve"> allowed for the appointment of such a guardian for all of a person’s affairs has now been removed.</w:t>
      </w:r>
      <w:r w:rsidR="00D159D7">
        <w:rPr>
          <w:rStyle w:val="FootnoteReference"/>
        </w:rPr>
        <w:footnoteReference w:id="287"/>
      </w:r>
    </w:p>
    <w:p w14:paraId="2EE1C675" w14:textId="77777777" w:rsidR="003E016E" w:rsidRDefault="003E016E" w:rsidP="009158C8"/>
    <w:p w14:paraId="42B882D7" w14:textId="0D5BF8F2" w:rsidR="009158C8" w:rsidRPr="003E016E" w:rsidRDefault="009737CC" w:rsidP="009158C8">
      <w:r w:rsidRPr="00DF138E">
        <w:t xml:space="preserve">The </w:t>
      </w:r>
      <w:r w:rsidR="000B4141" w:rsidRPr="00DF138E">
        <w:t xml:space="preserve">Israeli </w:t>
      </w:r>
      <w:r w:rsidR="00E207D2" w:rsidRPr="00DF138E">
        <w:t>legislation</w:t>
      </w:r>
      <w:r w:rsidR="000B4141" w:rsidRPr="00DF138E">
        <w:t xml:space="preserve"> </w:t>
      </w:r>
      <w:r w:rsidR="00E207D2" w:rsidRPr="00DF138E">
        <w:t xml:space="preserve">outlines </w:t>
      </w:r>
      <w:proofErr w:type="gramStart"/>
      <w:r w:rsidR="00E207D2" w:rsidRPr="00DF138E">
        <w:t xml:space="preserve">duties </w:t>
      </w:r>
      <w:r w:rsidR="00104A39" w:rsidRPr="00DF138E">
        <w:t>which</w:t>
      </w:r>
      <w:proofErr w:type="gramEnd"/>
      <w:r w:rsidR="00104A39" w:rsidRPr="00DF138E">
        <w:t xml:space="preserve"> </w:t>
      </w:r>
      <w:r w:rsidR="00C509BF" w:rsidRPr="00DF138E">
        <w:t xml:space="preserve">are </w:t>
      </w:r>
      <w:r w:rsidR="00104A39" w:rsidRPr="00DF138E">
        <w:t>ostensibly</w:t>
      </w:r>
      <w:r w:rsidR="000C4F99" w:rsidRPr="00DF138E">
        <w:t xml:space="preserve"> </w:t>
      </w:r>
      <w:r w:rsidR="00B07558" w:rsidRPr="00DF138E">
        <w:t>incumbent upon</w:t>
      </w:r>
      <w:r w:rsidR="00586EB1" w:rsidRPr="00DF138E">
        <w:t xml:space="preserve"> all types of guardians. </w:t>
      </w:r>
      <w:r w:rsidR="009158C8" w:rsidRPr="00DF138E">
        <w:t xml:space="preserve">The </w:t>
      </w:r>
      <w:r w:rsidR="00FE184A" w:rsidRPr="00DF138E">
        <w:t>A</w:t>
      </w:r>
      <w:r w:rsidR="009158C8" w:rsidRPr="00DF138E">
        <w:t xml:space="preserve">mendment specifies that a person’s wishes and </w:t>
      </w:r>
      <w:proofErr w:type="gramStart"/>
      <w:r w:rsidR="009158C8" w:rsidRPr="00DF138E">
        <w:t>not</w:t>
      </w:r>
      <w:proofErr w:type="gramEnd"/>
      <w:r w:rsidR="009158C8" w:rsidRPr="00DF138E">
        <w:t xml:space="preserve"> the “</w:t>
      </w:r>
      <w:proofErr w:type="gramStart"/>
      <w:r w:rsidR="009158C8" w:rsidRPr="00DF138E">
        <w:t>best</w:t>
      </w:r>
      <w:proofErr w:type="gramEnd"/>
      <w:r w:rsidR="009158C8" w:rsidRPr="00DF138E">
        <w:t xml:space="preserve"> interest” of the person must be the guiding principle of the guardian’s decision-making.</w:t>
      </w:r>
      <w:r w:rsidR="009158C8" w:rsidRPr="00DF138E">
        <w:rPr>
          <w:rStyle w:val="FootnoteReference"/>
        </w:rPr>
        <w:footnoteReference w:id="288"/>
      </w:r>
      <w:r w:rsidR="009158C8" w:rsidRPr="00DF138E">
        <w:t xml:space="preserve"> That said, when it is not possible to discern the person’s wishes, the “</w:t>
      </w:r>
      <w:r w:rsidR="009158C8" w:rsidRPr="00D03E63">
        <w:t xml:space="preserve">best interest” principle </w:t>
      </w:r>
      <w:proofErr w:type="gramStart"/>
      <w:r w:rsidR="009158C8" w:rsidRPr="00D03E63">
        <w:t>may be resorted</w:t>
      </w:r>
      <w:proofErr w:type="gramEnd"/>
      <w:r w:rsidR="009158C8" w:rsidRPr="00D03E63">
        <w:t xml:space="preserve"> to.</w:t>
      </w:r>
      <w:r w:rsidR="009158C8" w:rsidRPr="00D03E63">
        <w:rPr>
          <w:rStyle w:val="FootnoteReference"/>
        </w:rPr>
        <w:footnoteReference w:id="289"/>
      </w:r>
      <w:r w:rsidR="009158C8" w:rsidRPr="00D03E63">
        <w:t xml:space="preserve"> Finally, the Amendment lists other guiding principles for guardians’ actions, such as the guardian’s duty to supply the person with information, to uphold the person’s independence, to permit the person to make decisions about their own affairs, to take into consideration the changing capacity of the person and respect cultural issues.</w:t>
      </w:r>
      <w:r w:rsidR="009158C8" w:rsidRPr="00D03E63">
        <w:rPr>
          <w:rStyle w:val="FootnoteReference"/>
        </w:rPr>
        <w:footnoteReference w:id="290"/>
      </w:r>
      <w:r w:rsidR="001B5E5D" w:rsidRPr="00D03E63">
        <w:t xml:space="preserve"> Israeli law also entitles guardians to “</w:t>
      </w:r>
      <w:r w:rsidR="001A6B5C" w:rsidRPr="00D03E63">
        <w:t xml:space="preserve">do whatever is necessary to fulfill [their] duties,” </w:t>
      </w:r>
      <w:proofErr w:type="gramStart"/>
      <w:r w:rsidR="001A6B5C" w:rsidRPr="00D03E63">
        <w:t>and also</w:t>
      </w:r>
      <w:proofErr w:type="gramEnd"/>
      <w:r w:rsidR="001A6B5C" w:rsidRPr="00D03E63">
        <w:t xml:space="preserve"> </w:t>
      </w:r>
      <w:r w:rsidR="00A3051F" w:rsidRPr="00D03E63">
        <w:t>seems to</w:t>
      </w:r>
      <w:r w:rsidR="001A6B5C" w:rsidRPr="00D03E63">
        <w:t xml:space="preserve"> a</w:t>
      </w:r>
      <w:r w:rsidR="000C2776" w:rsidRPr="00D03E63">
        <w:t>llow</w:t>
      </w:r>
      <w:r w:rsidR="001A6B5C" w:rsidRPr="00D03E63">
        <w:t xml:space="preserve"> guardians to </w:t>
      </w:r>
      <w:r w:rsidR="00FF2A3B" w:rsidRPr="00D03E63">
        <w:t xml:space="preserve">assume </w:t>
      </w:r>
      <w:r w:rsidR="001A6B5C" w:rsidRPr="00D03E63">
        <w:t>represen</w:t>
      </w:r>
      <w:r w:rsidR="00FF2A3B" w:rsidRPr="00D03E63">
        <w:t>tative functions</w:t>
      </w:r>
      <w:r w:rsidR="001A6B5C" w:rsidRPr="00D03E63">
        <w:t>, with some exceptions.</w:t>
      </w:r>
      <w:r w:rsidR="00A73CE6" w:rsidRPr="00D03E63">
        <w:rPr>
          <w:rStyle w:val="FootnoteReference"/>
        </w:rPr>
        <w:footnoteReference w:id="291"/>
      </w:r>
      <w:r w:rsidR="00D404FA" w:rsidRPr="00D03E63">
        <w:t xml:space="preserve"> Guardians must submit annual reports on their activities </w:t>
      </w:r>
      <w:r w:rsidR="00B43D04" w:rsidRPr="00D03E63">
        <w:t>to the Guardian General</w:t>
      </w:r>
      <w:r w:rsidR="00B43D04">
        <w:t xml:space="preserve"> (a governmental agency).</w:t>
      </w:r>
      <w:r w:rsidR="00B43D04">
        <w:rPr>
          <w:rStyle w:val="FootnoteReference"/>
        </w:rPr>
        <w:footnoteReference w:id="292"/>
      </w:r>
    </w:p>
    <w:p w14:paraId="465EE43C" w14:textId="77777777" w:rsidR="00693AC5" w:rsidRPr="002A28E1" w:rsidRDefault="00693AC5" w:rsidP="009158C8"/>
    <w:p w14:paraId="2A4D3841" w14:textId="5CA1BB43" w:rsidR="00AC03C9" w:rsidRDefault="009158C8" w:rsidP="00AC03C9">
      <w:r w:rsidRPr="002A28E1">
        <w:lastRenderedPageBreak/>
        <w:t>The amended Israeli Guardianship Law is not completely compliant with Article 12 of the CRPD.</w:t>
      </w:r>
      <w:r w:rsidRPr="002A28E1">
        <w:rPr>
          <w:rStyle w:val="FootnoteReference"/>
        </w:rPr>
        <w:footnoteReference w:id="293"/>
      </w:r>
      <w:r w:rsidR="00AC03C9" w:rsidRPr="00AC03C9">
        <w:t xml:space="preserve"> </w:t>
      </w:r>
      <w:r w:rsidR="00AC03C9">
        <w:t>Firstly</w:t>
      </w:r>
      <w:r w:rsidR="00AC03C9" w:rsidRPr="002A28E1">
        <w:t>, the concept of legal incapacity still exist</w:t>
      </w:r>
      <w:r w:rsidR="00F316D7">
        <w:t>s</w:t>
      </w:r>
      <w:r w:rsidR="00AC03C9" w:rsidRPr="002A28E1">
        <w:t xml:space="preserve"> under Israeli law.</w:t>
      </w:r>
      <w:r w:rsidR="00AC03C9" w:rsidRPr="002A28E1">
        <w:rPr>
          <w:rStyle w:val="FootnoteReference"/>
        </w:rPr>
        <w:footnoteReference w:id="294"/>
      </w:r>
      <w:r w:rsidR="00AC03C9" w:rsidRPr="002A28E1">
        <w:t xml:space="preserve"> Israel’s law </w:t>
      </w:r>
      <w:r w:rsidR="00AC03C9">
        <w:t>would seem to allow for the denial of legal capacity based on the diagnosis of an impairment and a person’s decision-making skills,</w:t>
      </w:r>
      <w:bookmarkStart w:id="35" w:name="_Ref15893117"/>
      <w:r w:rsidR="0091246B">
        <w:rPr>
          <w:rStyle w:val="FootnoteReference"/>
        </w:rPr>
        <w:footnoteReference w:id="295"/>
      </w:r>
      <w:bookmarkEnd w:id="35"/>
      <w:r w:rsidR="00AC03C9">
        <w:t xml:space="preserve"> which is problematic from the point of view of Article 12.</w:t>
      </w:r>
      <w:r w:rsidR="00AC03C9">
        <w:rPr>
          <w:rStyle w:val="FootnoteReference"/>
        </w:rPr>
        <w:footnoteReference w:id="296"/>
      </w:r>
    </w:p>
    <w:p w14:paraId="71D69241" w14:textId="77777777" w:rsidR="00AC03C9" w:rsidRDefault="00AC03C9" w:rsidP="009158C8"/>
    <w:p w14:paraId="44D7C4CA" w14:textId="4A769ADF" w:rsidR="00AC03C9" w:rsidRPr="00A917AF" w:rsidRDefault="00CB75C3" w:rsidP="009158C8">
      <w:r w:rsidRPr="00D03E63">
        <w:t>The</w:t>
      </w:r>
      <w:r w:rsidR="00F46955" w:rsidRPr="00D03E63">
        <w:t xml:space="preserve"> institution of guardianship </w:t>
      </w:r>
      <w:proofErr w:type="gramStart"/>
      <w:r w:rsidR="00670598" w:rsidRPr="00D03E63">
        <w:t xml:space="preserve">has </w:t>
      </w:r>
      <w:r w:rsidR="003B136A" w:rsidRPr="00D03E63">
        <w:t xml:space="preserve">also </w:t>
      </w:r>
      <w:r w:rsidR="00670598" w:rsidRPr="00D03E63">
        <w:t>been</w:t>
      </w:r>
      <w:r w:rsidR="00F46955" w:rsidRPr="00D03E63">
        <w:t xml:space="preserve"> maintained</w:t>
      </w:r>
      <w:proofErr w:type="gramEnd"/>
      <w:r w:rsidR="00F46955" w:rsidRPr="00D03E63">
        <w:t xml:space="preserve">. </w:t>
      </w:r>
      <w:r w:rsidR="009158C8" w:rsidRPr="00D03E63">
        <w:t>Although</w:t>
      </w:r>
      <w:r w:rsidR="00614406" w:rsidRPr="00D03E63">
        <w:t xml:space="preserve"> </w:t>
      </w:r>
      <w:r w:rsidR="00244569" w:rsidRPr="00D03E63">
        <w:t xml:space="preserve">Israeli law provides for a type of guardianship in which persons are not </w:t>
      </w:r>
      <w:r w:rsidR="009158C8" w:rsidRPr="00D03E63">
        <w:t xml:space="preserve">stripped of </w:t>
      </w:r>
      <w:r w:rsidR="006F6BF6" w:rsidRPr="00D03E63">
        <w:t xml:space="preserve">their </w:t>
      </w:r>
      <w:r w:rsidR="009158C8" w:rsidRPr="00D03E63">
        <w:t>legal capacity,</w:t>
      </w:r>
      <w:r w:rsidR="00814590" w:rsidRPr="00D03E63">
        <w:rPr>
          <w:rStyle w:val="FootnoteReference"/>
        </w:rPr>
        <w:footnoteReference w:id="297"/>
      </w:r>
      <w:r w:rsidR="009158C8" w:rsidRPr="00D03E63">
        <w:t xml:space="preserve"> people in these situations </w:t>
      </w:r>
      <w:r w:rsidR="00C443B7" w:rsidRPr="00D03E63">
        <w:t>may</w:t>
      </w:r>
      <w:r w:rsidR="009158C8" w:rsidRPr="00D03E63">
        <w:t xml:space="preserve"> still having decisions made on their behalf,</w:t>
      </w:r>
      <w:r w:rsidR="00E9500D" w:rsidRPr="00D03E63">
        <w:rPr>
          <w:rStyle w:val="FootnoteReference"/>
        </w:rPr>
        <w:footnoteReference w:id="298"/>
      </w:r>
      <w:r w:rsidR="00A04530" w:rsidRPr="00D03E63">
        <w:t xml:space="preserve"> and potentially in their “best interest</w:t>
      </w:r>
      <w:r w:rsidR="002062E4" w:rsidRPr="00D03E63">
        <w:t>.</w:t>
      </w:r>
      <w:r w:rsidR="000811F9" w:rsidRPr="00D03E63">
        <w:t>”</w:t>
      </w:r>
      <w:r w:rsidR="002062E4" w:rsidRPr="00D03E63">
        <w:rPr>
          <w:rStyle w:val="FootnoteReference"/>
        </w:rPr>
        <w:footnoteReference w:id="299"/>
      </w:r>
      <w:r w:rsidR="00A04530" w:rsidRPr="00D03E63">
        <w:t xml:space="preserve"> Moreover, guardians </w:t>
      </w:r>
      <w:proofErr w:type="gramStart"/>
      <w:r w:rsidR="00A04530" w:rsidRPr="00D03E63">
        <w:t>are appointed</w:t>
      </w:r>
      <w:proofErr w:type="gramEnd"/>
      <w:r w:rsidR="00A04530" w:rsidRPr="00D03E63">
        <w:t xml:space="preserve"> by the court, possibly against the will of the person concerned</w:t>
      </w:r>
      <w:r w:rsidR="00A04530">
        <w:t>.</w:t>
      </w:r>
      <w:r w:rsidR="00B550A2">
        <w:rPr>
          <w:rStyle w:val="FootnoteReference"/>
        </w:rPr>
        <w:footnoteReference w:id="300"/>
      </w:r>
      <w:r w:rsidR="00A04530">
        <w:t xml:space="preserve"> Thus, the guardianship model contemplated under the Amendment </w:t>
      </w:r>
      <w:r w:rsidR="00F24E75">
        <w:t>incorporates</w:t>
      </w:r>
      <w:r w:rsidR="009A1A0E">
        <w:t xml:space="preserve"> </w:t>
      </w:r>
      <w:r w:rsidR="009158C8" w:rsidRPr="002A28E1">
        <w:t>critical feature</w:t>
      </w:r>
      <w:r w:rsidR="00F24E75">
        <w:t>s</w:t>
      </w:r>
      <w:r w:rsidR="009158C8" w:rsidRPr="002A28E1">
        <w:t xml:space="preserve"> of substituted decision-making measures condemned by Article 12.</w:t>
      </w:r>
      <w:r w:rsidR="009158C8" w:rsidRPr="002A28E1">
        <w:rPr>
          <w:rStyle w:val="FootnoteReference"/>
        </w:rPr>
        <w:footnoteReference w:id="301"/>
      </w:r>
    </w:p>
    <w:p w14:paraId="62BFB5FC" w14:textId="77777777" w:rsidR="009158C8" w:rsidRPr="002A28E1" w:rsidRDefault="009158C8" w:rsidP="009158C8"/>
    <w:p w14:paraId="0099FFF3" w14:textId="375A28F7" w:rsidR="006337CB" w:rsidRDefault="009158C8" w:rsidP="009158C8">
      <w:r w:rsidRPr="002A28E1">
        <w:t>Nevertheless, the new Israeli law does provide for supported decision-making measures, which undoubtedly constitutes a positive step towards compliance with Article 12. That said</w:t>
      </w:r>
      <w:proofErr w:type="gramStart"/>
      <w:r w:rsidRPr="002A28E1">
        <w:t>,</w:t>
      </w:r>
      <w:proofErr w:type="gramEnd"/>
      <w:r w:rsidRPr="002A28E1">
        <w:t xml:space="preserve"> </w:t>
      </w:r>
      <w:r w:rsidR="004A3A21">
        <w:t>the Israeli legislative scheme does not seem to make supported decision-making available</w:t>
      </w:r>
      <w:r w:rsidR="00D31F01">
        <w:t xml:space="preserve"> to all persons with disabilities</w:t>
      </w:r>
      <w:r w:rsidR="00A25980">
        <w:t xml:space="preserve"> as the court will only appoint a supporter</w:t>
      </w:r>
      <w:r w:rsidR="00E45DB8">
        <w:t xml:space="preserve"> </w:t>
      </w:r>
      <w:r w:rsidR="00480326">
        <w:t xml:space="preserve">in cases where it is deemed that </w:t>
      </w:r>
      <w:r w:rsidR="00840BAD">
        <w:t>with assistance, the</w:t>
      </w:r>
      <w:r w:rsidR="00480326">
        <w:t xml:space="preserve"> person </w:t>
      </w:r>
      <w:r w:rsidR="00D01912">
        <w:t>would</w:t>
      </w:r>
      <w:r w:rsidR="003D571B">
        <w:t xml:space="preserve"> be</w:t>
      </w:r>
      <w:r w:rsidR="00480326">
        <w:t xml:space="preserve"> able to make their own decisions</w:t>
      </w:r>
      <w:r w:rsidR="006337CB">
        <w:t>.</w:t>
      </w:r>
      <w:r w:rsidR="00D46656">
        <w:rPr>
          <w:rStyle w:val="FootnoteReference"/>
        </w:rPr>
        <w:footnoteReference w:id="302"/>
      </w:r>
      <w:r w:rsidR="006337CB">
        <w:t xml:space="preserve"> Thus, the provision of support in Israel is presumably contingent on </w:t>
      </w:r>
      <w:r w:rsidR="005F1B8E">
        <w:t xml:space="preserve">attaining a perceived </w:t>
      </w:r>
      <w:r w:rsidR="00861290">
        <w:t>degree</w:t>
      </w:r>
      <w:r w:rsidR="005F1B8E">
        <w:t xml:space="preserve"> of mental capacity</w:t>
      </w:r>
      <w:r w:rsidR="007342A3">
        <w:t>, and this is problematic from the point of view of Article 12.</w:t>
      </w:r>
      <w:r w:rsidR="00A92F24">
        <w:rPr>
          <w:rStyle w:val="FootnoteReference"/>
        </w:rPr>
        <w:footnoteReference w:id="303"/>
      </w:r>
    </w:p>
    <w:p w14:paraId="338C65FE" w14:textId="77777777" w:rsidR="006337CB" w:rsidRDefault="006337CB" w:rsidP="009158C8"/>
    <w:p w14:paraId="6FB572EA" w14:textId="05D204D0" w:rsidR="009158C8" w:rsidRPr="002A28E1" w:rsidRDefault="009B25E3" w:rsidP="009158C8">
      <w:r>
        <w:t>Furthermore</w:t>
      </w:r>
      <w:r w:rsidR="007342A3">
        <w:t>,</w:t>
      </w:r>
      <w:r w:rsidR="004A3A21">
        <w:t xml:space="preserve"> </w:t>
      </w:r>
      <w:r w:rsidR="009158C8" w:rsidRPr="002A28E1">
        <w:t xml:space="preserve">the Israeli law may be deficient in safeguards present in its supported decision-making system. </w:t>
      </w:r>
      <w:r w:rsidR="00CC74B8" w:rsidRPr="002A28E1">
        <w:t>For instance, the law does not stipulate requirements for being a supporter</w:t>
      </w:r>
      <w:r w:rsidR="008F15C7" w:rsidRPr="002A28E1">
        <w:t>.</w:t>
      </w:r>
      <w:r w:rsidR="00910AAB" w:rsidRPr="002A28E1">
        <w:t xml:space="preserve"> </w:t>
      </w:r>
      <w:r w:rsidR="008F15C7" w:rsidRPr="002A28E1">
        <w:t>I</w:t>
      </w:r>
      <w:r w:rsidR="00910AAB" w:rsidRPr="002A28E1">
        <w:t>t</w:t>
      </w:r>
      <w:r w:rsidR="008F15C7" w:rsidRPr="002A28E1">
        <w:t xml:space="preserve"> also</w:t>
      </w:r>
      <w:r w:rsidR="00910AAB" w:rsidRPr="002A28E1">
        <w:t xml:space="preserve"> appears that supporters could potentially be imposed against someone’s will</w:t>
      </w:r>
      <w:r w:rsidR="00694429" w:rsidRPr="002A28E1">
        <w:t xml:space="preserve">, as it is merely stated that </w:t>
      </w:r>
      <w:r w:rsidR="00D472F6" w:rsidRPr="002A28E1">
        <w:t>suppo</w:t>
      </w:r>
      <w:r w:rsidR="009878A9" w:rsidRPr="002A28E1">
        <w:t>r</w:t>
      </w:r>
      <w:r w:rsidR="00D472F6" w:rsidRPr="002A28E1">
        <w:t>ters</w:t>
      </w:r>
      <w:r w:rsidR="00694429" w:rsidRPr="002A28E1">
        <w:t xml:space="preserve"> are appointed by the court</w:t>
      </w:r>
      <w:r w:rsidR="00C22CF1" w:rsidRPr="002A28E1">
        <w:t xml:space="preserve">, with no provisions </w:t>
      </w:r>
      <w:r w:rsidR="003E24AB" w:rsidRPr="002A28E1">
        <w:t xml:space="preserve">ensuring priority is given to a person’s </w:t>
      </w:r>
      <w:r w:rsidR="003A265E" w:rsidRPr="002A28E1">
        <w:t>preference regarding the identity of the</w:t>
      </w:r>
      <w:r w:rsidR="003E24AB" w:rsidRPr="002A28E1">
        <w:t xml:space="preserve"> support person</w:t>
      </w:r>
      <w:r w:rsidR="00E32B38" w:rsidRPr="002A28E1">
        <w:t>.</w:t>
      </w:r>
      <w:r w:rsidR="00CC74B8" w:rsidRPr="002A28E1">
        <w:t xml:space="preserve"> </w:t>
      </w:r>
      <w:r w:rsidR="00E32B38" w:rsidRPr="002A28E1">
        <w:t>Additionally</w:t>
      </w:r>
      <w:r w:rsidR="009158C8" w:rsidRPr="002A28E1">
        <w:t>, the Amendment does not address how to guard against the possibility of risk or harms to the person by the decision-making supporter.</w:t>
      </w:r>
      <w:r w:rsidR="00773A3A">
        <w:rPr>
          <w:rStyle w:val="FootnoteReference"/>
        </w:rPr>
        <w:footnoteReference w:id="304"/>
      </w:r>
      <w:r w:rsidR="009158C8" w:rsidRPr="002A28E1">
        <w:t xml:space="preserve"> There do not seem to be provisions for monitoring the supporter or for ensuring that their actions conform to the will and preferences of the supported person.</w:t>
      </w:r>
      <w:r w:rsidR="00B53693" w:rsidRPr="002A28E1">
        <w:t xml:space="preserve"> The law does provide that the Minister of Justice may adopt further provisions regarding the “functions and powers of a decision</w:t>
      </w:r>
      <w:r w:rsidR="002E607B">
        <w:t>-</w:t>
      </w:r>
      <w:r w:rsidR="00B53693" w:rsidRPr="002A28E1">
        <w:t>making supporter.”</w:t>
      </w:r>
      <w:r w:rsidR="00B53693" w:rsidRPr="002A28E1">
        <w:rPr>
          <w:rStyle w:val="FootnoteReference"/>
        </w:rPr>
        <w:footnoteReference w:id="305"/>
      </w:r>
    </w:p>
    <w:p w14:paraId="1F066A34" w14:textId="688A0153" w:rsidR="009158C8" w:rsidRPr="002A28E1" w:rsidRDefault="009158C8" w:rsidP="009158C8"/>
    <w:p w14:paraId="75F56ABC" w14:textId="16A937E3" w:rsidR="008D6A0C" w:rsidRPr="002A28E1" w:rsidRDefault="003D7343" w:rsidP="009158C8">
      <w:r w:rsidRPr="002A28E1">
        <w:lastRenderedPageBreak/>
        <w:t>Finally, t</w:t>
      </w:r>
      <w:r w:rsidR="00972D46" w:rsidRPr="002A28E1">
        <w:t xml:space="preserve">he institution of “enduring powers of attorney” provided for in Israel’s amended legislation </w:t>
      </w:r>
      <w:r w:rsidR="00165F40" w:rsidRPr="002A28E1">
        <w:t xml:space="preserve">may not constitute a genuine form of supported decision-making in line with Article 12. </w:t>
      </w:r>
      <w:r w:rsidR="003A643D" w:rsidRPr="002A28E1">
        <w:t xml:space="preserve">It </w:t>
      </w:r>
      <w:r w:rsidR="00AD0636" w:rsidRPr="002A28E1">
        <w:t>encapsulates features of substitute decision-making, as it empowers appointees to make decisions on behalf</w:t>
      </w:r>
      <w:r w:rsidR="0065477B" w:rsidRPr="002A28E1">
        <w:t xml:space="preserve"> of persons with disabilities.</w:t>
      </w:r>
      <w:r w:rsidR="000114D0" w:rsidRPr="002A28E1">
        <w:t xml:space="preserve"> The entry into force of enduring powers of attorney in Israel also hinges on a finding that persons are no longer able to understand the matter covered by the enduring power of attorney.</w:t>
      </w:r>
      <w:r w:rsidR="000114D0" w:rsidRPr="002A28E1">
        <w:rPr>
          <w:rStyle w:val="FootnoteReference"/>
        </w:rPr>
        <w:footnoteReference w:id="306"/>
      </w:r>
      <w:r w:rsidR="00797058" w:rsidRPr="002A28E1">
        <w:t xml:space="preserve"> The </w:t>
      </w:r>
      <w:r w:rsidR="00C91847">
        <w:t>Committee on</w:t>
      </w:r>
      <w:r w:rsidR="002E39D3">
        <w:t xml:space="preserve"> the</w:t>
      </w:r>
      <w:r w:rsidR="00797058" w:rsidRPr="002A28E1">
        <w:t xml:space="preserve"> </w:t>
      </w:r>
      <w:r w:rsidR="00166094">
        <w:t>R</w:t>
      </w:r>
      <w:r w:rsidR="00797058" w:rsidRPr="002A28E1">
        <w:t xml:space="preserve">ights of </w:t>
      </w:r>
      <w:r w:rsidR="00166094">
        <w:t>P</w:t>
      </w:r>
      <w:r w:rsidR="00797058" w:rsidRPr="002A28E1">
        <w:t xml:space="preserve">ersons with </w:t>
      </w:r>
      <w:r w:rsidR="00166094">
        <w:t>D</w:t>
      </w:r>
      <w:r w:rsidR="00797058" w:rsidRPr="002A28E1">
        <w:t>isabilities has emphasized that the affected person should determine the point at which advance directives enter into force.</w:t>
      </w:r>
      <w:r w:rsidR="00AD17B2" w:rsidRPr="002A28E1">
        <w:rPr>
          <w:rStyle w:val="FootnoteReference"/>
        </w:rPr>
        <w:footnoteReference w:id="307"/>
      </w:r>
      <w:r w:rsidR="008D6A0C" w:rsidRPr="002A28E1">
        <w:t xml:space="preserve"> </w:t>
      </w:r>
    </w:p>
    <w:p w14:paraId="11254E1D" w14:textId="77777777" w:rsidR="006214A1" w:rsidRPr="002A28E1" w:rsidRDefault="006214A1" w:rsidP="009158C8"/>
    <w:p w14:paraId="1161B528" w14:textId="28C4A916" w:rsidR="00910AAB" w:rsidRPr="002A28E1" w:rsidRDefault="008D6A0C" w:rsidP="009158C8">
      <w:r w:rsidRPr="002A28E1">
        <w:t>In sum, although Israel</w:t>
      </w:r>
      <w:r w:rsidR="00655A1F" w:rsidRPr="002A28E1">
        <w:t xml:space="preserve"> has</w:t>
      </w:r>
      <w:r w:rsidRPr="002A28E1">
        <w:t xml:space="preserve"> lega</w:t>
      </w:r>
      <w:r w:rsidR="00655A1F" w:rsidRPr="002A28E1">
        <w:t>l</w:t>
      </w:r>
      <w:r w:rsidRPr="002A28E1">
        <w:t>l</w:t>
      </w:r>
      <w:r w:rsidR="00655A1F" w:rsidRPr="002A28E1">
        <w:t>y</w:t>
      </w:r>
      <w:r w:rsidRPr="002A28E1">
        <w:t xml:space="preserve"> recogni</w:t>
      </w:r>
      <w:r w:rsidR="00C253AB" w:rsidRPr="002A28E1">
        <w:t>zed</w:t>
      </w:r>
      <w:r w:rsidRPr="002A28E1">
        <w:t xml:space="preserve"> supported decision-making</w:t>
      </w:r>
      <w:r w:rsidR="004B5CCE" w:rsidRPr="002A28E1">
        <w:t xml:space="preserve">, its reform falls short </w:t>
      </w:r>
      <w:r w:rsidR="00495ED3" w:rsidRPr="002A28E1">
        <w:t xml:space="preserve">of securing a comprehensive system of supported decision-making that </w:t>
      </w:r>
      <w:r w:rsidR="00CB51D5">
        <w:t>is</w:t>
      </w:r>
      <w:r w:rsidR="00495ED3" w:rsidRPr="002A28E1">
        <w:t xml:space="preserve"> equipped with the appropriate safeguards.</w:t>
      </w:r>
      <w:r w:rsidR="00084603" w:rsidRPr="002A28E1">
        <w:t xml:space="preserve"> The </w:t>
      </w:r>
      <w:r w:rsidR="00C308A2" w:rsidRPr="002A28E1">
        <w:t>maintenance</w:t>
      </w:r>
      <w:r w:rsidR="00084603" w:rsidRPr="002A28E1">
        <w:t xml:space="preserve"> of the</w:t>
      </w:r>
      <w:r w:rsidR="00C308A2" w:rsidRPr="002A28E1">
        <w:t xml:space="preserve"> </w:t>
      </w:r>
      <w:r w:rsidR="00B51F25" w:rsidRPr="002A28E1">
        <w:t>guardianship</w:t>
      </w:r>
      <w:r w:rsidR="00084603" w:rsidRPr="002A28E1">
        <w:t xml:space="preserve"> regime is also problematic from the perspective of Article 12.</w:t>
      </w:r>
    </w:p>
    <w:p w14:paraId="371AEB93" w14:textId="27A9DD83" w:rsidR="0079310E" w:rsidRPr="002A28E1" w:rsidRDefault="009158C8">
      <w:r w:rsidRPr="002A28E1">
        <w:br w:type="page"/>
      </w:r>
    </w:p>
    <w:p w14:paraId="344ED1D7" w14:textId="42685FDA" w:rsidR="005722BB" w:rsidRPr="002A28E1" w:rsidRDefault="00B63214" w:rsidP="003F053E">
      <w:pPr>
        <w:pStyle w:val="Heading1"/>
      </w:pPr>
      <w:bookmarkStart w:id="36" w:name="_Toc16081757"/>
      <w:r w:rsidRPr="00B042EB">
        <w:lastRenderedPageBreak/>
        <w:t>Georgia</w:t>
      </w:r>
      <w:bookmarkEnd w:id="36"/>
    </w:p>
    <w:p w14:paraId="0A0D7D35" w14:textId="4D5842BA" w:rsidR="00BF6427" w:rsidRPr="002A28E1" w:rsidRDefault="003278BB">
      <w:r w:rsidRPr="002A28E1">
        <w:t xml:space="preserve">In 2015, </w:t>
      </w:r>
      <w:r w:rsidR="00BF6427" w:rsidRPr="002A28E1">
        <w:t>Georgia</w:t>
      </w:r>
      <w:r w:rsidR="00937555" w:rsidRPr="002A28E1">
        <w:t xml:space="preserve"> enacted a comprehensive reform to its laws </w:t>
      </w:r>
      <w:r w:rsidRPr="002A28E1">
        <w:t xml:space="preserve">on legal capacity, </w:t>
      </w:r>
      <w:r w:rsidR="00D739D5" w:rsidRPr="002A28E1">
        <w:t>allowing for</w:t>
      </w:r>
      <w:r w:rsidRPr="002A28E1">
        <w:t xml:space="preserve"> </w:t>
      </w:r>
      <w:r w:rsidR="004A2E98" w:rsidRPr="00AF4AFF">
        <w:t xml:space="preserve">court-appointed </w:t>
      </w:r>
      <w:r w:rsidRPr="00AF4AFF">
        <w:t>supported decision-making</w:t>
      </w:r>
      <w:r w:rsidR="00981AC0" w:rsidRPr="00AF4AFF">
        <w:t xml:space="preserve"> </w:t>
      </w:r>
      <w:r w:rsidR="00D739D5" w:rsidRPr="00AF4AFF">
        <w:t>arrangements</w:t>
      </w:r>
      <w:r w:rsidR="001F656F" w:rsidRPr="00AF4AFF">
        <w:t xml:space="preserve">, </w:t>
      </w:r>
      <w:r w:rsidR="00C82593" w:rsidRPr="00AF4AFF">
        <w:t xml:space="preserve">all the </w:t>
      </w:r>
      <w:r w:rsidR="001F656F" w:rsidRPr="00AF4AFF">
        <w:t xml:space="preserve">while retaining </w:t>
      </w:r>
      <w:r w:rsidR="00014210" w:rsidRPr="00AF4AFF">
        <w:t>substituted decision-making</w:t>
      </w:r>
      <w:r w:rsidR="005903A3" w:rsidRPr="00AF4AFF">
        <w:t>.</w:t>
      </w:r>
      <w:bookmarkStart w:id="37" w:name="_Ref15299070"/>
      <w:r w:rsidR="00FB2A19" w:rsidRPr="00AF4AFF">
        <w:rPr>
          <w:rStyle w:val="FootnoteReference"/>
        </w:rPr>
        <w:footnoteReference w:id="308"/>
      </w:r>
      <w:bookmarkEnd w:id="37"/>
    </w:p>
    <w:p w14:paraId="2558A734" w14:textId="77777777" w:rsidR="00DA31E8" w:rsidRPr="002A28E1" w:rsidRDefault="00DA31E8"/>
    <w:p w14:paraId="0EBC2684" w14:textId="4610E5DB" w:rsidR="001D3FB4" w:rsidRPr="002A28E1" w:rsidRDefault="005722BB">
      <w:r w:rsidRPr="002A28E1">
        <w:t>Georgia</w:t>
      </w:r>
      <w:r w:rsidR="00FC7453" w:rsidRPr="002A28E1">
        <w:t xml:space="preserve"> ratified the CRPD </w:t>
      </w:r>
      <w:r w:rsidR="00A84C2E" w:rsidRPr="002A28E1">
        <w:t>in 2013.</w:t>
      </w:r>
      <w:r w:rsidR="006143D2">
        <w:rPr>
          <w:rStyle w:val="FootnoteReference"/>
        </w:rPr>
        <w:footnoteReference w:id="309"/>
      </w:r>
      <w:r w:rsidR="00AB54F6" w:rsidRPr="002A28E1">
        <w:t xml:space="preserve"> </w:t>
      </w:r>
      <w:r w:rsidR="00053345" w:rsidRPr="002A28E1">
        <w:t xml:space="preserve">Prior to </w:t>
      </w:r>
      <w:r w:rsidR="00DA2088" w:rsidRPr="002A28E1">
        <w:t xml:space="preserve">April 2015, </w:t>
      </w:r>
      <w:r w:rsidR="00095857" w:rsidRPr="002A28E1">
        <w:t xml:space="preserve">the Georgian Civil Code </w:t>
      </w:r>
      <w:r w:rsidR="00225EBB" w:rsidRPr="002A28E1">
        <w:t xml:space="preserve">listed “mental retardation” and “mental illness” </w:t>
      </w:r>
      <w:r w:rsidR="002D4A58" w:rsidRPr="002A28E1">
        <w:t xml:space="preserve">as </w:t>
      </w:r>
      <w:r w:rsidR="00AD34E6" w:rsidRPr="002A28E1">
        <w:t>justifications</w:t>
      </w:r>
      <w:r w:rsidR="00626B28" w:rsidRPr="002A28E1">
        <w:t xml:space="preserve"> </w:t>
      </w:r>
      <w:r w:rsidR="003D1AAA">
        <w:t xml:space="preserve">that a court could use in order to declare </w:t>
      </w:r>
      <w:r w:rsidR="00207114" w:rsidRPr="002A28E1">
        <w:t xml:space="preserve">a person to be without </w:t>
      </w:r>
      <w:r w:rsidR="00217DBF" w:rsidRPr="002A28E1">
        <w:t>legal capacity.</w:t>
      </w:r>
      <w:bookmarkStart w:id="38" w:name="_Ref15299241"/>
      <w:r w:rsidR="00C51BE4">
        <w:rPr>
          <w:rStyle w:val="FootnoteReference"/>
        </w:rPr>
        <w:footnoteReference w:id="310"/>
      </w:r>
      <w:bookmarkEnd w:id="38"/>
      <w:r w:rsidR="00217DBF" w:rsidRPr="002A28E1">
        <w:t xml:space="preserve"> </w:t>
      </w:r>
      <w:r w:rsidR="006F5FD8">
        <w:t>Following a court declaration of legal incapacity,</w:t>
      </w:r>
      <w:r w:rsidR="0082233A" w:rsidRPr="002A28E1">
        <w:t xml:space="preserve"> </w:t>
      </w:r>
      <w:r w:rsidR="008418D0">
        <w:t xml:space="preserve">a </w:t>
      </w:r>
      <w:r w:rsidR="007C2E38" w:rsidRPr="002A28E1">
        <w:t xml:space="preserve">guardianship and </w:t>
      </w:r>
      <w:r w:rsidR="008418D0">
        <w:t>custodianship authority</w:t>
      </w:r>
      <w:r w:rsidR="0029791B" w:rsidRPr="002A28E1">
        <w:t xml:space="preserve"> </w:t>
      </w:r>
      <w:r w:rsidR="00B708DF">
        <w:t>(</w:t>
      </w:r>
      <w:r w:rsidR="0029791B" w:rsidRPr="002A28E1">
        <w:t>bod</w:t>
      </w:r>
      <w:r w:rsidR="00B708DF">
        <w:t>ies</w:t>
      </w:r>
      <w:r w:rsidR="0029791B" w:rsidRPr="002A28E1">
        <w:t xml:space="preserve"> </w:t>
      </w:r>
      <w:r w:rsidR="00862D63" w:rsidRPr="002A28E1">
        <w:t>under the</w:t>
      </w:r>
      <w:r w:rsidR="004B1957" w:rsidRPr="002A28E1">
        <w:t xml:space="preserve"> purview</w:t>
      </w:r>
      <w:r w:rsidR="00BA5EB7" w:rsidRPr="002A28E1">
        <w:t xml:space="preserve"> of</w:t>
      </w:r>
      <w:r w:rsidR="00AB35F5" w:rsidRPr="002A28E1">
        <w:t xml:space="preserve"> the</w:t>
      </w:r>
      <w:r w:rsidR="00862D63" w:rsidRPr="002A28E1">
        <w:t xml:space="preserve"> Ministry of Labour, Health and Social Affairs)</w:t>
      </w:r>
      <w:r w:rsidR="007C2E38" w:rsidRPr="002A28E1">
        <w:t xml:space="preserve"> </w:t>
      </w:r>
      <w:r w:rsidR="00D8474D" w:rsidRPr="002A28E1">
        <w:t xml:space="preserve">appointed </w:t>
      </w:r>
      <w:r w:rsidR="00DE3C67" w:rsidRPr="002A28E1">
        <w:t>a guardian to those persons deemed legally incapable</w:t>
      </w:r>
      <w:r w:rsidR="00D404BE" w:rsidRPr="006167B0">
        <w:t>.</w:t>
      </w:r>
      <w:bookmarkStart w:id="39" w:name="_Ref15299052"/>
      <w:r w:rsidR="00F36EDC" w:rsidRPr="006167B0">
        <w:rPr>
          <w:rStyle w:val="FootnoteReference"/>
        </w:rPr>
        <w:footnoteReference w:id="311"/>
      </w:r>
      <w:bookmarkEnd w:id="39"/>
    </w:p>
    <w:p w14:paraId="5806CC78" w14:textId="1DB39DDF" w:rsidR="005722BB" w:rsidRPr="002A28E1" w:rsidRDefault="00CA1C41">
      <w:r w:rsidRPr="002A28E1">
        <w:t xml:space="preserve"> </w:t>
      </w:r>
    </w:p>
    <w:p w14:paraId="611D0056" w14:textId="49A1618A" w:rsidR="002C2832" w:rsidRPr="002A28E1" w:rsidRDefault="00BE0A78">
      <w:r w:rsidRPr="002A28E1">
        <w:t>Georgia</w:t>
      </w:r>
      <w:r w:rsidR="00153688" w:rsidRPr="002A28E1">
        <w:t>’s legislation</w:t>
      </w:r>
      <w:r w:rsidRPr="002A28E1">
        <w:t xml:space="preserve"> pertaining to legal capacity</w:t>
      </w:r>
      <w:r w:rsidR="00FE38C1" w:rsidRPr="002A28E1">
        <w:t xml:space="preserve"> </w:t>
      </w:r>
      <w:proofErr w:type="gramStart"/>
      <w:r w:rsidR="00FE38C1" w:rsidRPr="002A28E1">
        <w:t>has</w:t>
      </w:r>
      <w:r w:rsidR="00FB3661" w:rsidRPr="002A28E1">
        <w:t xml:space="preserve"> </w:t>
      </w:r>
      <w:r w:rsidR="00723841" w:rsidRPr="002A28E1">
        <w:t>been reformed</w:t>
      </w:r>
      <w:proofErr w:type="gramEnd"/>
      <w:r w:rsidR="002839E0" w:rsidRPr="002A28E1">
        <w:t xml:space="preserve"> </w:t>
      </w:r>
      <w:r w:rsidR="006F6CF8" w:rsidRPr="002A28E1">
        <w:t xml:space="preserve">in the </w:t>
      </w:r>
      <w:r w:rsidR="00D002AC" w:rsidRPr="002A28E1">
        <w:t xml:space="preserve">wake of </w:t>
      </w:r>
      <w:r w:rsidR="0031467E" w:rsidRPr="002A28E1">
        <w:t xml:space="preserve">a 2014 decision </w:t>
      </w:r>
      <w:r w:rsidR="00722224" w:rsidRPr="002A28E1">
        <w:t xml:space="preserve">rendered by the </w:t>
      </w:r>
      <w:r w:rsidR="003118F4" w:rsidRPr="002A28E1">
        <w:t>Constitutional Court of Georgia.</w:t>
      </w:r>
      <w:r w:rsidR="005917C4" w:rsidRPr="002A28E1">
        <w:rPr>
          <w:rStyle w:val="FootnoteReference"/>
        </w:rPr>
        <w:footnoteReference w:id="312"/>
      </w:r>
      <w:r w:rsidR="00470C19" w:rsidRPr="002A28E1">
        <w:t xml:space="preserve"> </w:t>
      </w:r>
      <w:r w:rsidR="00687C4B" w:rsidRPr="002A28E1">
        <w:t xml:space="preserve">This case </w:t>
      </w:r>
      <w:proofErr w:type="gramStart"/>
      <w:r w:rsidR="00687C4B" w:rsidRPr="002A28E1">
        <w:t>was brought</w:t>
      </w:r>
      <w:proofErr w:type="gramEnd"/>
      <w:r w:rsidR="00687C4B" w:rsidRPr="002A28E1">
        <w:t xml:space="preserve"> by a non-governmental organization called the Georgian Young Lawyers’ Association on behalf of Georgian citizens </w:t>
      </w:r>
      <w:proofErr w:type="spellStart"/>
      <w:r w:rsidR="00687C4B" w:rsidRPr="002A28E1">
        <w:t>Irakli</w:t>
      </w:r>
      <w:proofErr w:type="spellEnd"/>
      <w:r w:rsidR="00687C4B" w:rsidRPr="002A28E1">
        <w:t xml:space="preserve"> </w:t>
      </w:r>
      <w:proofErr w:type="spellStart"/>
      <w:r w:rsidR="00687C4B" w:rsidRPr="002A28E1">
        <w:t>Kemoklidze</w:t>
      </w:r>
      <w:proofErr w:type="spellEnd"/>
      <w:r w:rsidR="00687C4B" w:rsidRPr="002A28E1">
        <w:t xml:space="preserve"> and David </w:t>
      </w:r>
      <w:proofErr w:type="spellStart"/>
      <w:r w:rsidR="00687C4B" w:rsidRPr="002A28E1">
        <w:t>Kharadze</w:t>
      </w:r>
      <w:proofErr w:type="spellEnd"/>
      <w:r w:rsidR="00687C4B" w:rsidRPr="002A28E1">
        <w:t xml:space="preserve">. </w:t>
      </w:r>
      <w:r w:rsidR="00BD12B6" w:rsidRPr="002A28E1">
        <w:t xml:space="preserve">Their </w:t>
      </w:r>
      <w:r w:rsidR="007C6790" w:rsidRPr="002A28E1">
        <w:t>lawsuit</w:t>
      </w:r>
      <w:r w:rsidR="00BD12B6" w:rsidRPr="002A28E1">
        <w:t xml:space="preserve"> challenged the constitutionality of several legislative provisions in Georgian civil </w:t>
      </w:r>
      <w:proofErr w:type="gramStart"/>
      <w:r w:rsidR="00BD12B6" w:rsidRPr="002A28E1">
        <w:t>law which</w:t>
      </w:r>
      <w:proofErr w:type="gramEnd"/>
      <w:r w:rsidR="00BD12B6" w:rsidRPr="002A28E1">
        <w:t xml:space="preserve"> </w:t>
      </w:r>
      <w:r w:rsidR="00247AB7" w:rsidRPr="002A28E1">
        <w:t>curtailed</w:t>
      </w:r>
      <w:r w:rsidR="00BD12B6" w:rsidRPr="002A28E1">
        <w:t xml:space="preserve"> the rights of persons with disabilities.</w:t>
      </w:r>
      <w:r w:rsidR="00B12C19" w:rsidRPr="002A28E1">
        <w:t xml:space="preserve"> </w:t>
      </w:r>
      <w:r w:rsidR="00BD72A5" w:rsidRPr="002A28E1">
        <w:t xml:space="preserve">The </w:t>
      </w:r>
      <w:r w:rsidR="00AA6775" w:rsidRPr="002A28E1">
        <w:t>case</w:t>
      </w:r>
      <w:r w:rsidR="00BD72A5" w:rsidRPr="002A28E1">
        <w:t xml:space="preserve"> </w:t>
      </w:r>
      <w:proofErr w:type="gramStart"/>
      <w:r w:rsidR="00BD72A5" w:rsidRPr="002A28E1">
        <w:t>was funded</w:t>
      </w:r>
      <w:proofErr w:type="gramEnd"/>
      <w:r w:rsidR="00BD72A5" w:rsidRPr="002A28E1">
        <w:t xml:space="preserve"> </w:t>
      </w:r>
      <w:r w:rsidR="00541F99" w:rsidRPr="002A28E1">
        <w:t xml:space="preserve">through the East-West Management Institute’s </w:t>
      </w:r>
      <w:r w:rsidR="00FB6B6F" w:rsidRPr="002A28E1">
        <w:t>Judi</w:t>
      </w:r>
      <w:r w:rsidR="002F1593" w:rsidRPr="002A28E1">
        <w:t>cia</w:t>
      </w:r>
      <w:r w:rsidR="00FB6B6F" w:rsidRPr="002A28E1">
        <w:t>l Independence and Legal Empowerment Project.</w:t>
      </w:r>
      <w:bookmarkStart w:id="40" w:name="_Ref15828213"/>
      <w:r w:rsidR="00B47A26">
        <w:rPr>
          <w:rStyle w:val="FootnoteReference"/>
        </w:rPr>
        <w:footnoteReference w:id="313"/>
      </w:r>
      <w:bookmarkEnd w:id="40"/>
      <w:r w:rsidR="00FB6B6F" w:rsidRPr="002A28E1">
        <w:t xml:space="preserve"> </w:t>
      </w:r>
      <w:r w:rsidR="005E0828" w:rsidRPr="002A28E1">
        <w:t xml:space="preserve">In a landmark decision, the </w:t>
      </w:r>
      <w:r w:rsidR="006734D7" w:rsidRPr="002A28E1">
        <w:t xml:space="preserve">Constitutional </w:t>
      </w:r>
      <w:r w:rsidR="005E0828" w:rsidRPr="002A28E1">
        <w:t xml:space="preserve">Court </w:t>
      </w:r>
      <w:r w:rsidR="00BF3866" w:rsidRPr="002A28E1">
        <w:t xml:space="preserve">ruled that </w:t>
      </w:r>
      <w:r w:rsidR="00A71DFA" w:rsidRPr="002A28E1">
        <w:t xml:space="preserve">the right to legal capacity </w:t>
      </w:r>
      <w:r w:rsidR="006277DC" w:rsidRPr="002A28E1">
        <w:t>was protected by</w:t>
      </w:r>
      <w:r w:rsidR="008B70B9" w:rsidRPr="002A28E1">
        <w:t xml:space="preserve"> Article 14 of the </w:t>
      </w:r>
      <w:r w:rsidR="00BC0BEC" w:rsidRPr="002A28E1">
        <w:t xml:space="preserve">Georgian </w:t>
      </w:r>
      <w:r w:rsidR="008B70B9" w:rsidRPr="002A28E1">
        <w:t xml:space="preserve">Constitution (the equality clause) </w:t>
      </w:r>
      <w:r w:rsidR="00D22EDE" w:rsidRPr="002A28E1">
        <w:t xml:space="preserve">and </w:t>
      </w:r>
      <w:r w:rsidR="0012569D" w:rsidRPr="002A28E1">
        <w:t xml:space="preserve">by Article </w:t>
      </w:r>
      <w:r w:rsidR="00382E75" w:rsidRPr="002A28E1">
        <w:t xml:space="preserve">16 of the Constitution </w:t>
      </w:r>
      <w:r w:rsidR="005233F6" w:rsidRPr="002A28E1">
        <w:t xml:space="preserve">which </w:t>
      </w:r>
      <w:r w:rsidR="004722CC" w:rsidRPr="002A28E1">
        <w:t>affirms</w:t>
      </w:r>
      <w:r w:rsidR="00D17C04" w:rsidRPr="002A28E1">
        <w:t xml:space="preserve"> that “[e]</w:t>
      </w:r>
      <w:proofErr w:type="spellStart"/>
      <w:r w:rsidR="00D17C04" w:rsidRPr="002A28E1">
        <w:t>veryone</w:t>
      </w:r>
      <w:proofErr w:type="spellEnd"/>
      <w:r w:rsidR="00D17C04" w:rsidRPr="002A28E1">
        <w:t xml:space="preserve"> has the right to </w:t>
      </w:r>
      <w:r w:rsidR="00984860" w:rsidRPr="002A28E1">
        <w:t>free development of his/her personality.”</w:t>
      </w:r>
      <w:bookmarkStart w:id="41" w:name="_Ref15299300"/>
      <w:r w:rsidR="00921191">
        <w:rPr>
          <w:rStyle w:val="FootnoteReference"/>
        </w:rPr>
        <w:footnoteReference w:id="314"/>
      </w:r>
      <w:bookmarkEnd w:id="41"/>
      <w:r w:rsidR="00984860" w:rsidRPr="002A28E1">
        <w:t xml:space="preserve"> </w:t>
      </w:r>
      <w:r w:rsidR="00971B22" w:rsidRPr="002A28E1">
        <w:t xml:space="preserve">The Court </w:t>
      </w:r>
      <w:r w:rsidR="00BC180F" w:rsidRPr="002A28E1">
        <w:t xml:space="preserve">held that </w:t>
      </w:r>
      <w:r w:rsidR="00EE49DE" w:rsidRPr="002A28E1">
        <w:t xml:space="preserve">the </w:t>
      </w:r>
      <w:r w:rsidR="00BC180F" w:rsidRPr="002A28E1">
        <w:t xml:space="preserve">legislative provisions </w:t>
      </w:r>
      <w:r w:rsidR="00FB1F33">
        <w:t>denying</w:t>
      </w:r>
      <w:r w:rsidR="00BC6D9C" w:rsidRPr="002A28E1">
        <w:t xml:space="preserve"> </w:t>
      </w:r>
      <w:r w:rsidR="00D21A47" w:rsidRPr="002A28E1">
        <w:t>legal</w:t>
      </w:r>
      <w:r w:rsidR="00BC6D9C" w:rsidRPr="002A28E1">
        <w:t xml:space="preserve"> capacity</w:t>
      </w:r>
      <w:r w:rsidR="00D21A47" w:rsidRPr="002A28E1">
        <w:t xml:space="preserve"> </w:t>
      </w:r>
      <w:r w:rsidR="00FB1F33">
        <w:t>to</w:t>
      </w:r>
      <w:r w:rsidR="003B3494" w:rsidRPr="002A28E1">
        <w:t xml:space="preserve"> persons </w:t>
      </w:r>
      <w:r w:rsidR="00417B1E" w:rsidRPr="002A28E1">
        <w:t>with disabilities</w:t>
      </w:r>
      <w:r w:rsidR="00012CEE" w:rsidRPr="002A28E1">
        <w:t xml:space="preserve"> </w:t>
      </w:r>
      <w:proofErr w:type="gramStart"/>
      <w:r w:rsidR="0093081D" w:rsidRPr="002A28E1">
        <w:t>on the basis of</w:t>
      </w:r>
      <w:proofErr w:type="gramEnd"/>
      <w:r w:rsidR="0093081D" w:rsidRPr="002A28E1">
        <w:t xml:space="preserve"> mental illness</w:t>
      </w:r>
      <w:r w:rsidR="00614D05" w:rsidRPr="002A28E1">
        <w:t xml:space="preserve"> were unconstitutional</w:t>
      </w:r>
      <w:r w:rsidR="0045095E" w:rsidRPr="002A28E1">
        <w:t>.</w:t>
      </w:r>
      <w:r w:rsidR="00EF2D05" w:rsidRPr="002A28E1">
        <w:rPr>
          <w:rStyle w:val="FootnoteReference"/>
        </w:rPr>
        <w:footnoteReference w:id="315"/>
      </w:r>
      <w:r w:rsidR="002C2832" w:rsidRPr="002A28E1">
        <w:t xml:space="preserve"> </w:t>
      </w:r>
      <w:r w:rsidR="00C4671D">
        <w:t xml:space="preserve">The Court gave the Parliament six months to enact the necessary </w:t>
      </w:r>
      <w:r w:rsidR="00372B2F">
        <w:t>legislative</w:t>
      </w:r>
      <w:r w:rsidR="00C4671D">
        <w:t xml:space="preserve"> changes.</w:t>
      </w:r>
      <w:r w:rsidR="001164D3">
        <w:rPr>
          <w:rStyle w:val="FootnoteReference"/>
        </w:rPr>
        <w:footnoteReference w:id="316"/>
      </w:r>
    </w:p>
    <w:p w14:paraId="114CA984" w14:textId="77777777" w:rsidR="00927B3D" w:rsidRPr="002A28E1" w:rsidRDefault="00927B3D"/>
    <w:p w14:paraId="23B0C947" w14:textId="6A606745" w:rsidR="00BA3E51" w:rsidRPr="002A28E1" w:rsidRDefault="00775DBE">
      <w:r w:rsidRPr="002A28E1">
        <w:t xml:space="preserve">In response to the Constitutional Court’s ruling, the Parliament of Georgia </w:t>
      </w:r>
      <w:r w:rsidR="004875BA" w:rsidRPr="002A28E1">
        <w:t xml:space="preserve">carried out a </w:t>
      </w:r>
      <w:r w:rsidR="00E54B66" w:rsidRPr="002A28E1">
        <w:t>legislative reform</w:t>
      </w:r>
      <w:r w:rsidR="00A96280" w:rsidRPr="002A28E1">
        <w:t xml:space="preserve"> in April 2015</w:t>
      </w:r>
      <w:r w:rsidR="00E54B66" w:rsidRPr="002A28E1">
        <w:t xml:space="preserve">, </w:t>
      </w:r>
      <w:r w:rsidR="007B557C" w:rsidRPr="002A28E1">
        <w:t xml:space="preserve">which </w:t>
      </w:r>
      <w:r w:rsidR="00327871" w:rsidRPr="002A28E1">
        <w:t>includ</w:t>
      </w:r>
      <w:r w:rsidR="007B557C" w:rsidRPr="002A28E1">
        <w:t>ed</w:t>
      </w:r>
      <w:r w:rsidR="00327871" w:rsidRPr="002A28E1">
        <w:t xml:space="preserve"> changes to the Civil Code.</w:t>
      </w:r>
      <w:r w:rsidR="00B63C08" w:rsidRPr="002A28E1">
        <w:t xml:space="preserve"> </w:t>
      </w:r>
      <w:r w:rsidR="000966C2" w:rsidRPr="002A28E1">
        <w:t xml:space="preserve">The </w:t>
      </w:r>
      <w:r w:rsidR="00A53F28" w:rsidRPr="002A28E1">
        <w:t xml:space="preserve">reformed Civil Code </w:t>
      </w:r>
      <w:r w:rsidR="000F5016">
        <w:t xml:space="preserve">entitles </w:t>
      </w:r>
      <w:r w:rsidR="00DD621D">
        <w:t>persons</w:t>
      </w:r>
      <w:r w:rsidR="00212203" w:rsidRPr="002A28E1">
        <w:t xml:space="preserve"> </w:t>
      </w:r>
      <w:r w:rsidR="00B436B4">
        <w:t>to apply for to the court for eligibility to receive support.</w:t>
      </w:r>
      <w:r w:rsidR="00B436B4">
        <w:rPr>
          <w:rStyle w:val="FootnoteReference"/>
        </w:rPr>
        <w:footnoteReference w:id="317"/>
      </w:r>
      <w:r w:rsidR="00801D21">
        <w:t xml:space="preserve"> </w:t>
      </w:r>
      <w:r w:rsidR="008935FB">
        <w:t xml:space="preserve">In order to </w:t>
      </w:r>
      <w:r w:rsidR="008935FB">
        <w:lastRenderedPageBreak/>
        <w:t xml:space="preserve">qualify as a “person in need of psychosocial support,” an individual must have </w:t>
      </w:r>
      <w:r w:rsidR="00245F5E" w:rsidRPr="002A28E1">
        <w:t>“</w:t>
      </w:r>
      <w:r w:rsidR="00E9328D">
        <w:t>fixed</w:t>
      </w:r>
      <w:r w:rsidR="00245F5E" w:rsidRPr="002A28E1">
        <w:t xml:space="preserve"> psychological, mental</w:t>
      </w:r>
      <w:r w:rsidR="00C115FB">
        <w:t>/</w:t>
      </w:r>
      <w:r w:rsidR="00245F5E" w:rsidRPr="002A28E1">
        <w:t xml:space="preserve">intellectual </w:t>
      </w:r>
      <w:r w:rsidR="00D0561C">
        <w:t>disorder</w:t>
      </w:r>
      <w:r w:rsidR="00744B1D">
        <w:t>, which,</w:t>
      </w:r>
      <w:r w:rsidR="00245F5E" w:rsidRPr="002A28E1">
        <w:t xml:space="preserve"> </w:t>
      </w:r>
      <w:r w:rsidR="00744B1D">
        <w:t>when</w:t>
      </w:r>
      <w:r w:rsidR="00245F5E" w:rsidRPr="002A28E1">
        <w:t xml:space="preserve"> </w:t>
      </w:r>
      <w:r w:rsidR="00744B1D">
        <w:t>interrelating with other impediments, may prevent him/her from participating in public life fully and effectively on equal terms with others</w:t>
      </w:r>
      <w:r w:rsidR="00245F5E" w:rsidRPr="002A28E1">
        <w:t>.”</w:t>
      </w:r>
      <w:r w:rsidR="00CB2F49">
        <w:rPr>
          <w:rStyle w:val="FootnoteReference"/>
        </w:rPr>
        <w:footnoteReference w:id="318"/>
      </w:r>
      <w:r w:rsidR="00EE62CF" w:rsidRPr="002A28E1">
        <w:t xml:space="preserve"> </w:t>
      </w:r>
      <w:r w:rsidR="00AF77A5" w:rsidRPr="002A28E1">
        <w:t xml:space="preserve">The </w:t>
      </w:r>
      <w:proofErr w:type="gramStart"/>
      <w:r w:rsidR="00AF77A5" w:rsidRPr="002A28E1">
        <w:t>application</w:t>
      </w:r>
      <w:r w:rsidR="006B7381">
        <w:t xml:space="preserve"> </w:t>
      </w:r>
      <w:r w:rsidR="008C76D7">
        <w:t>for support</w:t>
      </w:r>
      <w:r w:rsidR="00635305">
        <w:t xml:space="preserve"> eligibility</w:t>
      </w:r>
      <w:r w:rsidR="00AF77A5" w:rsidRPr="002A28E1">
        <w:t xml:space="preserve"> may also be launched by </w:t>
      </w:r>
      <w:r w:rsidR="006E381A">
        <w:t>the</w:t>
      </w:r>
      <w:r w:rsidR="00AF77A5" w:rsidRPr="002A28E1">
        <w:t xml:space="preserve"> person’s family member, legal representative, guardian and curator body, psychiatric or specialized institution</w:t>
      </w:r>
      <w:proofErr w:type="gramEnd"/>
      <w:r w:rsidR="00AF77A5" w:rsidRPr="002A28E1">
        <w:t>.</w:t>
      </w:r>
      <w:r w:rsidR="00447588">
        <w:rPr>
          <w:rStyle w:val="FootnoteReference"/>
        </w:rPr>
        <w:footnoteReference w:id="319"/>
      </w:r>
      <w:r w:rsidR="007B5D3B" w:rsidRPr="002A28E1">
        <w:t xml:space="preserve"> The application</w:t>
      </w:r>
      <w:r w:rsidR="009B63F3" w:rsidRPr="002A28E1">
        <w:t xml:space="preserve"> </w:t>
      </w:r>
      <w:r w:rsidR="00BD58F9" w:rsidRPr="002A28E1">
        <w:t xml:space="preserve">for designation </w:t>
      </w:r>
      <w:r w:rsidR="00B13069" w:rsidRPr="002A28E1">
        <w:t xml:space="preserve">as a </w:t>
      </w:r>
      <w:r w:rsidR="00951783" w:rsidRPr="002A28E1">
        <w:t>“</w:t>
      </w:r>
      <w:r w:rsidR="00831005">
        <w:t>person in need</w:t>
      </w:r>
      <w:r w:rsidR="00B13069" w:rsidRPr="002A28E1">
        <w:t xml:space="preserve"> of </w:t>
      </w:r>
      <w:r w:rsidR="00831005">
        <w:t xml:space="preserve">psychosocial </w:t>
      </w:r>
      <w:r w:rsidR="00B13069" w:rsidRPr="002A28E1">
        <w:t>support</w:t>
      </w:r>
      <w:r w:rsidR="00951783" w:rsidRPr="002A28E1">
        <w:t>”</w:t>
      </w:r>
      <w:r w:rsidR="00B13069" w:rsidRPr="002A28E1">
        <w:t xml:space="preserve"> </w:t>
      </w:r>
      <w:r w:rsidR="00EF3D57" w:rsidRPr="002A28E1">
        <w:t xml:space="preserve">specifies the area in which </w:t>
      </w:r>
      <w:r w:rsidR="000255E6" w:rsidRPr="002A28E1">
        <w:t xml:space="preserve">support </w:t>
      </w:r>
      <w:proofErr w:type="gramStart"/>
      <w:r w:rsidR="000255E6" w:rsidRPr="002A28E1">
        <w:t xml:space="preserve">is </w:t>
      </w:r>
      <w:r w:rsidR="00DF5DC5" w:rsidRPr="002A28E1">
        <w:t>needed</w:t>
      </w:r>
      <w:proofErr w:type="gramEnd"/>
      <w:r w:rsidR="00DF5DC5" w:rsidRPr="002A28E1">
        <w:t>.</w:t>
      </w:r>
      <w:r w:rsidR="00187132">
        <w:rPr>
          <w:rStyle w:val="FootnoteReference"/>
        </w:rPr>
        <w:footnoteReference w:id="320"/>
      </w:r>
      <w:r w:rsidR="00FC00FE" w:rsidRPr="002A28E1">
        <w:t xml:space="preserve"> The court then orders a psychosocial forensic </w:t>
      </w:r>
      <w:r w:rsidR="00492CFF" w:rsidRPr="002A28E1">
        <w:t>examination</w:t>
      </w:r>
      <w:r w:rsidR="00213C64" w:rsidRPr="002A28E1">
        <w:t xml:space="preserve">. An authorized </w:t>
      </w:r>
      <w:r w:rsidR="00667176" w:rsidRPr="002A28E1">
        <w:t xml:space="preserve">multidisciplinary group </w:t>
      </w:r>
      <w:r w:rsidR="004F4D59" w:rsidRPr="002A28E1">
        <w:t xml:space="preserve">consisting of psychiatrists, psychologists, social workers and occupational therapists </w:t>
      </w:r>
      <w:r w:rsidR="00383CEC" w:rsidRPr="002A28E1">
        <w:t xml:space="preserve">assess </w:t>
      </w:r>
      <w:r w:rsidR="005776D7" w:rsidRPr="002A28E1">
        <w:t xml:space="preserve">the person’s </w:t>
      </w:r>
      <w:r w:rsidR="00474217" w:rsidRPr="002A28E1">
        <w:t>psychiatric</w:t>
      </w:r>
      <w:r w:rsidR="005776D7" w:rsidRPr="002A28E1">
        <w:t>, social, professional, employment and psychological data.</w:t>
      </w:r>
      <w:r w:rsidR="00662D2A" w:rsidRPr="002A28E1">
        <w:t xml:space="preserve"> </w:t>
      </w:r>
      <w:r w:rsidR="009C6164">
        <w:rPr>
          <w:rStyle w:val="FootnoteReference"/>
        </w:rPr>
        <w:footnoteReference w:id="321"/>
      </w:r>
      <w:r w:rsidR="006569F5">
        <w:t xml:space="preserve"> </w:t>
      </w:r>
      <w:r w:rsidR="00662D2A" w:rsidRPr="002A28E1">
        <w:t xml:space="preserve">The court considers the application </w:t>
      </w:r>
      <w:r w:rsidR="00951783" w:rsidRPr="002A28E1">
        <w:t>for</w:t>
      </w:r>
      <w:r w:rsidR="006411CF" w:rsidRPr="002A28E1">
        <w:t xml:space="preserve"> support</w:t>
      </w:r>
      <w:r w:rsidR="00004A1C">
        <w:t xml:space="preserve"> </w:t>
      </w:r>
      <w:r w:rsidR="00447DD1">
        <w:t>eligibility</w:t>
      </w:r>
      <w:r w:rsidR="00951783" w:rsidRPr="002A28E1">
        <w:t xml:space="preserve"> </w:t>
      </w:r>
      <w:r w:rsidR="00C56EA9" w:rsidRPr="002A28E1">
        <w:t xml:space="preserve">in the presence of the person concerned and </w:t>
      </w:r>
      <w:r w:rsidR="00447388" w:rsidRPr="002A28E1">
        <w:t xml:space="preserve">a representative of </w:t>
      </w:r>
      <w:r w:rsidR="001A3E19">
        <w:t>a</w:t>
      </w:r>
      <w:r w:rsidR="001510DE" w:rsidRPr="002A28E1">
        <w:t xml:space="preserve"> guardianship and </w:t>
      </w:r>
      <w:r w:rsidR="00F90DDF">
        <w:t>custodianship authority</w:t>
      </w:r>
      <w:r w:rsidR="00F95DE3" w:rsidRPr="002A28E1">
        <w:t>.</w:t>
      </w:r>
      <w:r w:rsidR="00C6624E">
        <w:rPr>
          <w:rStyle w:val="FootnoteReference"/>
        </w:rPr>
        <w:footnoteReference w:id="322"/>
      </w:r>
    </w:p>
    <w:p w14:paraId="31226DC2" w14:textId="10D977C2" w:rsidR="00F95DE3" w:rsidRPr="002A28E1" w:rsidRDefault="00F95DE3"/>
    <w:p w14:paraId="2A316737" w14:textId="7F649F5F" w:rsidR="001966F1" w:rsidRDefault="00334087">
      <w:r>
        <w:t xml:space="preserve">If the court is satisfied that a person qualifies as a “person in need of psychosocial support,” they will </w:t>
      </w:r>
      <w:r w:rsidR="000741E3">
        <w:t xml:space="preserve">issue a decision </w:t>
      </w:r>
      <w:r w:rsidR="00CA1CA8">
        <w:t>designating</w:t>
      </w:r>
      <w:r w:rsidR="008E7139">
        <w:t xml:space="preserve"> the</w:t>
      </w:r>
      <w:r w:rsidR="000741E3">
        <w:t xml:space="preserve"> person </w:t>
      </w:r>
      <w:r w:rsidR="00DD22DE">
        <w:t>as</w:t>
      </w:r>
      <w:r w:rsidR="000741E3">
        <w:t xml:space="preserve"> a “beneficiary of support</w:t>
      </w:r>
      <w:r w:rsidR="003E2CD4">
        <w:t>.</w:t>
      </w:r>
      <w:r w:rsidR="000741E3">
        <w:t>”</w:t>
      </w:r>
      <w:r w:rsidR="003E2CD4">
        <w:rPr>
          <w:rStyle w:val="FootnoteReference"/>
        </w:rPr>
        <w:footnoteReference w:id="323"/>
      </w:r>
      <w:r w:rsidR="000741E3">
        <w:t xml:space="preserve"> </w:t>
      </w:r>
      <w:r w:rsidR="00B041A3">
        <w:t>I</w:t>
      </w:r>
      <w:r w:rsidR="00D04CBD">
        <w:t>n</w:t>
      </w:r>
      <w:r w:rsidR="00E10535">
        <w:t xml:space="preserve"> the </w:t>
      </w:r>
      <w:proofErr w:type="gramStart"/>
      <w:r w:rsidR="00E10535">
        <w:t>same  decision</w:t>
      </w:r>
      <w:proofErr w:type="gramEnd"/>
      <w:r w:rsidR="00E10535">
        <w:t xml:space="preserve">, </w:t>
      </w:r>
      <w:r w:rsidR="0019155F">
        <w:t>the court</w:t>
      </w:r>
      <w:r w:rsidR="00E10535">
        <w:t xml:space="preserve"> will</w:t>
      </w:r>
      <w:r w:rsidR="00D04CBD">
        <w:t xml:space="preserve"> appoint a supporter</w:t>
      </w:r>
      <w:r w:rsidR="00EA0DAF">
        <w:t xml:space="preserve"> (or supporters)</w:t>
      </w:r>
      <w:r w:rsidR="00D04CBD">
        <w:t xml:space="preserve">, </w:t>
      </w:r>
      <w:r w:rsidR="00597B48">
        <w:t>establish the scope of support, and delineate the rights and duties of the supporter</w:t>
      </w:r>
      <w:r w:rsidR="00BD3CCC">
        <w:t>(s)</w:t>
      </w:r>
      <w:r w:rsidR="00597B48">
        <w:t>.</w:t>
      </w:r>
      <w:r w:rsidR="00597B48">
        <w:rPr>
          <w:rStyle w:val="FootnoteReference"/>
        </w:rPr>
        <w:footnoteReference w:id="324"/>
      </w:r>
      <w:r w:rsidR="00E10535">
        <w:t xml:space="preserve"> </w:t>
      </w:r>
      <w:r w:rsidR="00676CF3">
        <w:t>The reformed</w:t>
      </w:r>
      <w:r w:rsidR="00F95DE3" w:rsidRPr="002A28E1">
        <w:t xml:space="preserve"> </w:t>
      </w:r>
      <w:r w:rsidR="00642C7B">
        <w:t xml:space="preserve">Georgian </w:t>
      </w:r>
      <w:r w:rsidR="00F95DE3" w:rsidRPr="002A28E1">
        <w:t xml:space="preserve">Civil Code stipulates that a supporter may be a family member, relative, </w:t>
      </w:r>
      <w:r w:rsidR="00FE1330" w:rsidRPr="002A28E1">
        <w:t>friend</w:t>
      </w:r>
      <w:r w:rsidR="00F95DE3" w:rsidRPr="002A28E1">
        <w:t xml:space="preserve"> or</w:t>
      </w:r>
      <w:r w:rsidR="000F3FD4">
        <w:t xml:space="preserve"> expert</w:t>
      </w:r>
      <w:r w:rsidR="00F95DE3" w:rsidRPr="002A28E1">
        <w:t>.</w:t>
      </w:r>
      <w:r w:rsidR="00F42865">
        <w:rPr>
          <w:rStyle w:val="FootnoteReference"/>
        </w:rPr>
        <w:footnoteReference w:id="325"/>
      </w:r>
      <w:r w:rsidR="00C46A06" w:rsidRPr="002A28E1">
        <w:t xml:space="preserve"> If it is not possible to appoint a </w:t>
      </w:r>
      <w:r w:rsidR="00D90D0C" w:rsidRPr="002A28E1">
        <w:t>supporter</w:t>
      </w:r>
      <w:r w:rsidR="00DB3FB9" w:rsidRPr="002A28E1">
        <w:t xml:space="preserve"> from this list </w:t>
      </w:r>
      <w:r w:rsidR="00D90D0C" w:rsidRPr="002A28E1">
        <w:t>of persons</w:t>
      </w:r>
      <w:r w:rsidR="00DB3FB9" w:rsidRPr="002A28E1">
        <w:t xml:space="preserve">, the court will designate an authorized person from </w:t>
      </w:r>
      <w:r w:rsidR="0007035F">
        <w:t>a</w:t>
      </w:r>
      <w:r w:rsidR="00DB3FB9" w:rsidRPr="002A28E1">
        <w:t xml:space="preserve"> guardianship and custod</w:t>
      </w:r>
      <w:r w:rsidR="00465C2F">
        <w:t xml:space="preserve">ianship authority </w:t>
      </w:r>
      <w:r w:rsidR="004B11C1" w:rsidRPr="002A28E1">
        <w:t xml:space="preserve">to act as a supporter </w:t>
      </w:r>
      <w:r w:rsidR="00844B20">
        <w:t>and</w:t>
      </w:r>
      <w:r w:rsidR="004B11C1" w:rsidRPr="002A28E1">
        <w:t>, if the person resides in a specialized institution,</w:t>
      </w:r>
      <w:r w:rsidR="00DB3FB9" w:rsidRPr="002A28E1">
        <w:t xml:space="preserve"> a representative </w:t>
      </w:r>
      <w:r w:rsidR="004B11C1" w:rsidRPr="002A28E1">
        <w:t xml:space="preserve">from </w:t>
      </w:r>
      <w:r w:rsidR="00DB3FB9" w:rsidRPr="002A28E1">
        <w:t xml:space="preserve">this institution </w:t>
      </w:r>
      <w:proofErr w:type="gramStart"/>
      <w:r w:rsidR="0071664D">
        <w:t>will</w:t>
      </w:r>
      <w:r w:rsidR="00DB3FB9" w:rsidRPr="002A28E1">
        <w:t xml:space="preserve"> be na</w:t>
      </w:r>
      <w:r w:rsidR="00D90D0C" w:rsidRPr="002A28E1">
        <w:t>m</w:t>
      </w:r>
      <w:r w:rsidR="00DB3FB9" w:rsidRPr="002A28E1">
        <w:t>ed</w:t>
      </w:r>
      <w:proofErr w:type="gramEnd"/>
      <w:r w:rsidR="00DB3FB9" w:rsidRPr="002A28E1">
        <w:t xml:space="preserve"> as the supporter.</w:t>
      </w:r>
      <w:r w:rsidR="00DB3FB9" w:rsidRPr="002A28E1">
        <w:rPr>
          <w:rStyle w:val="FootnoteReference"/>
        </w:rPr>
        <w:footnoteReference w:id="326"/>
      </w:r>
      <w:r w:rsidR="00DB3FB9" w:rsidRPr="002A28E1">
        <w:t xml:space="preserve"> </w:t>
      </w:r>
      <w:r w:rsidR="001F7FE5" w:rsidRPr="002A28E1">
        <w:t>In choosing a supporter, the court must consider the “interests and will” of the person in need of support.</w:t>
      </w:r>
      <w:r w:rsidR="00071B1F" w:rsidRPr="002A28E1">
        <w:rPr>
          <w:rStyle w:val="FootnoteReference"/>
        </w:rPr>
        <w:footnoteReference w:id="327"/>
      </w:r>
      <w:r w:rsidR="001F7FE5" w:rsidRPr="002A28E1">
        <w:t xml:space="preserve"> </w:t>
      </w:r>
      <w:r w:rsidR="00BC0AEF">
        <w:t>In the s</w:t>
      </w:r>
      <w:r w:rsidR="00E142EB">
        <w:t>e</w:t>
      </w:r>
      <w:r w:rsidR="00BC0AEF">
        <w:t>lection process, the court must also take into account the personal qualities of the potential supporter</w:t>
      </w:r>
      <w:r w:rsidR="00414E38">
        <w:t>,</w:t>
      </w:r>
      <w:r w:rsidR="00005A67">
        <w:t xml:space="preserve"> the ability of the potential supporter to carry out a duty, </w:t>
      </w:r>
      <w:r w:rsidR="00E54EEB">
        <w:t xml:space="preserve">and </w:t>
      </w:r>
      <w:r w:rsidR="00414E38">
        <w:t>the relationship between the potential supporter and supported persons</w:t>
      </w:r>
      <w:r w:rsidR="001966F1">
        <w:t>.</w:t>
      </w:r>
      <w:r w:rsidR="001966F1">
        <w:rPr>
          <w:rStyle w:val="FootnoteReference"/>
        </w:rPr>
        <w:footnoteReference w:id="328"/>
      </w:r>
    </w:p>
    <w:p w14:paraId="05344E0D" w14:textId="77777777" w:rsidR="001966F1" w:rsidRDefault="001966F1"/>
    <w:p w14:paraId="773C72DB" w14:textId="604B07C4" w:rsidR="00A12D2D" w:rsidRDefault="005E1247">
      <w:r w:rsidRPr="002A28E1">
        <w:t xml:space="preserve">The purpose of the supporter </w:t>
      </w:r>
      <w:r w:rsidR="00A424FD" w:rsidRPr="002A28E1">
        <w:t>is to help recipients of support</w:t>
      </w:r>
      <w:r w:rsidR="002F639D" w:rsidRPr="002A28E1">
        <w:t xml:space="preserve"> to make decisions</w:t>
      </w:r>
      <w:r w:rsidR="008678C5" w:rsidRPr="002A28E1">
        <w:rPr>
          <w:rStyle w:val="FootnoteReference"/>
        </w:rPr>
        <w:footnoteReference w:id="329"/>
      </w:r>
      <w:r w:rsidR="005924F4" w:rsidRPr="002A28E1">
        <w:t xml:space="preserve"> and</w:t>
      </w:r>
      <w:r w:rsidR="00517F76" w:rsidRPr="002A28E1">
        <w:t xml:space="preserve"> to </w:t>
      </w:r>
      <w:r w:rsidR="00346A6F" w:rsidRPr="002A28E1">
        <w:t xml:space="preserve">help </w:t>
      </w:r>
      <w:r w:rsidR="0083425D" w:rsidRPr="002A28E1">
        <w:t>recipients</w:t>
      </w:r>
      <w:r w:rsidR="00A424FD" w:rsidRPr="002A28E1">
        <w:t xml:space="preserve"> </w:t>
      </w:r>
      <w:r w:rsidR="004D1924" w:rsidRPr="002A28E1">
        <w:t xml:space="preserve">understand conditions and </w:t>
      </w:r>
      <w:r w:rsidR="00454841" w:rsidRPr="002A28E1">
        <w:t xml:space="preserve">legal </w:t>
      </w:r>
      <w:r w:rsidR="005A4E54" w:rsidRPr="002A28E1">
        <w:t>consequences</w:t>
      </w:r>
      <w:r w:rsidR="00454841" w:rsidRPr="002A28E1">
        <w:t xml:space="preserve"> </w:t>
      </w:r>
      <w:r w:rsidR="003131E5" w:rsidRPr="002A28E1">
        <w:t>of a transaction</w:t>
      </w:r>
      <w:r w:rsidR="005A4E54" w:rsidRPr="002A28E1">
        <w:t xml:space="preserve"> in a </w:t>
      </w:r>
      <w:r w:rsidR="00C10866" w:rsidRPr="002A28E1">
        <w:t>specific area of decision-making.</w:t>
      </w:r>
      <w:r w:rsidR="002F639D" w:rsidRPr="002A28E1">
        <w:rPr>
          <w:rStyle w:val="FootnoteReference"/>
        </w:rPr>
        <w:footnoteReference w:id="330"/>
      </w:r>
      <w:r w:rsidR="003131E5" w:rsidRPr="002A28E1">
        <w:t xml:space="preserve"> </w:t>
      </w:r>
      <w:r w:rsidR="008678C5" w:rsidRPr="002A28E1">
        <w:t>The Code stipulates that the supporter should determine the wishes and choices of the supported person and should provide them with relevant information for the decision-making process.</w:t>
      </w:r>
      <w:r w:rsidR="008678C5" w:rsidRPr="002A28E1">
        <w:rPr>
          <w:rStyle w:val="FootnoteReference"/>
        </w:rPr>
        <w:footnoteReference w:id="331"/>
      </w:r>
      <w:r w:rsidR="001D6DA1">
        <w:t xml:space="preserve"> Supporters </w:t>
      </w:r>
      <w:proofErr w:type="gramStart"/>
      <w:r w:rsidR="001D6DA1">
        <w:t>are also tasked</w:t>
      </w:r>
      <w:proofErr w:type="gramEnd"/>
      <w:r w:rsidR="001D6DA1">
        <w:t xml:space="preserve"> with overseeing the medical care</w:t>
      </w:r>
      <w:r w:rsidR="001F431D">
        <w:t xml:space="preserve"> of supported persons.</w:t>
      </w:r>
      <w:r w:rsidR="001F431D">
        <w:rPr>
          <w:rStyle w:val="FootnoteReference"/>
        </w:rPr>
        <w:footnoteReference w:id="332"/>
      </w:r>
      <w:r w:rsidR="00EC6909">
        <w:t xml:space="preserve"> </w:t>
      </w:r>
      <w:r w:rsidR="00146478">
        <w:t>A</w:t>
      </w:r>
      <w:r w:rsidR="0080429D" w:rsidRPr="002A28E1">
        <w:t xml:space="preserve"> supporter may be appointed by the court to </w:t>
      </w:r>
      <w:r w:rsidR="00890A55">
        <w:t>assist</w:t>
      </w:r>
      <w:r w:rsidR="0080429D" w:rsidRPr="002A28E1">
        <w:t xml:space="preserve"> a person with performing work, concluding small contracts, conducting business activities, </w:t>
      </w:r>
      <w:r w:rsidR="00A12D2D">
        <w:t xml:space="preserve">managing or </w:t>
      </w:r>
      <w:r w:rsidR="0080429D" w:rsidRPr="002A28E1">
        <w:t xml:space="preserve">disposing of real estate, identifying a place of residence, </w:t>
      </w:r>
      <w:r w:rsidR="003B3C84" w:rsidRPr="002A28E1">
        <w:t xml:space="preserve">consenting to medical treatment, </w:t>
      </w:r>
      <w:r w:rsidR="00FC6955" w:rsidRPr="002A28E1">
        <w:lastRenderedPageBreak/>
        <w:t xml:space="preserve">preventing damage and exercising other rights and responsibilities stipulated by the court </w:t>
      </w:r>
      <w:r w:rsidR="00E9347F" w:rsidRPr="002A28E1">
        <w:t>as per</w:t>
      </w:r>
      <w:r w:rsidR="002C7EAC" w:rsidRPr="002A28E1">
        <w:t xml:space="preserve"> an</w:t>
      </w:r>
      <w:r w:rsidR="00E9347F" w:rsidRPr="002A28E1">
        <w:t xml:space="preserve"> individual assessment.</w:t>
      </w:r>
      <w:r w:rsidR="00CA0F2F" w:rsidRPr="002A28E1">
        <w:rPr>
          <w:rStyle w:val="FootnoteReference"/>
        </w:rPr>
        <w:footnoteReference w:id="333"/>
      </w:r>
      <w:r w:rsidR="00BD349B" w:rsidRPr="002A28E1">
        <w:t xml:space="preserve"> </w:t>
      </w:r>
      <w:r w:rsidR="00570B13">
        <w:t>It is noteworthy that t</w:t>
      </w:r>
      <w:r w:rsidR="00BD349B" w:rsidRPr="002A28E1">
        <w:t xml:space="preserve">he Code of Civil Procedure </w:t>
      </w:r>
      <w:r w:rsidR="00AE7BA5">
        <w:t>allows</w:t>
      </w:r>
      <w:r w:rsidR="00BD349B" w:rsidRPr="002A28E1">
        <w:t xml:space="preserve"> supporter</w:t>
      </w:r>
      <w:r w:rsidR="00565B38">
        <w:t>s</w:t>
      </w:r>
      <w:r w:rsidR="00BD349B" w:rsidRPr="002A28E1">
        <w:t xml:space="preserve"> </w:t>
      </w:r>
      <w:r w:rsidR="004A5DBB">
        <w:t>to</w:t>
      </w:r>
      <w:r w:rsidR="00BD349B" w:rsidRPr="002A28E1">
        <w:t xml:space="preserve"> </w:t>
      </w:r>
      <w:proofErr w:type="gramStart"/>
      <w:r w:rsidR="00BD349B" w:rsidRPr="002A28E1">
        <w:t>be appointed</w:t>
      </w:r>
      <w:proofErr w:type="gramEnd"/>
      <w:r w:rsidR="00BD349B" w:rsidRPr="002A28E1">
        <w:t xml:space="preserve"> for even a minor transaction.</w:t>
      </w:r>
      <w:r w:rsidR="00BD349B" w:rsidRPr="002A28E1">
        <w:rPr>
          <w:rStyle w:val="FootnoteReference"/>
        </w:rPr>
        <w:footnoteReference w:id="334"/>
      </w:r>
      <w:r w:rsidR="00BE5B8F" w:rsidRPr="002A28E1">
        <w:t xml:space="preserve"> </w:t>
      </w:r>
    </w:p>
    <w:p w14:paraId="054C51FD" w14:textId="77777777" w:rsidR="007A7E9E" w:rsidRDefault="007A7E9E"/>
    <w:p w14:paraId="755D389F" w14:textId="650F371D" w:rsidR="00D61C9E" w:rsidRPr="002A28E1" w:rsidRDefault="00AD7632">
      <w:r w:rsidRPr="002A28E1">
        <w:t xml:space="preserve">The Court also </w:t>
      </w:r>
      <w:r w:rsidR="00064873" w:rsidRPr="002A28E1">
        <w:t xml:space="preserve">establishes a </w:t>
      </w:r>
      <w:r w:rsidR="00386D31" w:rsidRPr="002A28E1">
        <w:t xml:space="preserve">deadline by which the supporter must report to </w:t>
      </w:r>
      <w:r w:rsidR="00B770DE">
        <w:t>a</w:t>
      </w:r>
      <w:r w:rsidR="00386D31" w:rsidRPr="002A28E1">
        <w:t xml:space="preserve"> guardianship and custod</w:t>
      </w:r>
      <w:r w:rsidR="000A404E">
        <w:t>ianship</w:t>
      </w:r>
      <w:r w:rsidR="00386D31" w:rsidRPr="002A28E1">
        <w:t xml:space="preserve"> </w:t>
      </w:r>
      <w:r w:rsidR="00F004CB">
        <w:t xml:space="preserve">authority </w:t>
      </w:r>
      <w:r w:rsidR="00386D31" w:rsidRPr="002A28E1">
        <w:t xml:space="preserve">and </w:t>
      </w:r>
      <w:r w:rsidR="0087140C" w:rsidRPr="002A28E1">
        <w:t xml:space="preserve">defines </w:t>
      </w:r>
      <w:r w:rsidR="0051094C" w:rsidRPr="002A28E1">
        <w:t xml:space="preserve">a deadline by which the </w:t>
      </w:r>
      <w:r w:rsidR="00674DF0" w:rsidRPr="002A28E1">
        <w:t xml:space="preserve">support arrangement </w:t>
      </w:r>
      <w:proofErr w:type="gramStart"/>
      <w:r w:rsidR="00674DF0" w:rsidRPr="002A28E1">
        <w:t>must be revised</w:t>
      </w:r>
      <w:proofErr w:type="gramEnd"/>
      <w:r w:rsidR="00674DF0" w:rsidRPr="002A28E1">
        <w:t>.</w:t>
      </w:r>
      <w:r w:rsidR="00FA367C">
        <w:rPr>
          <w:rStyle w:val="FootnoteReference"/>
        </w:rPr>
        <w:footnoteReference w:id="335"/>
      </w:r>
      <w:r w:rsidR="007A25D9" w:rsidRPr="002A28E1">
        <w:t xml:space="preserve"> </w:t>
      </w:r>
      <w:r w:rsidR="009F6573">
        <w:t>A</w:t>
      </w:r>
      <w:r w:rsidR="005D5430">
        <w:t xml:space="preserve"> </w:t>
      </w:r>
      <w:r w:rsidR="007A25D9" w:rsidRPr="002A28E1">
        <w:t>guardianship and custod</w:t>
      </w:r>
      <w:r w:rsidR="00B6194E">
        <w:t>ianship authority</w:t>
      </w:r>
      <w:r w:rsidR="007A25D9" w:rsidRPr="002A28E1">
        <w:t xml:space="preserve"> </w:t>
      </w:r>
      <w:proofErr w:type="gramStart"/>
      <w:r w:rsidR="007A25D9" w:rsidRPr="002A28E1">
        <w:t>is tasked</w:t>
      </w:r>
      <w:proofErr w:type="gramEnd"/>
      <w:r w:rsidR="007A25D9" w:rsidRPr="002A28E1">
        <w:t xml:space="preserve"> with supervising the activities of a supporter and monitoring their </w:t>
      </w:r>
      <w:r w:rsidR="001F2540" w:rsidRPr="002A28E1">
        <w:t>adherence</w:t>
      </w:r>
      <w:r w:rsidR="007A25D9" w:rsidRPr="002A28E1">
        <w:t xml:space="preserve"> </w:t>
      </w:r>
      <w:r w:rsidR="00887150" w:rsidRPr="002A28E1">
        <w:t>to</w:t>
      </w:r>
      <w:r w:rsidR="007A25D9" w:rsidRPr="002A28E1">
        <w:t xml:space="preserve"> th</w:t>
      </w:r>
      <w:r w:rsidR="00B85AC9">
        <w:t>eir duties outlined</w:t>
      </w:r>
      <w:r w:rsidR="007A25D9" w:rsidRPr="002A28E1">
        <w:t xml:space="preserve"> </w:t>
      </w:r>
      <w:r w:rsidR="00B85AC9">
        <w:t>in</w:t>
      </w:r>
      <w:r w:rsidR="007A25D9" w:rsidRPr="002A28E1">
        <w:t xml:space="preserve"> the court</w:t>
      </w:r>
      <w:r w:rsidR="00B85AC9">
        <w:t xml:space="preserve"> judgement and in Georgian legislation</w:t>
      </w:r>
      <w:r w:rsidR="007A25D9" w:rsidRPr="002A28E1">
        <w:t>.</w:t>
      </w:r>
      <w:r w:rsidR="004C0C49" w:rsidRPr="002A28E1">
        <w:rPr>
          <w:rStyle w:val="FootnoteReference"/>
        </w:rPr>
        <w:footnoteReference w:id="336"/>
      </w:r>
      <w:r w:rsidR="00E2747D">
        <w:t xml:space="preserve"> </w:t>
      </w:r>
      <w:r w:rsidR="004127CA">
        <w:t xml:space="preserve">The Code stipulates that </w:t>
      </w:r>
      <w:r w:rsidR="00C05E6A">
        <w:t xml:space="preserve">through “scheduled checks,” </w:t>
      </w:r>
      <w:r w:rsidR="00354D29">
        <w:t>a</w:t>
      </w:r>
      <w:r w:rsidR="00C05E6A">
        <w:t xml:space="preserve"> guardianship and custodianship authority will ascertain </w:t>
      </w:r>
      <w:r w:rsidR="00542DFD">
        <w:t xml:space="preserve">whether a supporter’s actions </w:t>
      </w:r>
      <w:r w:rsidR="006D7F1D">
        <w:t xml:space="preserve">conform to </w:t>
      </w:r>
      <w:r w:rsidR="005A2607">
        <w:t>t</w:t>
      </w:r>
      <w:r w:rsidR="004D47D6">
        <w:t>he</w:t>
      </w:r>
      <w:r w:rsidR="00723556">
        <w:t xml:space="preserve"> </w:t>
      </w:r>
      <w:r w:rsidR="001D081A">
        <w:t xml:space="preserve">relevant </w:t>
      </w:r>
      <w:r w:rsidR="004D47D6">
        <w:t>court judgement</w:t>
      </w:r>
      <w:r w:rsidR="00723556">
        <w:t>.</w:t>
      </w:r>
      <w:r w:rsidR="008040C3">
        <w:rPr>
          <w:rStyle w:val="FootnoteReference"/>
        </w:rPr>
        <w:footnoteReference w:id="337"/>
      </w:r>
      <w:r w:rsidR="0061785D">
        <w:t xml:space="preserve"> These checks are carried out once in every six month period</w:t>
      </w:r>
      <w:r w:rsidR="005C4C54">
        <w:t xml:space="preserve">, </w:t>
      </w:r>
      <w:r w:rsidR="001D0012">
        <w:t>or when requested by the court.</w:t>
      </w:r>
      <w:r w:rsidR="001D0012">
        <w:rPr>
          <w:rStyle w:val="FootnoteReference"/>
        </w:rPr>
        <w:footnoteReference w:id="338"/>
      </w:r>
      <w:r w:rsidR="006E2A99">
        <w:t xml:space="preserve"> A guardianship and custodianship authority </w:t>
      </w:r>
      <w:r w:rsidR="00DC52F1">
        <w:t xml:space="preserve">may also check on the supporter’s activities on its own </w:t>
      </w:r>
      <w:r w:rsidR="006831B2">
        <w:t>initiative</w:t>
      </w:r>
      <w:r w:rsidR="008436AF">
        <w:t xml:space="preserve">, when there exists information </w:t>
      </w:r>
      <w:r w:rsidR="007B1E26">
        <w:t xml:space="preserve">indicating </w:t>
      </w:r>
      <w:r w:rsidR="00043152">
        <w:t>a need for their intervention.</w:t>
      </w:r>
      <w:r w:rsidR="0096231C">
        <w:rPr>
          <w:rStyle w:val="FootnoteReference"/>
        </w:rPr>
        <w:footnoteReference w:id="339"/>
      </w:r>
      <w:r w:rsidR="00CC1DF3">
        <w:t xml:space="preserve"> The Code also allows a supported person to submit a request to the court should they want </w:t>
      </w:r>
      <w:r w:rsidR="000614A0">
        <w:t>their supporter to be dismissed.</w:t>
      </w:r>
      <w:r w:rsidR="009522C1">
        <w:rPr>
          <w:rStyle w:val="FootnoteReference"/>
        </w:rPr>
        <w:footnoteReference w:id="340"/>
      </w:r>
    </w:p>
    <w:p w14:paraId="30B97594" w14:textId="77777777" w:rsidR="00D61C9E" w:rsidRPr="002A28E1" w:rsidRDefault="00D61C9E"/>
    <w:p w14:paraId="7324545A" w14:textId="77777777" w:rsidR="00622CB5" w:rsidRDefault="001E7D44">
      <w:r w:rsidRPr="002A28E1">
        <w:t xml:space="preserve">The reformed Civil Code also </w:t>
      </w:r>
      <w:r w:rsidR="006F680D" w:rsidRPr="002A28E1">
        <w:t xml:space="preserve">indicates that </w:t>
      </w:r>
      <w:r w:rsidR="00DE1223" w:rsidRPr="002A28E1">
        <w:t xml:space="preserve">persons previously deemed legally incapable </w:t>
      </w:r>
      <w:r w:rsidR="00273E36" w:rsidRPr="002A28E1">
        <w:t xml:space="preserve">must </w:t>
      </w:r>
      <w:r w:rsidR="00A218F9" w:rsidRPr="002A28E1">
        <w:t>have their status reviewed within 5 years</w:t>
      </w:r>
      <w:r w:rsidR="003A7E55" w:rsidRPr="002A28E1">
        <w:t>.</w:t>
      </w:r>
      <w:r w:rsidR="00AF39CB" w:rsidRPr="002A28E1">
        <w:rPr>
          <w:rStyle w:val="FootnoteReference"/>
        </w:rPr>
        <w:footnoteReference w:id="341"/>
      </w:r>
      <w:r w:rsidR="004556D1">
        <w:t xml:space="preserve"> </w:t>
      </w:r>
    </w:p>
    <w:p w14:paraId="4495ADC5" w14:textId="77777777" w:rsidR="00622CB5" w:rsidRDefault="00622CB5"/>
    <w:p w14:paraId="7FAB482D" w14:textId="53C4EBC4" w:rsidR="00D2283D" w:rsidRDefault="00836068">
      <w:r>
        <w:t>The</w:t>
      </w:r>
      <w:r w:rsidR="00231B9A">
        <w:t xml:space="preserve"> Georgian reforms eliminated </w:t>
      </w:r>
      <w:r w:rsidR="00D851D2">
        <w:t xml:space="preserve">a </w:t>
      </w:r>
      <w:proofErr w:type="spellStart"/>
      <w:r w:rsidR="00F6339E">
        <w:t>c</w:t>
      </w:r>
      <w:r w:rsidR="00731335">
        <w:t>odal</w:t>
      </w:r>
      <w:proofErr w:type="spellEnd"/>
      <w:r w:rsidR="00231B9A">
        <w:t xml:space="preserve"> </w:t>
      </w:r>
      <w:proofErr w:type="gramStart"/>
      <w:r w:rsidR="00231B9A">
        <w:t>provision</w:t>
      </w:r>
      <w:r w:rsidR="00810DCA">
        <w:t xml:space="preserve"> which</w:t>
      </w:r>
      <w:proofErr w:type="gramEnd"/>
      <w:r w:rsidR="00810DCA">
        <w:t xml:space="preserve"> </w:t>
      </w:r>
      <w:r w:rsidR="0068579F">
        <w:t>allow</w:t>
      </w:r>
      <w:r w:rsidR="00C35BBD">
        <w:t>ed</w:t>
      </w:r>
      <w:r w:rsidR="0068579F">
        <w:t xml:space="preserve"> for court declarations of legal incapacity</w:t>
      </w:r>
      <w:r w:rsidR="00A03D9E">
        <w:t xml:space="preserve"> </w:t>
      </w:r>
      <w:r w:rsidR="00A1586F">
        <w:t>for</w:t>
      </w:r>
      <w:r w:rsidR="009B2C35">
        <w:t xml:space="preserve"> reason</w:t>
      </w:r>
      <w:r w:rsidR="00A1586F">
        <w:t>s</w:t>
      </w:r>
      <w:r w:rsidR="009B2C35">
        <w:t xml:space="preserve"> of “mental illness” or “mental retardation</w:t>
      </w:r>
      <w:r w:rsidR="009A76CF">
        <w:t>,</w:t>
      </w:r>
      <w:r w:rsidR="009B2C35">
        <w:t>”</w:t>
      </w:r>
      <w:r w:rsidR="009456B4">
        <w:t xml:space="preserve"> and the subsequent appointment of a guardian</w:t>
      </w:r>
      <w:r w:rsidR="00DE4FCD">
        <w:t xml:space="preserve"> in such cases</w:t>
      </w:r>
      <w:r w:rsidR="009456B4">
        <w:t>.</w:t>
      </w:r>
      <w:r w:rsidR="009B2C35">
        <w:rPr>
          <w:rStyle w:val="FootnoteReference"/>
        </w:rPr>
        <w:footnoteReference w:id="342"/>
      </w:r>
      <w:r w:rsidR="00906E89">
        <w:t xml:space="preserve"> Nevertheless,</w:t>
      </w:r>
      <w:r w:rsidR="00605D44">
        <w:t xml:space="preserve"> the current Georgian legislation appears to have retained </w:t>
      </w:r>
      <w:r w:rsidR="00E16179">
        <w:t xml:space="preserve">some form </w:t>
      </w:r>
      <w:r w:rsidR="00F35C8D">
        <w:t xml:space="preserve">of </w:t>
      </w:r>
      <w:r w:rsidR="00605D44">
        <w:t>substitute decision-making.</w:t>
      </w:r>
      <w:r w:rsidR="00F4300D">
        <w:t xml:space="preserve"> </w:t>
      </w:r>
      <w:r w:rsidR="00EB4ED7">
        <w:t xml:space="preserve">The amended Civil Code provides for the institution </w:t>
      </w:r>
      <w:r w:rsidR="00215C07">
        <w:t xml:space="preserve">of custodianship </w:t>
      </w:r>
      <w:r w:rsidR="00345CB6">
        <w:t xml:space="preserve">to </w:t>
      </w:r>
      <w:proofErr w:type="gramStart"/>
      <w:r w:rsidR="00345CB6">
        <w:t>be put</w:t>
      </w:r>
      <w:proofErr w:type="gramEnd"/>
      <w:r w:rsidR="00345CB6">
        <w:t xml:space="preserve"> in place for </w:t>
      </w:r>
      <w:r w:rsidR="00377D4A">
        <w:t xml:space="preserve">an </w:t>
      </w:r>
      <w:r w:rsidR="00336AA4">
        <w:t xml:space="preserve">adult </w:t>
      </w:r>
      <w:r w:rsidR="00451F9B">
        <w:t xml:space="preserve">who </w:t>
      </w:r>
      <w:r w:rsidR="00377D4A">
        <w:t>is</w:t>
      </w:r>
      <w:r w:rsidR="00451F9B">
        <w:t xml:space="preserve"> “capable of contracting,” but </w:t>
      </w:r>
      <w:r w:rsidR="0011222E">
        <w:t>“unable to independently exercise his/her rights and perform his/</w:t>
      </w:r>
      <w:r w:rsidR="00F469CF">
        <w:t>her duties because of his/her health condition.”</w:t>
      </w:r>
      <w:r w:rsidR="004E433D">
        <w:rPr>
          <w:rStyle w:val="FootnoteReference"/>
        </w:rPr>
        <w:footnoteReference w:id="343"/>
      </w:r>
      <w:r w:rsidR="001027E6">
        <w:t xml:space="preserve"> A custodian is to </w:t>
      </w:r>
      <w:proofErr w:type="gramStart"/>
      <w:r w:rsidR="001027E6">
        <w:t>be appointed</w:t>
      </w:r>
      <w:proofErr w:type="gramEnd"/>
      <w:r w:rsidR="001027E6">
        <w:t xml:space="preserve"> </w:t>
      </w:r>
      <w:r w:rsidR="00F9585D">
        <w:t>by a guardianship and custodianship authority,</w:t>
      </w:r>
      <w:r w:rsidR="00C2370B">
        <w:rPr>
          <w:rStyle w:val="FootnoteReference"/>
        </w:rPr>
        <w:footnoteReference w:id="344"/>
      </w:r>
      <w:r w:rsidR="00F9585D">
        <w:t xml:space="preserve"> </w:t>
      </w:r>
      <w:r w:rsidR="001027E6">
        <w:t xml:space="preserve">at the request of the </w:t>
      </w:r>
      <w:r w:rsidR="0002285E">
        <w:t>concerned adult.</w:t>
      </w:r>
      <w:r w:rsidR="0002285E">
        <w:rPr>
          <w:rStyle w:val="FootnoteReference"/>
        </w:rPr>
        <w:footnoteReference w:id="345"/>
      </w:r>
      <w:r w:rsidR="00D04B7A">
        <w:t xml:space="preserve"> Custodians are to</w:t>
      </w:r>
      <w:r w:rsidR="00B529B1">
        <w:t xml:space="preserve"> </w:t>
      </w:r>
      <w:r w:rsidR="00DF07A8">
        <w:t xml:space="preserve">protect the personal and property rights and interests </w:t>
      </w:r>
      <w:r w:rsidR="00BF0EA5">
        <w:t xml:space="preserve">of </w:t>
      </w:r>
      <w:r w:rsidR="00CA24E3">
        <w:t>their wards.</w:t>
      </w:r>
      <w:r w:rsidR="00AC7236">
        <w:rPr>
          <w:rStyle w:val="FootnoteReference"/>
        </w:rPr>
        <w:footnoteReference w:id="346"/>
      </w:r>
      <w:r w:rsidR="006C515D">
        <w:t xml:space="preserve"> </w:t>
      </w:r>
      <w:r w:rsidR="00944222">
        <w:t xml:space="preserve">The </w:t>
      </w:r>
      <w:r w:rsidR="00581BFE">
        <w:t xml:space="preserve">Code stipulates that </w:t>
      </w:r>
      <w:r w:rsidR="00EF44A0">
        <w:t xml:space="preserve">adults </w:t>
      </w:r>
      <w:r w:rsidR="00674D89">
        <w:t>whom the court has placed under custodianship</w:t>
      </w:r>
      <w:r w:rsidR="00DF07A8">
        <w:t xml:space="preserve"> </w:t>
      </w:r>
      <w:proofErr w:type="gramStart"/>
      <w:r w:rsidR="00FF1B6A">
        <w:t>are</w:t>
      </w:r>
      <w:proofErr w:type="gramEnd"/>
      <w:r w:rsidR="00FF1B6A">
        <w:t xml:space="preserve"> </w:t>
      </w:r>
      <w:r w:rsidR="00CE1B9B">
        <w:t xml:space="preserve">to be considered </w:t>
      </w:r>
      <w:r w:rsidR="00E0491E">
        <w:t>persons with “limited legal capacity.”</w:t>
      </w:r>
      <w:r w:rsidR="00E0491E">
        <w:rPr>
          <w:rStyle w:val="FootnoteReference"/>
        </w:rPr>
        <w:footnoteReference w:id="347"/>
      </w:r>
    </w:p>
    <w:p w14:paraId="22CFEFE6" w14:textId="77777777" w:rsidR="00665F6F" w:rsidRDefault="00665F6F"/>
    <w:p w14:paraId="4AD78D84" w14:textId="1492664D" w:rsidR="00D2283D" w:rsidRDefault="00E6781B">
      <w:r>
        <w:lastRenderedPageBreak/>
        <w:t xml:space="preserve">It is worth noting that some ambiguity </w:t>
      </w:r>
      <w:r w:rsidR="00DB468E">
        <w:t xml:space="preserve">arguably </w:t>
      </w:r>
      <w:r w:rsidR="007476CC">
        <w:t>exists</w:t>
      </w:r>
      <w:r w:rsidR="00DB468E">
        <w:t xml:space="preserve"> in the </w:t>
      </w:r>
      <w:r w:rsidR="004D3EA3">
        <w:t xml:space="preserve">text of the </w:t>
      </w:r>
      <w:r w:rsidR="00DB468E">
        <w:t xml:space="preserve">updated </w:t>
      </w:r>
      <w:r w:rsidR="006F3180">
        <w:t xml:space="preserve">Georgian Civil Code. </w:t>
      </w:r>
      <w:r w:rsidR="003D34C0">
        <w:t>As</w:t>
      </w:r>
      <w:r w:rsidR="00836EA8">
        <w:t xml:space="preserve"> mentioned, the provision allowing for declarations of inc</w:t>
      </w:r>
      <w:r w:rsidR="008305AB">
        <w:t xml:space="preserve">apacity </w:t>
      </w:r>
      <w:r w:rsidR="00583C99">
        <w:t xml:space="preserve">and appointment of a guardian </w:t>
      </w:r>
      <w:r w:rsidR="008305AB">
        <w:t xml:space="preserve">based on the diagnosis of an impairment </w:t>
      </w:r>
      <w:proofErr w:type="gramStart"/>
      <w:r w:rsidR="00777411">
        <w:t>has been eliminated</w:t>
      </w:r>
      <w:proofErr w:type="gramEnd"/>
      <w:r w:rsidR="00777411">
        <w:t>.</w:t>
      </w:r>
      <w:r w:rsidR="00157335">
        <w:t xml:space="preserve"> </w:t>
      </w:r>
      <w:r w:rsidR="0085797A">
        <w:t>The provision of the</w:t>
      </w:r>
      <w:r w:rsidR="00157335">
        <w:t xml:space="preserve"> Code </w:t>
      </w:r>
      <w:r w:rsidR="0085797A">
        <w:t>entitled</w:t>
      </w:r>
      <w:r w:rsidR="00120386">
        <w:t xml:space="preserve"> “Guardianship” </w:t>
      </w:r>
      <w:r w:rsidR="00D86831">
        <w:t xml:space="preserve">now </w:t>
      </w:r>
      <w:r w:rsidR="00D94237">
        <w:t xml:space="preserve">only </w:t>
      </w:r>
      <w:r w:rsidR="00C70272">
        <w:t xml:space="preserve">describes </w:t>
      </w:r>
      <w:r w:rsidR="00D94AC8">
        <w:t xml:space="preserve">the </w:t>
      </w:r>
      <w:r w:rsidR="008A5E01">
        <w:t xml:space="preserve">possibility of appointing a guardian </w:t>
      </w:r>
      <w:r w:rsidR="00091690">
        <w:t xml:space="preserve">for a child under the age of </w:t>
      </w:r>
      <w:r w:rsidR="00C23FCF">
        <w:t>seven.</w:t>
      </w:r>
      <w:r w:rsidR="0056609F">
        <w:rPr>
          <w:rStyle w:val="FootnoteReference"/>
        </w:rPr>
        <w:footnoteReference w:id="348"/>
      </w:r>
      <w:r w:rsidR="0056609F">
        <w:t xml:space="preserve">  Nevertheless, </w:t>
      </w:r>
      <w:r w:rsidR="001B77E5">
        <w:t>one article in the new Code provides that</w:t>
      </w:r>
      <w:r w:rsidR="0086705A">
        <w:t xml:space="preserve"> </w:t>
      </w:r>
      <w:r w:rsidR="00240072">
        <w:t>“</w:t>
      </w:r>
      <w:r w:rsidR="007F60B7">
        <w:t>guardianship</w:t>
      </w:r>
      <w:r w:rsidR="00240072">
        <w:t>”</w:t>
      </w:r>
      <w:r w:rsidR="007F60B7">
        <w:t xml:space="preserve"> </w:t>
      </w:r>
      <w:proofErr w:type="gramStart"/>
      <w:r w:rsidR="007F60B7">
        <w:t>may be instituted</w:t>
      </w:r>
      <w:proofErr w:type="gramEnd"/>
      <w:r w:rsidR="007F60B7">
        <w:t xml:space="preserve"> for </w:t>
      </w:r>
      <w:r w:rsidR="00050504">
        <w:t xml:space="preserve">adults </w:t>
      </w:r>
      <w:r w:rsidR="00B86468">
        <w:t xml:space="preserve">who are unable to exercise </w:t>
      </w:r>
      <w:r w:rsidR="005A4A21">
        <w:t>their rights and perform their duties independently due to a health condition.</w:t>
      </w:r>
      <w:r w:rsidR="005A4A21">
        <w:rPr>
          <w:rStyle w:val="FootnoteReference"/>
        </w:rPr>
        <w:footnoteReference w:id="349"/>
      </w:r>
      <w:r w:rsidR="004B7250">
        <w:t xml:space="preserve"> Thus, it arguably remains unclear whether </w:t>
      </w:r>
      <w:r w:rsidR="00690226">
        <w:t xml:space="preserve">the institution of </w:t>
      </w:r>
      <w:r w:rsidR="004B7250">
        <w:t>guardianship</w:t>
      </w:r>
      <w:r w:rsidR="00C6629D">
        <w:t xml:space="preserve"> </w:t>
      </w:r>
      <w:r w:rsidR="0040295B">
        <w:t xml:space="preserve">still </w:t>
      </w:r>
      <w:r w:rsidR="00C02A1E">
        <w:t>exists</w:t>
      </w:r>
      <w:r w:rsidR="0040295B">
        <w:t xml:space="preserve"> </w:t>
      </w:r>
      <w:r w:rsidR="00194685">
        <w:t xml:space="preserve">under </w:t>
      </w:r>
      <w:r w:rsidR="00825B35">
        <w:t>Georgian</w:t>
      </w:r>
      <w:r w:rsidR="009B2477">
        <w:t xml:space="preserve"> law </w:t>
      </w:r>
      <w:r w:rsidR="00EC75A2">
        <w:t>in the cont</w:t>
      </w:r>
      <w:r w:rsidR="0018483A">
        <w:t>ext of</w:t>
      </w:r>
      <w:r w:rsidR="002B09B4">
        <w:t xml:space="preserve"> persons</w:t>
      </w:r>
      <w:r w:rsidR="00C61623">
        <w:t xml:space="preserve"> </w:t>
      </w:r>
      <w:r w:rsidR="00645317">
        <w:t>with disabilities.</w:t>
      </w:r>
      <w:r w:rsidR="00696D26">
        <w:t xml:space="preserve"> </w:t>
      </w:r>
      <w:r w:rsidR="005651C4">
        <w:t>It is</w:t>
      </w:r>
      <w:r w:rsidR="00D274E9">
        <w:t xml:space="preserve">, however, </w:t>
      </w:r>
      <w:r w:rsidR="00EB6041">
        <w:t>presumably</w:t>
      </w:r>
      <w:r w:rsidR="00D274E9">
        <w:t xml:space="preserve"> </w:t>
      </w:r>
      <w:r w:rsidR="00A16A62">
        <w:t xml:space="preserve">clear that </w:t>
      </w:r>
      <w:r w:rsidR="00EA3944">
        <w:t>person</w:t>
      </w:r>
      <w:r w:rsidR="0004570B">
        <w:t>s</w:t>
      </w:r>
      <w:r w:rsidR="00EA3944">
        <w:t xml:space="preserve"> with disabilit</w:t>
      </w:r>
      <w:r w:rsidR="0004570B">
        <w:t>ies</w:t>
      </w:r>
      <w:r w:rsidR="00EA3944">
        <w:t xml:space="preserve"> </w:t>
      </w:r>
      <w:proofErr w:type="gramStart"/>
      <w:r w:rsidR="00EA3944">
        <w:t>may still be placed</w:t>
      </w:r>
      <w:proofErr w:type="gramEnd"/>
      <w:r w:rsidR="00EA3944">
        <w:t xml:space="preserve"> under </w:t>
      </w:r>
      <w:r w:rsidR="00A16A62">
        <w:t xml:space="preserve">custodianship </w:t>
      </w:r>
      <w:r w:rsidR="00090AF7">
        <w:t xml:space="preserve">in </w:t>
      </w:r>
      <w:r w:rsidR="00F249C6">
        <w:t>Georgia</w:t>
      </w:r>
      <w:r w:rsidR="00090AF7">
        <w:t xml:space="preserve">. </w:t>
      </w:r>
      <w:r w:rsidR="00DB6A3B">
        <w:t xml:space="preserve">This </w:t>
      </w:r>
      <w:r w:rsidR="00287896">
        <w:t xml:space="preserve">overall </w:t>
      </w:r>
      <w:r w:rsidR="00DB6A3B">
        <w:t>lack of clarity</w:t>
      </w:r>
      <w:r w:rsidR="0052354A">
        <w:t xml:space="preserve">, however, </w:t>
      </w:r>
      <w:proofErr w:type="gramStart"/>
      <w:r w:rsidR="004B3D3B">
        <w:t xml:space="preserve">is </w:t>
      </w:r>
      <w:r w:rsidR="004E575D">
        <w:t xml:space="preserve">further </w:t>
      </w:r>
      <w:r w:rsidR="004B3D3B">
        <w:t>compounded</w:t>
      </w:r>
      <w:proofErr w:type="gramEnd"/>
      <w:r w:rsidR="004B3D3B">
        <w:t xml:space="preserve"> by the fact that the Code </w:t>
      </w:r>
      <w:r w:rsidR="001F3C1C" w:rsidRPr="002B0B2F">
        <w:t>provide</w:t>
      </w:r>
      <w:r w:rsidR="00CC014D" w:rsidRPr="002B0B2F">
        <w:t>s</w:t>
      </w:r>
      <w:r w:rsidR="001F3C1C" w:rsidRPr="002B0B2F">
        <w:t xml:space="preserve"> </w:t>
      </w:r>
      <w:r w:rsidR="00FC3CC0" w:rsidRPr="002B0B2F">
        <w:t xml:space="preserve">sparse detail </w:t>
      </w:r>
      <w:r w:rsidR="00E0631D" w:rsidRPr="002B0B2F">
        <w:t xml:space="preserve">on </w:t>
      </w:r>
      <w:r w:rsidR="00E31779" w:rsidRPr="002B0B2F">
        <w:t>the institution of custodianship</w:t>
      </w:r>
      <w:r w:rsidR="001971E4" w:rsidRPr="002B0B2F">
        <w:t xml:space="preserve">. </w:t>
      </w:r>
      <w:r w:rsidR="00862034" w:rsidRPr="002B0B2F">
        <w:t xml:space="preserve">As persons under custodianship </w:t>
      </w:r>
      <w:proofErr w:type="gramStart"/>
      <w:r w:rsidR="00862034" w:rsidRPr="002B0B2F">
        <w:t>are deemed</w:t>
      </w:r>
      <w:proofErr w:type="gramEnd"/>
      <w:r w:rsidR="00862034" w:rsidRPr="002B0B2F">
        <w:t xml:space="preserve"> to be of “limited legal capacity,”</w:t>
      </w:r>
      <w:r w:rsidR="00EE4F75" w:rsidRPr="002B0B2F">
        <w:rPr>
          <w:rStyle w:val="FootnoteReference"/>
        </w:rPr>
        <w:footnoteReference w:id="350"/>
      </w:r>
      <w:r w:rsidR="00862034" w:rsidRPr="002B0B2F">
        <w:t xml:space="preserve"> it would </w:t>
      </w:r>
      <w:r w:rsidR="00967E4B" w:rsidRPr="002B0B2F">
        <w:t xml:space="preserve">seem </w:t>
      </w:r>
      <w:r w:rsidR="00DA7AFB" w:rsidRPr="002B0B2F">
        <w:t>that custodianship</w:t>
      </w:r>
      <w:r w:rsidR="00967E4B" w:rsidRPr="002B0B2F">
        <w:t xml:space="preserve"> resemble</w:t>
      </w:r>
      <w:r w:rsidR="005E3888" w:rsidRPr="002B0B2F">
        <w:t>s</w:t>
      </w:r>
      <w:r w:rsidR="00967E4B" w:rsidRPr="002B0B2F">
        <w:t xml:space="preserve"> a sort of partial guardianship arrangement under which </w:t>
      </w:r>
      <w:r w:rsidR="001024A4" w:rsidRPr="002B0B2F">
        <w:t xml:space="preserve">the </w:t>
      </w:r>
      <w:r w:rsidR="001D48FC" w:rsidRPr="002B0B2F">
        <w:t xml:space="preserve">custodian </w:t>
      </w:r>
      <w:r w:rsidR="00EA5EB5" w:rsidRPr="002B0B2F">
        <w:t xml:space="preserve">plays </w:t>
      </w:r>
      <w:r w:rsidR="004864EF" w:rsidRPr="002B0B2F">
        <w:t>a protective role</w:t>
      </w:r>
      <w:r w:rsidR="0086705A" w:rsidRPr="002B0B2F">
        <w:t>,</w:t>
      </w:r>
      <w:r w:rsidR="00EF5A16" w:rsidRPr="002B0B2F">
        <w:rPr>
          <w:rStyle w:val="FootnoteReference"/>
        </w:rPr>
        <w:footnoteReference w:id="351"/>
      </w:r>
      <w:r w:rsidR="007B3127" w:rsidRPr="002B0B2F">
        <w:t xml:space="preserve"> </w:t>
      </w:r>
      <w:r w:rsidR="00AF33D1" w:rsidRPr="002B0B2F">
        <w:t>typical of a traditional substitute decision-maker.</w:t>
      </w:r>
      <w:r w:rsidR="00607FF0">
        <w:t xml:space="preserve"> </w:t>
      </w:r>
    </w:p>
    <w:p w14:paraId="41B95EEC" w14:textId="77777777" w:rsidR="000651D6" w:rsidRPr="002A28E1" w:rsidRDefault="000651D6"/>
    <w:p w14:paraId="563C91F1" w14:textId="1CFC32D8" w:rsidR="004D5955" w:rsidRDefault="00B651E8">
      <w:proofErr w:type="gramStart"/>
      <w:r w:rsidRPr="002A28E1">
        <w:t>With regards to</w:t>
      </w:r>
      <w:proofErr w:type="gramEnd"/>
      <w:r w:rsidRPr="002A28E1">
        <w:t xml:space="preserve"> compliance</w:t>
      </w:r>
      <w:r w:rsidR="00FA62DB" w:rsidRPr="002A28E1">
        <w:t xml:space="preserve"> with</w:t>
      </w:r>
      <w:r w:rsidR="00CB0315" w:rsidRPr="002A28E1">
        <w:t xml:space="preserve"> A</w:t>
      </w:r>
      <w:r w:rsidR="00FA62DB" w:rsidRPr="002A28E1">
        <w:t>rticle 12 of the CRPD</w:t>
      </w:r>
      <w:r w:rsidR="002D2485" w:rsidRPr="002A28E1">
        <w:t>,</w:t>
      </w:r>
      <w:r w:rsidRPr="002A28E1">
        <w:t xml:space="preserve"> </w:t>
      </w:r>
      <w:r w:rsidR="009F6564" w:rsidRPr="002A28E1">
        <w:t>Georgian</w:t>
      </w:r>
      <w:r w:rsidR="00F62D9F" w:rsidRPr="002A28E1">
        <w:t xml:space="preserve"> law</w:t>
      </w:r>
      <w:r w:rsidR="007B3D98">
        <w:t xml:space="preserve"> does not expressly recognize </w:t>
      </w:r>
      <w:r w:rsidR="007B3D98" w:rsidRPr="002B0B2F">
        <w:t xml:space="preserve">the right of persons with disabilities </w:t>
      </w:r>
      <w:r w:rsidR="00AD1AB5" w:rsidRPr="002B0B2F">
        <w:t>to full legal capacity. The Georgian Code</w:t>
      </w:r>
      <w:r w:rsidR="00F62D9F" w:rsidRPr="002B0B2F">
        <w:t xml:space="preserve"> </w:t>
      </w:r>
      <w:r w:rsidR="00660F9A" w:rsidRPr="002B0B2F">
        <w:t>grants</w:t>
      </w:r>
      <w:r w:rsidR="00F62D9F" w:rsidRPr="002B0B2F">
        <w:t xml:space="preserve"> legal capacity </w:t>
      </w:r>
      <w:r w:rsidR="008D3869" w:rsidRPr="002B0B2F">
        <w:t xml:space="preserve">to </w:t>
      </w:r>
      <w:r w:rsidR="00660F9A" w:rsidRPr="002B0B2F">
        <w:t>all adults</w:t>
      </w:r>
      <w:r w:rsidR="0042016D" w:rsidRPr="002B0B2F">
        <w:t>,</w:t>
      </w:r>
      <w:r w:rsidR="00EA1969" w:rsidRPr="002B0B2F">
        <w:rPr>
          <w:rStyle w:val="FootnoteReference"/>
        </w:rPr>
        <w:footnoteReference w:id="352"/>
      </w:r>
      <w:r w:rsidR="009F66B6" w:rsidRPr="002B0B2F">
        <w:t xml:space="preserve"> </w:t>
      </w:r>
      <w:r w:rsidR="00660F9A" w:rsidRPr="002B0B2F">
        <w:t>but recognizes that legal capacity may be limited.</w:t>
      </w:r>
      <w:r w:rsidR="00660F9A" w:rsidRPr="002B0B2F">
        <w:rPr>
          <w:rStyle w:val="FootnoteReference"/>
        </w:rPr>
        <w:footnoteReference w:id="353"/>
      </w:r>
      <w:r w:rsidR="00660F9A" w:rsidRPr="002B0B2F">
        <w:t xml:space="preserve"> </w:t>
      </w:r>
      <w:r w:rsidR="00CB5B8E" w:rsidRPr="002B0B2F">
        <w:t xml:space="preserve">The Code retains the institution </w:t>
      </w:r>
      <w:r w:rsidR="004B68B8" w:rsidRPr="002B0B2F">
        <w:t>custodianship</w:t>
      </w:r>
      <w:r w:rsidR="00CB5B8E" w:rsidRPr="002B0B2F">
        <w:t xml:space="preserve">, which restricts legal capacity </w:t>
      </w:r>
      <w:proofErr w:type="gramStart"/>
      <w:r w:rsidR="00241AFA" w:rsidRPr="002B0B2F">
        <w:t xml:space="preserve">on </w:t>
      </w:r>
      <w:r w:rsidR="00D3054D" w:rsidRPr="002B0B2F">
        <w:t>the basis of</w:t>
      </w:r>
      <w:proofErr w:type="gramEnd"/>
      <w:r w:rsidR="00D3054D" w:rsidRPr="002B0B2F">
        <w:t xml:space="preserve"> a person’s decision-making</w:t>
      </w:r>
      <w:r w:rsidR="0053483F">
        <w:t xml:space="preserve"> skills and the diagnosis of a “health condition</w:t>
      </w:r>
      <w:r w:rsidR="002F0853">
        <w:t>.</w:t>
      </w:r>
      <w:r w:rsidR="0053483F">
        <w:t>”</w:t>
      </w:r>
      <w:r w:rsidR="00C20E05">
        <w:rPr>
          <w:rStyle w:val="FootnoteReference"/>
        </w:rPr>
        <w:footnoteReference w:id="354"/>
      </w:r>
      <w:r w:rsidR="006026CD">
        <w:t xml:space="preserve"> </w:t>
      </w:r>
      <w:r w:rsidR="001D52FA">
        <w:t xml:space="preserve">This </w:t>
      </w:r>
      <w:r w:rsidR="002B0B2F">
        <w:t>would seem to</w:t>
      </w:r>
      <w:r w:rsidR="001D52FA">
        <w:t xml:space="preserve"> constitute a discriminatory</w:t>
      </w:r>
      <w:r w:rsidR="002B743E">
        <w:t xml:space="preserve"> </w:t>
      </w:r>
      <w:r w:rsidR="00BF3E50">
        <w:t>restriction</w:t>
      </w:r>
      <w:r w:rsidR="002B743E">
        <w:t xml:space="preserve"> of legal capacity </w:t>
      </w:r>
      <w:r w:rsidR="005955D5">
        <w:t>in</w:t>
      </w:r>
      <w:r w:rsidR="002B743E">
        <w:t xml:space="preserve"> contraven</w:t>
      </w:r>
      <w:r w:rsidR="005955D5">
        <w:t>tion of</w:t>
      </w:r>
      <w:r w:rsidR="002B743E">
        <w:t xml:space="preserve"> </w:t>
      </w:r>
      <w:r w:rsidR="009134E3">
        <w:t>Article</w:t>
      </w:r>
      <w:r w:rsidR="002B743E">
        <w:t xml:space="preserve"> 12.</w:t>
      </w:r>
      <w:r w:rsidR="002B743E">
        <w:rPr>
          <w:rStyle w:val="FootnoteReference"/>
        </w:rPr>
        <w:footnoteReference w:id="355"/>
      </w:r>
      <w:r w:rsidR="00BF3E50">
        <w:t xml:space="preserve"> </w:t>
      </w:r>
      <w:r w:rsidR="00C237EC">
        <w:t>The</w:t>
      </w:r>
      <w:r w:rsidR="006229B1">
        <w:t xml:space="preserve"> Georgian</w:t>
      </w:r>
      <w:r w:rsidR="00C237EC">
        <w:t xml:space="preserve"> regime</w:t>
      </w:r>
      <w:r w:rsidR="00994FFC">
        <w:t xml:space="preserve"> of</w:t>
      </w:r>
      <w:r w:rsidR="00C237EC">
        <w:t xml:space="preserve"> c</w:t>
      </w:r>
      <w:r w:rsidR="0032334D">
        <w:t>ustodianship</w:t>
      </w:r>
      <w:r w:rsidR="00F07A05">
        <w:t xml:space="preserve"> </w:t>
      </w:r>
      <w:proofErr w:type="gramStart"/>
      <w:r w:rsidR="00EA1323">
        <w:t xml:space="preserve">is </w:t>
      </w:r>
      <w:r w:rsidR="005932B3">
        <w:t>grounded</w:t>
      </w:r>
      <w:proofErr w:type="gramEnd"/>
      <w:r w:rsidR="005932B3">
        <w:t xml:space="preserve"> in the protection of </w:t>
      </w:r>
      <w:r w:rsidR="004E6B02">
        <w:t>a</w:t>
      </w:r>
      <w:r w:rsidR="005932B3">
        <w:t xml:space="preserve"> person’s rights and interests</w:t>
      </w:r>
      <w:r w:rsidR="007D245C">
        <w:t xml:space="preserve"> and </w:t>
      </w:r>
      <w:r w:rsidR="004866B2">
        <w:t>ostensibly</w:t>
      </w:r>
      <w:r w:rsidR="000479C9">
        <w:t xml:space="preserve"> </w:t>
      </w:r>
      <w:r w:rsidR="007D245C">
        <w:t>constitute</w:t>
      </w:r>
      <w:r w:rsidR="000479C9">
        <w:t>s</w:t>
      </w:r>
      <w:r w:rsidR="007D245C">
        <w:t xml:space="preserve"> a</w:t>
      </w:r>
      <w:r w:rsidR="0019692A">
        <w:t xml:space="preserve"> pure</w:t>
      </w:r>
      <w:r w:rsidR="007D245C">
        <w:t xml:space="preserve"> form of substitute decision-making</w:t>
      </w:r>
      <w:r w:rsidR="000479C9">
        <w:t>, making this institution</w:t>
      </w:r>
      <w:r w:rsidR="005932B3">
        <w:t xml:space="preserve"> </w:t>
      </w:r>
      <w:r w:rsidR="004D5955">
        <w:t>out of step</w:t>
      </w:r>
      <w:r w:rsidR="005932B3">
        <w:t xml:space="preserve"> with Article 12.</w:t>
      </w:r>
    </w:p>
    <w:p w14:paraId="5B1C2E28" w14:textId="77777777" w:rsidR="004D5955" w:rsidRDefault="004D5955"/>
    <w:p w14:paraId="6E48138C" w14:textId="0EE858F1" w:rsidR="00C3060D" w:rsidRPr="002A28E1" w:rsidRDefault="007B3D98">
      <w:pPr>
        <w:rPr>
          <w:highlight w:val="lightGray"/>
        </w:rPr>
      </w:pPr>
      <w:r>
        <w:t>The law doe</w:t>
      </w:r>
      <w:r w:rsidR="00C35F96">
        <w:t>s</w:t>
      </w:r>
      <w:r w:rsidR="009F66B6" w:rsidRPr="002A28E1">
        <w:t xml:space="preserve"> set out </w:t>
      </w:r>
      <w:r w:rsidR="00A435B4" w:rsidRPr="002A28E1">
        <w:t xml:space="preserve">a supported decision-making system, with safeguards including oversight </w:t>
      </w:r>
      <w:r w:rsidR="005B4FB2" w:rsidRPr="002A28E1">
        <w:t xml:space="preserve">of supporters </w:t>
      </w:r>
      <w:r w:rsidR="00A435B4" w:rsidRPr="002A28E1">
        <w:t xml:space="preserve">by the </w:t>
      </w:r>
      <w:r w:rsidR="00BD4E27" w:rsidRPr="002A28E1">
        <w:t>a</w:t>
      </w:r>
      <w:r w:rsidR="008E01A9">
        <w:t>uthorities</w:t>
      </w:r>
      <w:r w:rsidR="00BD4E27" w:rsidRPr="002A28E1">
        <w:t xml:space="preserve"> of guardianship and </w:t>
      </w:r>
      <w:r w:rsidR="00F02B72">
        <w:t>custodianship</w:t>
      </w:r>
      <w:r w:rsidR="00653720" w:rsidRPr="002A28E1">
        <w:t>.</w:t>
      </w:r>
      <w:r w:rsidR="006A6613">
        <w:rPr>
          <w:rStyle w:val="FootnoteReference"/>
        </w:rPr>
        <w:footnoteReference w:id="356"/>
      </w:r>
      <w:r w:rsidR="00AB132C" w:rsidRPr="002A28E1">
        <w:t xml:space="preserve"> </w:t>
      </w:r>
      <w:r w:rsidR="004B437F">
        <w:t>Supported persons are also able to reques</w:t>
      </w:r>
      <w:r w:rsidR="00D804A2">
        <w:t xml:space="preserve">t </w:t>
      </w:r>
      <w:r w:rsidR="006C23AA">
        <w:t xml:space="preserve">to the court that their support person be relieved of their </w:t>
      </w:r>
      <w:r w:rsidR="00240950">
        <w:t>duties</w:t>
      </w:r>
      <w:r w:rsidR="006C23AA">
        <w:t>,</w:t>
      </w:r>
      <w:r w:rsidR="00261147">
        <w:rPr>
          <w:rStyle w:val="FootnoteReference"/>
        </w:rPr>
        <w:footnoteReference w:id="357"/>
      </w:r>
      <w:r w:rsidR="006C23AA">
        <w:t xml:space="preserve"> but they are not </w:t>
      </w:r>
      <w:r w:rsidR="00CC55C8">
        <w:t xml:space="preserve">endowed with the right to appeal the actions of </w:t>
      </w:r>
      <w:proofErr w:type="gramStart"/>
      <w:r w:rsidR="00CC55C8">
        <w:t>supporters</w:t>
      </w:r>
      <w:proofErr w:type="gramEnd"/>
      <w:r w:rsidR="00CC55C8">
        <w:t xml:space="preserve"> as persons under guardianship and custodianship are able to do.</w:t>
      </w:r>
      <w:r w:rsidR="009C5599">
        <w:rPr>
          <w:rStyle w:val="FootnoteReference"/>
        </w:rPr>
        <w:footnoteReference w:id="358"/>
      </w:r>
    </w:p>
    <w:p w14:paraId="78CEEE02" w14:textId="77777777" w:rsidR="00C3060D" w:rsidRPr="002A28E1" w:rsidRDefault="00C3060D"/>
    <w:p w14:paraId="1330DB8B" w14:textId="45B03DEF" w:rsidR="00B651E8" w:rsidRPr="000842F6" w:rsidRDefault="002B43E4">
      <w:r>
        <w:t>Critically, s</w:t>
      </w:r>
      <w:r w:rsidR="007C0038">
        <w:t>ome of the</w:t>
      </w:r>
      <w:r w:rsidR="00E21697" w:rsidRPr="002A28E1">
        <w:t xml:space="preserve"> provisions in the Georgian Civil Code </w:t>
      </w:r>
      <w:r w:rsidR="00D36456">
        <w:t xml:space="preserve">on supported decision-making </w:t>
      </w:r>
      <w:r w:rsidR="00E21697" w:rsidRPr="002A28E1">
        <w:t xml:space="preserve">would seem </w:t>
      </w:r>
      <w:r w:rsidR="00492865" w:rsidRPr="002A28E1">
        <w:t xml:space="preserve">incompatible with </w:t>
      </w:r>
      <w:r w:rsidR="00E63211" w:rsidRPr="002A28E1">
        <w:t>A</w:t>
      </w:r>
      <w:r w:rsidR="00A14642" w:rsidRPr="002A28E1">
        <w:t>rticle 12</w:t>
      </w:r>
      <w:r w:rsidR="00492865" w:rsidRPr="002A28E1">
        <w:t xml:space="preserve"> of the CRPD.</w:t>
      </w:r>
      <w:r w:rsidR="00F454CC">
        <w:rPr>
          <w:rStyle w:val="FootnoteReference"/>
        </w:rPr>
        <w:footnoteReference w:id="359"/>
      </w:r>
      <w:r w:rsidR="00492865" w:rsidRPr="002A28E1">
        <w:t xml:space="preserve"> </w:t>
      </w:r>
      <w:r w:rsidR="006F50E2" w:rsidRPr="002A28E1">
        <w:t xml:space="preserve">For instance, if a </w:t>
      </w:r>
      <w:r w:rsidR="00D850BE" w:rsidRPr="002A28E1">
        <w:t>support</w:t>
      </w:r>
      <w:r w:rsidR="006A44E2">
        <w:t xml:space="preserve">ed person </w:t>
      </w:r>
      <w:r w:rsidR="00D850BE" w:rsidRPr="002A28E1">
        <w:t xml:space="preserve">partakes in a transaction in which </w:t>
      </w:r>
      <w:r w:rsidR="003F60FB" w:rsidRPr="002A28E1">
        <w:t xml:space="preserve">a court has deemed </w:t>
      </w:r>
      <w:r w:rsidR="008463B8" w:rsidRPr="002A28E1">
        <w:t xml:space="preserve">requires support and </w:t>
      </w:r>
      <w:r w:rsidR="00477776" w:rsidRPr="002A28E1">
        <w:t xml:space="preserve">the person does </w:t>
      </w:r>
      <w:r w:rsidR="003455F8" w:rsidRPr="002A28E1">
        <w:t xml:space="preserve">not get the approval of the supporter, the transaction </w:t>
      </w:r>
      <w:proofErr w:type="gramStart"/>
      <w:r w:rsidR="003455F8" w:rsidRPr="002A28E1">
        <w:t>will be considered</w:t>
      </w:r>
      <w:proofErr w:type="gramEnd"/>
      <w:r w:rsidR="003455F8" w:rsidRPr="002A28E1">
        <w:t xml:space="preserve"> invalid, unless it </w:t>
      </w:r>
      <w:r w:rsidR="00587EA2" w:rsidRPr="002A28E1">
        <w:t xml:space="preserve">is </w:t>
      </w:r>
      <w:r w:rsidR="005C66FA" w:rsidRPr="002A28E1">
        <w:t xml:space="preserve">decided </w:t>
      </w:r>
      <w:r w:rsidR="00326730" w:rsidRPr="002A28E1">
        <w:lastRenderedPageBreak/>
        <w:t xml:space="preserve">that the </w:t>
      </w:r>
      <w:r w:rsidR="00356BB6" w:rsidRPr="002A28E1">
        <w:t>support</w:t>
      </w:r>
      <w:r w:rsidR="006205B7">
        <w:t xml:space="preserve">ed person </w:t>
      </w:r>
      <w:r w:rsidR="00356BB6" w:rsidRPr="002A28E1">
        <w:t xml:space="preserve">“benefits” </w:t>
      </w:r>
      <w:r w:rsidR="00356BB6" w:rsidRPr="00266021">
        <w:t>from the transaction</w:t>
      </w:r>
      <w:r w:rsidR="004E12DC" w:rsidRPr="00266021">
        <w:t>.</w:t>
      </w:r>
      <w:r w:rsidR="004E12DC" w:rsidRPr="00266021">
        <w:rPr>
          <w:rStyle w:val="FootnoteReference"/>
        </w:rPr>
        <w:footnoteReference w:id="360"/>
      </w:r>
      <w:r w:rsidR="00D51AB9" w:rsidRPr="00266021">
        <w:t xml:space="preserve"> Moreover, when a support</w:t>
      </w:r>
      <w:r w:rsidR="0035707F" w:rsidRPr="00266021">
        <w:t>ed person</w:t>
      </w:r>
      <w:r w:rsidR="00217F2D" w:rsidRPr="00266021">
        <w:t xml:space="preserve"> </w:t>
      </w:r>
      <w:r w:rsidR="00D51AB9" w:rsidRPr="00266021">
        <w:t xml:space="preserve">makes a written transaction with another party, it needs to </w:t>
      </w:r>
      <w:proofErr w:type="gramStart"/>
      <w:r w:rsidR="00D51AB9" w:rsidRPr="00266021">
        <w:t>be signed</w:t>
      </w:r>
      <w:proofErr w:type="gramEnd"/>
      <w:r w:rsidR="00D51AB9" w:rsidRPr="00266021">
        <w:t xml:space="preserve"> by the supporter as well.</w:t>
      </w:r>
      <w:r w:rsidR="00D51AB9" w:rsidRPr="00266021">
        <w:rPr>
          <w:rStyle w:val="FootnoteReference"/>
        </w:rPr>
        <w:footnoteReference w:id="361"/>
      </w:r>
      <w:r w:rsidR="00A50069" w:rsidRPr="00266021">
        <w:t xml:space="preserve"> </w:t>
      </w:r>
      <w:r w:rsidR="00E64234" w:rsidRPr="00266021">
        <w:t>Th</w:t>
      </w:r>
      <w:r w:rsidR="008C4AA7" w:rsidRPr="00266021">
        <w:t>e</w:t>
      </w:r>
      <w:r w:rsidR="00E64234" w:rsidRPr="00266021">
        <w:t>s</w:t>
      </w:r>
      <w:r w:rsidR="008C4AA7" w:rsidRPr="00266021">
        <w:t>e</w:t>
      </w:r>
      <w:r w:rsidR="00E64234" w:rsidRPr="00266021">
        <w:t xml:space="preserve"> </w:t>
      </w:r>
      <w:r w:rsidR="00624CF3" w:rsidRPr="00266021">
        <w:t>provision</w:t>
      </w:r>
      <w:r w:rsidR="0002701D" w:rsidRPr="00266021">
        <w:t>s</w:t>
      </w:r>
      <w:r w:rsidR="00624CF3" w:rsidRPr="00266021">
        <w:t xml:space="preserve"> would seem to</w:t>
      </w:r>
      <w:r w:rsidR="000C1831" w:rsidRPr="00266021">
        <w:t xml:space="preserve"> restrict the exercise of </w:t>
      </w:r>
      <w:r w:rsidR="009C44C7" w:rsidRPr="00266021">
        <w:t>a</w:t>
      </w:r>
      <w:r w:rsidR="00920ECB" w:rsidRPr="00266021">
        <w:t xml:space="preserve"> </w:t>
      </w:r>
      <w:r w:rsidR="000C1831" w:rsidRPr="00266021">
        <w:t>supported person</w:t>
      </w:r>
      <w:r w:rsidR="003952DB" w:rsidRPr="00266021">
        <w:t>’s</w:t>
      </w:r>
      <w:r w:rsidR="000C1831" w:rsidRPr="00266021">
        <w:t xml:space="preserve"> legal capacity </w:t>
      </w:r>
      <w:r w:rsidR="00E825AE" w:rsidRPr="00266021">
        <w:t xml:space="preserve">by </w:t>
      </w:r>
      <w:r w:rsidR="000C1831" w:rsidRPr="00266021">
        <w:t>allowing a supporter to “veto” a transaction that aligned with the will and preferences of the suppor</w:t>
      </w:r>
      <w:r w:rsidR="00825C5C" w:rsidRPr="00266021">
        <w:t>ted person</w:t>
      </w:r>
      <w:r w:rsidR="000C1831" w:rsidRPr="00266021">
        <w:t>.</w:t>
      </w:r>
      <w:r w:rsidR="000842F6" w:rsidRPr="00266021">
        <w:t xml:space="preserve"> </w:t>
      </w:r>
      <w:r w:rsidR="00D51AB9" w:rsidRPr="00266021">
        <w:t>Additionally, the exception</w:t>
      </w:r>
      <w:r w:rsidR="000842F6" w:rsidRPr="00266021">
        <w:t xml:space="preserve"> for situations where the supported person “benefits” from a transaction appears to</w:t>
      </w:r>
      <w:r w:rsidR="00D51AB9" w:rsidRPr="00266021">
        <w:t xml:space="preserve"> </w:t>
      </w:r>
      <w:r w:rsidR="002C7286" w:rsidRPr="00266021">
        <w:t>reflect</w:t>
      </w:r>
      <w:r w:rsidR="00624CF3" w:rsidRPr="00266021">
        <w:t xml:space="preserve"> the notion of </w:t>
      </w:r>
      <w:r w:rsidR="00801EEB" w:rsidRPr="00266021">
        <w:t xml:space="preserve">upholding </w:t>
      </w:r>
      <w:r w:rsidR="000D012F" w:rsidRPr="00266021">
        <w:t xml:space="preserve">a person’s </w:t>
      </w:r>
      <w:r w:rsidR="00A45B15" w:rsidRPr="00266021">
        <w:t>“best interest”</w:t>
      </w:r>
      <w:r w:rsidR="002D364C" w:rsidRPr="00266021">
        <w:t xml:space="preserve"> rather than </w:t>
      </w:r>
      <w:r w:rsidR="008821AD" w:rsidRPr="00266021">
        <w:t>respect for</w:t>
      </w:r>
      <w:r w:rsidR="00B3620A" w:rsidRPr="00266021">
        <w:t xml:space="preserve"> the</w:t>
      </w:r>
      <w:r w:rsidR="002D364C" w:rsidRPr="00266021">
        <w:t xml:space="preserve"> </w:t>
      </w:r>
      <w:r w:rsidR="00886F89" w:rsidRPr="00266021">
        <w:t>“will and preferences” of the individual.</w:t>
      </w:r>
      <w:r w:rsidR="005B7709" w:rsidRPr="00266021">
        <w:t xml:space="preserve"> </w:t>
      </w:r>
      <w:r w:rsidR="005F1772" w:rsidRPr="00266021">
        <w:t xml:space="preserve">Finally, </w:t>
      </w:r>
      <w:r w:rsidR="00B22DCE" w:rsidRPr="00266021">
        <w:t xml:space="preserve">a support </w:t>
      </w:r>
      <w:r w:rsidR="00111390" w:rsidRPr="00266021">
        <w:t xml:space="preserve">measure </w:t>
      </w:r>
      <w:proofErr w:type="gramStart"/>
      <w:r w:rsidR="00111390" w:rsidRPr="00266021">
        <w:t>may only be terminated</w:t>
      </w:r>
      <w:proofErr w:type="gramEnd"/>
      <w:r w:rsidR="00111390" w:rsidRPr="00266021">
        <w:t xml:space="preserve"> if the support recipient dies or “the reason for </w:t>
      </w:r>
      <w:r w:rsidR="00422FD3" w:rsidRPr="00266021">
        <w:t>which the support was established ceases to exist.”</w:t>
      </w:r>
      <w:r w:rsidR="00B27608" w:rsidRPr="00266021">
        <w:rPr>
          <w:rStyle w:val="FootnoteReference"/>
        </w:rPr>
        <w:footnoteReference w:id="362"/>
      </w:r>
      <w:r w:rsidR="00F54825" w:rsidRPr="00266021">
        <w:t xml:space="preserve"> </w:t>
      </w:r>
      <w:r w:rsidR="00AF7B1E" w:rsidRPr="00266021">
        <w:t xml:space="preserve">Thus, although a </w:t>
      </w:r>
      <w:r w:rsidR="00B7145C" w:rsidRPr="00266021">
        <w:t xml:space="preserve">supported person may apply to the court for to request the dismissal </w:t>
      </w:r>
      <w:r w:rsidR="00B7145C" w:rsidRPr="003132AA">
        <w:t xml:space="preserve">of their support person, they </w:t>
      </w:r>
      <w:proofErr w:type="gramStart"/>
      <w:r w:rsidR="00B7145C" w:rsidRPr="003132AA">
        <w:t>are presumably forced</w:t>
      </w:r>
      <w:proofErr w:type="gramEnd"/>
      <w:r w:rsidR="00B7145C" w:rsidRPr="003132AA">
        <w:t xml:space="preserve"> to maintain the</w:t>
      </w:r>
      <w:r w:rsidR="00FA193F" w:rsidRPr="003132AA">
        <w:t xml:space="preserve">ir </w:t>
      </w:r>
      <w:r w:rsidR="00B7145C" w:rsidRPr="003132AA">
        <w:t>supported decision-making framework</w:t>
      </w:r>
      <w:r w:rsidR="00007367" w:rsidRPr="003132AA">
        <w:t xml:space="preserve"> (</w:t>
      </w:r>
      <w:r w:rsidR="00B7145C" w:rsidRPr="003132AA">
        <w:t>potentially continuing with another supporter</w:t>
      </w:r>
      <w:r w:rsidR="00365288" w:rsidRPr="003132AA">
        <w:t xml:space="preserve"> should the court approve their request </w:t>
      </w:r>
      <w:r w:rsidR="00F4630D" w:rsidRPr="003132AA">
        <w:t>to relieve the original supporter of their duties</w:t>
      </w:r>
      <w:r w:rsidR="00007367" w:rsidRPr="003132AA">
        <w:t>)</w:t>
      </w:r>
      <w:r w:rsidR="00B7145C" w:rsidRPr="003132AA">
        <w:t>.</w:t>
      </w:r>
      <w:r w:rsidR="00FA193F" w:rsidRPr="003132AA">
        <w:t xml:space="preserve"> </w:t>
      </w:r>
      <w:r w:rsidR="00C67C28" w:rsidRPr="003132AA">
        <w:t>T</w:t>
      </w:r>
      <w:r w:rsidR="00AE6B3B" w:rsidRPr="003132AA">
        <w:t>he Committee on the Rights of Persons with Disabilities</w:t>
      </w:r>
      <w:r w:rsidR="00C67C28" w:rsidRPr="003132AA">
        <w:t xml:space="preserve"> has stated that supported persons should have </w:t>
      </w:r>
      <w:r w:rsidR="00941D29" w:rsidRPr="003132AA">
        <w:t>“</w:t>
      </w:r>
      <w:r w:rsidR="00C67C28" w:rsidRPr="003132AA">
        <w:t>the right to refuse support and terminate or change the support relationship at any time</w:t>
      </w:r>
      <w:r w:rsidR="00941D29" w:rsidRPr="003132AA">
        <w:t>”</w:t>
      </w:r>
      <w:r w:rsidR="00941D29" w:rsidRPr="003132AA">
        <w:rPr>
          <w:rStyle w:val="FootnoteReference"/>
        </w:rPr>
        <w:footnoteReference w:id="363"/>
      </w:r>
      <w:r w:rsidR="00DB5456" w:rsidRPr="003132AA">
        <w:t xml:space="preserve"> and one could argue that </w:t>
      </w:r>
      <w:r w:rsidR="003C69DE" w:rsidRPr="003132AA">
        <w:t xml:space="preserve">Georgian law does not </w:t>
      </w:r>
      <w:r w:rsidR="00DE4259" w:rsidRPr="003132AA">
        <w:t>totally</w:t>
      </w:r>
      <w:r w:rsidR="00C82865" w:rsidRPr="003132AA">
        <w:t xml:space="preserve"> fulfill this </w:t>
      </w:r>
      <w:r w:rsidR="00410E68" w:rsidRPr="003132AA">
        <w:t>requirement.</w:t>
      </w:r>
      <w:r w:rsidR="003C69DE" w:rsidRPr="003132AA">
        <w:t xml:space="preserve"> </w:t>
      </w:r>
    </w:p>
    <w:p w14:paraId="1959A359" w14:textId="1EDC4887" w:rsidR="00C3060D" w:rsidRPr="002A28E1" w:rsidRDefault="00C3060D"/>
    <w:p w14:paraId="03D7298E" w14:textId="708A3A0C" w:rsidR="00C3060D" w:rsidRPr="002A28E1" w:rsidRDefault="00C3060D">
      <w:r w:rsidRPr="003132AA">
        <w:t>Moreover, it is uncertain whether the amended Georgian law</w:t>
      </w:r>
      <w:r w:rsidR="00BC4901" w:rsidRPr="003132AA">
        <w:t xml:space="preserve"> </w:t>
      </w:r>
      <w:r w:rsidR="006A471B" w:rsidRPr="003132AA">
        <w:t xml:space="preserve">wholeheartedly embraces the “will and preferences” paradigm put forward by Article 12. The obligation incumbent on the </w:t>
      </w:r>
      <w:r w:rsidR="00054D8F" w:rsidRPr="003132AA">
        <w:t xml:space="preserve">supporter </w:t>
      </w:r>
      <w:proofErr w:type="gramStart"/>
      <w:r w:rsidR="00054D8F" w:rsidRPr="003132AA">
        <w:t xml:space="preserve">to </w:t>
      </w:r>
      <w:r w:rsidR="00C96B7E" w:rsidRPr="003132AA">
        <w:t xml:space="preserve">merely </w:t>
      </w:r>
      <w:r w:rsidR="00B743BA" w:rsidRPr="003132AA">
        <w:t>“identify</w:t>
      </w:r>
      <w:proofErr w:type="gramEnd"/>
      <w:r w:rsidR="00B743BA" w:rsidRPr="003132AA">
        <w:t>”</w:t>
      </w:r>
      <w:r w:rsidR="00054D8F" w:rsidRPr="003132AA">
        <w:t xml:space="preserve"> the supported person’s wishes and choices seems ambiguous</w:t>
      </w:r>
      <w:r w:rsidR="006E6374" w:rsidRPr="003132AA">
        <w:rPr>
          <w:rStyle w:val="FootnoteReference"/>
        </w:rPr>
        <w:footnoteReference w:id="364"/>
      </w:r>
      <w:r w:rsidR="00054D8F" w:rsidRPr="003132AA">
        <w:t xml:space="preserve"> </w:t>
      </w:r>
      <w:r w:rsidR="00CE05CD" w:rsidRPr="003132AA">
        <w:t>–</w:t>
      </w:r>
      <w:r w:rsidR="00B720F5" w:rsidRPr="003132AA">
        <w:t xml:space="preserve"> </w:t>
      </w:r>
      <w:r w:rsidR="00A33200" w:rsidRPr="003132AA">
        <w:t>the law does not</w:t>
      </w:r>
      <w:r w:rsidR="00086CC9" w:rsidRPr="003132AA">
        <w:t xml:space="preserve"> appear to</w:t>
      </w:r>
      <w:r w:rsidR="00A33200" w:rsidRPr="003132AA">
        <w:t xml:space="preserve"> require that supporter</w:t>
      </w:r>
      <w:r w:rsidR="00A36488" w:rsidRPr="003132AA">
        <w:t>s</w:t>
      </w:r>
      <w:r w:rsidR="00A33200" w:rsidRPr="003132AA">
        <w:t xml:space="preserve"> </w:t>
      </w:r>
      <w:r w:rsidR="00FD1D17" w:rsidRPr="003132AA">
        <w:t xml:space="preserve">follow these </w:t>
      </w:r>
      <w:r w:rsidR="00886441" w:rsidRPr="003132AA">
        <w:t>wishes and choices.</w:t>
      </w:r>
      <w:r w:rsidR="002D32AF" w:rsidRPr="003132AA">
        <w:t xml:space="preserve"> The </w:t>
      </w:r>
      <w:r w:rsidR="002B3553" w:rsidRPr="003132AA">
        <w:t>Code stipulates that supporters are to help supported person to take an “appropriate” decision,</w:t>
      </w:r>
      <w:r w:rsidR="00D96D9E" w:rsidRPr="003132AA">
        <w:t xml:space="preserve"> </w:t>
      </w:r>
      <w:r w:rsidR="00323B9A" w:rsidRPr="003132AA">
        <w:t>which might give supporters authorization to</w:t>
      </w:r>
      <w:r w:rsidR="00564679" w:rsidRPr="003132AA">
        <w:t xml:space="preserve"> act in pursuit of what they deem to be the supported person’s “best interest.”</w:t>
      </w:r>
    </w:p>
    <w:p w14:paraId="35E584DF" w14:textId="6DF22154" w:rsidR="00763950" w:rsidRPr="002A28E1" w:rsidRDefault="00763950"/>
    <w:p w14:paraId="7CF597E9" w14:textId="3090252F" w:rsidR="00123362" w:rsidRPr="002A28E1" w:rsidRDefault="00C733D1">
      <w:r>
        <w:t>In addition</w:t>
      </w:r>
      <w:r w:rsidR="00963878" w:rsidRPr="002A28E1">
        <w:t xml:space="preserve">, </w:t>
      </w:r>
      <w:r w:rsidR="00F45D43" w:rsidRPr="002A28E1">
        <w:t xml:space="preserve">it is pertinent to recall the </w:t>
      </w:r>
      <w:r w:rsidR="0010769B" w:rsidRPr="002A28E1">
        <w:t>following advice</w:t>
      </w:r>
      <w:r w:rsidR="00F45D43" w:rsidRPr="002A28E1">
        <w:t xml:space="preserve"> issued by the Committee on the Rights of Persons with Disabilities</w:t>
      </w:r>
      <w:r w:rsidR="000310A0" w:rsidRPr="002A28E1">
        <w:t xml:space="preserve">: “systems of supported </w:t>
      </w:r>
      <w:r w:rsidR="000D5B48" w:rsidRPr="002A28E1">
        <w:t>d</w:t>
      </w:r>
      <w:r w:rsidR="000310A0" w:rsidRPr="002A28E1">
        <w:t>ecision-making should not over-regulate the lives of persons with disabilities.</w:t>
      </w:r>
      <w:r w:rsidR="00AC0250" w:rsidRPr="002A28E1">
        <w:t>”</w:t>
      </w:r>
      <w:r w:rsidR="00713B98" w:rsidRPr="002A28E1">
        <w:rPr>
          <w:rStyle w:val="FootnoteReference"/>
        </w:rPr>
        <w:footnoteReference w:id="365"/>
      </w:r>
      <w:r w:rsidR="00F45D43" w:rsidRPr="002A28E1">
        <w:t xml:space="preserve"> </w:t>
      </w:r>
      <w:r w:rsidR="00D24CE5" w:rsidRPr="002A28E1">
        <w:t>S</w:t>
      </w:r>
      <w:r w:rsidR="00963878" w:rsidRPr="002A28E1">
        <w:t xml:space="preserve">ince a support person </w:t>
      </w:r>
      <w:proofErr w:type="gramStart"/>
      <w:r w:rsidR="00963878" w:rsidRPr="002A28E1">
        <w:t>can be designated</w:t>
      </w:r>
      <w:proofErr w:type="gramEnd"/>
      <w:r w:rsidR="00963878" w:rsidRPr="002A28E1">
        <w:t xml:space="preserve"> in Georgia even for minor </w:t>
      </w:r>
      <w:r w:rsidR="00914E17" w:rsidRPr="002A28E1">
        <w:t>transactions</w:t>
      </w:r>
      <w:r w:rsidR="00963878" w:rsidRPr="002A28E1">
        <w:t xml:space="preserve">, there is </w:t>
      </w:r>
      <w:r w:rsidR="00405997" w:rsidRPr="002A28E1">
        <w:t xml:space="preserve">a risk </w:t>
      </w:r>
      <w:r w:rsidR="003A415D" w:rsidRPr="002A28E1">
        <w:t xml:space="preserve">that </w:t>
      </w:r>
      <w:r w:rsidR="007D2B0D" w:rsidRPr="002A28E1">
        <w:t xml:space="preserve">support systems could </w:t>
      </w:r>
      <w:r w:rsidR="005E4D5C" w:rsidRPr="002A28E1">
        <w:t xml:space="preserve">be applied in such a comprehensive way as to </w:t>
      </w:r>
      <w:r w:rsidR="00A123A1" w:rsidRPr="002A28E1">
        <w:t>over-regulat</w:t>
      </w:r>
      <w:r w:rsidR="005E4D5C" w:rsidRPr="002A28E1">
        <w:t>e</w:t>
      </w:r>
      <w:r w:rsidR="00A123A1" w:rsidRPr="002A28E1">
        <w:t xml:space="preserve"> </w:t>
      </w:r>
      <w:r w:rsidR="00105C9F" w:rsidRPr="002A28E1">
        <w:t>the lives of persons with disabilities.</w:t>
      </w:r>
    </w:p>
    <w:p w14:paraId="696F8DA9" w14:textId="77777777" w:rsidR="00105C9F" w:rsidRPr="002A28E1" w:rsidRDefault="00105C9F"/>
    <w:p w14:paraId="180A9CE3" w14:textId="211DC630" w:rsidR="00763950" w:rsidRPr="002A28E1" w:rsidRDefault="00763950">
      <w:r w:rsidRPr="002A28E1">
        <w:t xml:space="preserve">It is also of concern that Georgian legislation deprives </w:t>
      </w:r>
      <w:r w:rsidR="00D21308" w:rsidRPr="002A28E1">
        <w:t xml:space="preserve">recipients of support of certain rights including parental </w:t>
      </w:r>
      <w:r w:rsidR="0023573E" w:rsidRPr="002A28E1">
        <w:t xml:space="preserve">and related </w:t>
      </w:r>
      <w:r w:rsidR="00D21308" w:rsidRPr="002A28E1">
        <w:t>rights</w:t>
      </w:r>
      <w:r w:rsidR="00626A82" w:rsidRPr="002A28E1">
        <w:t>,</w:t>
      </w:r>
      <w:bookmarkStart w:id="42" w:name="_Ref15299442"/>
      <w:r w:rsidR="00765DF5" w:rsidRPr="002A28E1">
        <w:rPr>
          <w:rStyle w:val="FootnoteReference"/>
        </w:rPr>
        <w:footnoteReference w:id="366"/>
      </w:r>
      <w:bookmarkEnd w:id="42"/>
      <w:r w:rsidR="00D21308" w:rsidRPr="002A28E1">
        <w:t xml:space="preserve"> the right to hold positions in public service</w:t>
      </w:r>
      <w:proofErr w:type="gramStart"/>
      <w:r w:rsidR="00D21308" w:rsidRPr="002A28E1">
        <w:t>;</w:t>
      </w:r>
      <w:proofErr w:type="gramEnd"/>
      <w:r w:rsidR="00D21308" w:rsidRPr="002A28E1">
        <w:rPr>
          <w:rStyle w:val="FootnoteReference"/>
        </w:rPr>
        <w:footnoteReference w:id="367"/>
      </w:r>
      <w:r w:rsidR="00D21308" w:rsidRPr="002A28E1">
        <w:t xml:space="preserve"> and </w:t>
      </w:r>
      <w:r w:rsidR="00297ABE" w:rsidRPr="002A28E1">
        <w:t>the right not to become an object of medical research without informed and clear consent.</w:t>
      </w:r>
      <w:r w:rsidR="000F66B9" w:rsidRPr="002A28E1">
        <w:rPr>
          <w:rStyle w:val="FootnoteReference"/>
        </w:rPr>
        <w:footnoteReference w:id="368"/>
      </w:r>
    </w:p>
    <w:p w14:paraId="08E3B403" w14:textId="227D9F2C" w:rsidR="006378E7" w:rsidRPr="002A28E1" w:rsidRDefault="006378E7"/>
    <w:p w14:paraId="48502AC8" w14:textId="0147C3E4" w:rsidR="006378E7" w:rsidRPr="00C46728" w:rsidRDefault="00442385">
      <w:r w:rsidRPr="003132AA">
        <w:lastRenderedPageBreak/>
        <w:t xml:space="preserve">Finally, it </w:t>
      </w:r>
      <w:r w:rsidR="006378E7" w:rsidRPr="003132AA">
        <w:t xml:space="preserve">is worthwhile noting that despite </w:t>
      </w:r>
      <w:r w:rsidR="009A4A77" w:rsidRPr="003132AA">
        <w:t>the</w:t>
      </w:r>
      <w:r w:rsidR="006378E7" w:rsidRPr="003132AA">
        <w:t xml:space="preserve"> </w:t>
      </w:r>
      <w:r w:rsidR="00042EB0" w:rsidRPr="003132AA">
        <w:t>changes</w:t>
      </w:r>
      <w:r w:rsidR="006378E7" w:rsidRPr="003132AA">
        <w:t xml:space="preserve"> </w:t>
      </w:r>
      <w:r w:rsidR="00042EB0" w:rsidRPr="003132AA">
        <w:t xml:space="preserve">to </w:t>
      </w:r>
      <w:r w:rsidR="006378E7" w:rsidRPr="003132AA">
        <w:t>the l</w:t>
      </w:r>
      <w:r w:rsidR="008F52C3" w:rsidRPr="003132AA">
        <w:t xml:space="preserve">egal framework, there have been reports of </w:t>
      </w:r>
      <w:r w:rsidR="008560AD" w:rsidRPr="003132AA">
        <w:t>issues with the implementation of the legislative reforms</w:t>
      </w:r>
      <w:r w:rsidR="00566342" w:rsidRPr="003132AA">
        <w:t xml:space="preserve"> in practice.</w:t>
      </w:r>
      <w:r w:rsidR="00566342" w:rsidRPr="003132AA">
        <w:rPr>
          <w:rStyle w:val="FootnoteReference"/>
        </w:rPr>
        <w:footnoteReference w:id="369"/>
      </w:r>
      <w:r w:rsidR="00323470" w:rsidRPr="003132AA">
        <w:t xml:space="preserve"> </w:t>
      </w:r>
      <w:r w:rsidR="00796FCB" w:rsidRPr="003132AA">
        <w:t xml:space="preserve">There </w:t>
      </w:r>
      <w:r w:rsidR="00077E20">
        <w:t xml:space="preserve">is </w:t>
      </w:r>
      <w:r w:rsidR="00AC20A6">
        <w:t>some</w:t>
      </w:r>
      <w:r w:rsidR="00796FCB" w:rsidRPr="003132AA">
        <w:t xml:space="preserve"> evidence </w:t>
      </w:r>
      <w:r w:rsidR="002F5128" w:rsidRPr="003132AA">
        <w:t>that</w:t>
      </w:r>
      <w:r w:rsidR="004B5F3B" w:rsidRPr="003132AA">
        <w:t xml:space="preserve"> opinions</w:t>
      </w:r>
      <w:r w:rsidR="008A5205" w:rsidRPr="003132AA">
        <w:t xml:space="preserve"> </w:t>
      </w:r>
      <w:r w:rsidR="004F2E60" w:rsidRPr="003132AA">
        <w:t>on</w:t>
      </w:r>
      <w:r w:rsidR="008A5205" w:rsidRPr="003132AA">
        <w:t xml:space="preserve"> legal capacity and supported decision-making </w:t>
      </w:r>
      <w:r w:rsidR="00712FF2" w:rsidRPr="003132AA">
        <w:t xml:space="preserve">amongst </w:t>
      </w:r>
      <w:r w:rsidR="00712FF2" w:rsidRPr="00C46728">
        <w:t xml:space="preserve">professionals and </w:t>
      </w:r>
      <w:r w:rsidR="00341467" w:rsidRPr="00C46728">
        <w:t xml:space="preserve">within the </w:t>
      </w:r>
      <w:r w:rsidR="00712FF2" w:rsidRPr="00C46728">
        <w:t xml:space="preserve">community </w:t>
      </w:r>
      <w:r w:rsidR="00DF7D14" w:rsidRPr="00C46728">
        <w:t>have</w:t>
      </w:r>
      <w:r w:rsidR="008A5205" w:rsidRPr="00C46728">
        <w:t xml:space="preserve"> </w:t>
      </w:r>
      <w:r w:rsidR="00B62DF3" w:rsidRPr="00C46728">
        <w:t xml:space="preserve">not </w:t>
      </w:r>
      <w:r w:rsidR="000710BF" w:rsidRPr="00C46728">
        <w:t xml:space="preserve">yet </w:t>
      </w:r>
      <w:r w:rsidR="00B46D8F" w:rsidRPr="00C46728">
        <w:t xml:space="preserve">undergone </w:t>
      </w:r>
      <w:r w:rsidR="009E193D" w:rsidRPr="00C46728">
        <w:t xml:space="preserve">the </w:t>
      </w:r>
      <w:r w:rsidR="00777410" w:rsidRPr="00C46728">
        <w:t>“paradigm shift”</w:t>
      </w:r>
      <w:r w:rsidR="00341467" w:rsidRPr="00C46728">
        <w:t xml:space="preserve"> </w:t>
      </w:r>
      <w:r w:rsidR="004C2D9A" w:rsidRPr="00C46728">
        <w:t>embodied</w:t>
      </w:r>
      <w:r w:rsidR="009C0F63" w:rsidRPr="00C46728">
        <w:t xml:space="preserve"> </w:t>
      </w:r>
      <w:r w:rsidR="00B81A03" w:rsidRPr="00C46728">
        <w:t>in</w:t>
      </w:r>
      <w:r w:rsidR="009C0F63" w:rsidRPr="00C46728">
        <w:t xml:space="preserve"> the legislative reform</w:t>
      </w:r>
      <w:r w:rsidR="00222BD0" w:rsidRPr="00C46728">
        <w:t>.</w:t>
      </w:r>
      <w:r w:rsidR="002755E5" w:rsidRPr="00C46728">
        <w:rPr>
          <w:rStyle w:val="FootnoteReference"/>
        </w:rPr>
        <w:footnoteReference w:id="370"/>
      </w:r>
      <w:r w:rsidR="00AA1FF8" w:rsidRPr="00C46728">
        <w:t xml:space="preserve"> For instance, a 2016 report prepared by the Ombudsman of Georgia </w:t>
      </w:r>
      <w:r w:rsidR="002F1F23" w:rsidRPr="00C46728">
        <w:t xml:space="preserve">analysed court </w:t>
      </w:r>
      <w:r w:rsidR="00B27B3F" w:rsidRPr="00C46728">
        <w:t>decisions appointing support persons</w:t>
      </w:r>
      <w:r w:rsidR="003E4B95" w:rsidRPr="00C46728">
        <w:t xml:space="preserve"> in this country</w:t>
      </w:r>
      <w:r w:rsidR="00B27B3F" w:rsidRPr="00C46728">
        <w:t xml:space="preserve">. </w:t>
      </w:r>
      <w:proofErr w:type="gramStart"/>
      <w:r w:rsidR="00A24D1B" w:rsidRPr="00C46728">
        <w:t>85.82%</w:t>
      </w:r>
      <w:proofErr w:type="gramEnd"/>
      <w:r w:rsidR="00A24D1B" w:rsidRPr="00C46728">
        <w:t xml:space="preserve"> of court judgments assessed by the </w:t>
      </w:r>
      <w:r w:rsidR="001604C4" w:rsidRPr="00C46728">
        <w:t>report</w:t>
      </w:r>
      <w:r w:rsidR="00A24D1B" w:rsidRPr="00C46728">
        <w:t xml:space="preserve"> used </w:t>
      </w:r>
      <w:r w:rsidR="00525938" w:rsidRPr="00C46728">
        <w:t>language</w:t>
      </w:r>
      <w:r w:rsidR="00A24D1B" w:rsidRPr="00C46728">
        <w:t xml:space="preserve"> </w:t>
      </w:r>
      <w:r w:rsidR="00BC5F9F" w:rsidRPr="00C46728">
        <w:t xml:space="preserve">describing a “full transfer” of </w:t>
      </w:r>
      <w:r w:rsidR="00A41D96" w:rsidRPr="00C46728">
        <w:t xml:space="preserve">support </w:t>
      </w:r>
      <w:r w:rsidR="00DF1B6A" w:rsidRPr="00C46728">
        <w:t>in given areas</w:t>
      </w:r>
      <w:r w:rsidR="00C262CA" w:rsidRPr="00C46728">
        <w:t xml:space="preserve">, </w:t>
      </w:r>
      <w:r w:rsidR="003D1569" w:rsidRPr="00C46728">
        <w:t>“the realization” of rights by a supporter</w:t>
      </w:r>
      <w:r w:rsidR="00A85179" w:rsidRPr="00C46728">
        <w:t>, “on behalf of a support recipient.”</w:t>
      </w:r>
      <w:r w:rsidR="00FF6037" w:rsidRPr="00C46728">
        <w:rPr>
          <w:rStyle w:val="FootnoteReference"/>
        </w:rPr>
        <w:footnoteReference w:id="371"/>
      </w:r>
      <w:r w:rsidR="00FF6037" w:rsidRPr="00C46728">
        <w:t xml:space="preserve"> This language </w:t>
      </w:r>
      <w:r w:rsidR="001C7798" w:rsidRPr="00C46728">
        <w:t xml:space="preserve">employed by </w:t>
      </w:r>
      <w:r w:rsidR="003A5C4D" w:rsidRPr="00C46728">
        <w:t xml:space="preserve">Georgian judges </w:t>
      </w:r>
      <w:r w:rsidR="00886002" w:rsidRPr="00C46728">
        <w:t xml:space="preserve">is reminiscent of </w:t>
      </w:r>
      <w:r w:rsidR="0007649C" w:rsidRPr="00C46728">
        <w:t xml:space="preserve">descriptors of a </w:t>
      </w:r>
      <w:r w:rsidR="00D331D5" w:rsidRPr="00C46728">
        <w:t>substitute decision-making regime rather than a supported decision</w:t>
      </w:r>
      <w:r w:rsidR="00A012A3" w:rsidRPr="00C46728">
        <w:t>-</w:t>
      </w:r>
      <w:r w:rsidR="00D331D5" w:rsidRPr="00C46728">
        <w:t>making</w:t>
      </w:r>
      <w:r w:rsidR="00116403" w:rsidRPr="00C46728">
        <w:t xml:space="preserve"> system.</w:t>
      </w:r>
      <w:r w:rsidR="003011FF" w:rsidRPr="00C46728">
        <w:t xml:space="preserve"> </w:t>
      </w:r>
      <w:r w:rsidR="00C721AE" w:rsidRPr="00C46728">
        <w:t xml:space="preserve">Indeed, </w:t>
      </w:r>
      <w:r w:rsidR="00426D7E" w:rsidRPr="00C46728">
        <w:t xml:space="preserve">the Georgian Ombudsman’s report </w:t>
      </w:r>
      <w:r w:rsidR="00EA31F3" w:rsidRPr="00C46728">
        <w:t xml:space="preserve">affirms that </w:t>
      </w:r>
      <w:r w:rsidR="00494D0A" w:rsidRPr="00C46728">
        <w:t>such a</w:t>
      </w:r>
      <w:r w:rsidR="00EA31F3" w:rsidRPr="00C46728">
        <w:t xml:space="preserve"> </w:t>
      </w:r>
      <w:r w:rsidR="00A653E7" w:rsidRPr="00C46728">
        <w:t>construal</w:t>
      </w:r>
      <w:r w:rsidR="008B5566" w:rsidRPr="00C46728">
        <w:t xml:space="preserve"> of supported decision-making </w:t>
      </w:r>
      <w:r w:rsidR="000D3F26" w:rsidRPr="00C46728">
        <w:t>amounts in</w:t>
      </w:r>
      <w:r w:rsidR="00EA31F3" w:rsidRPr="00C46728">
        <w:t xml:space="preserve"> practice </w:t>
      </w:r>
      <w:r w:rsidR="000D3F26" w:rsidRPr="00C46728">
        <w:t>to the same substitution of will and denial of legal capacity that took place under the former plenary guardianship regime.</w:t>
      </w:r>
      <w:r w:rsidR="00F354F8" w:rsidRPr="00C46728">
        <w:rPr>
          <w:rStyle w:val="FootnoteReference"/>
        </w:rPr>
        <w:footnoteReference w:id="372"/>
      </w:r>
      <w:r w:rsidR="00EA31F3" w:rsidRPr="00C46728">
        <w:t xml:space="preserve"> </w:t>
      </w:r>
      <w:r w:rsidR="003011FF" w:rsidRPr="00C46728">
        <w:t xml:space="preserve">If the judiciary </w:t>
      </w:r>
      <w:r w:rsidR="006F34F6" w:rsidRPr="00C46728">
        <w:t>does not sufficiently comprehend or embrace</w:t>
      </w:r>
      <w:r w:rsidR="00BC56D9" w:rsidRPr="00C46728">
        <w:t xml:space="preserve"> the supported decision-making model, </w:t>
      </w:r>
      <w:r w:rsidR="00C9151B" w:rsidRPr="00C46728">
        <w:t xml:space="preserve">there is a risk that </w:t>
      </w:r>
      <w:r w:rsidR="001E0318" w:rsidRPr="00C46728">
        <w:t xml:space="preserve">persons with disabilities will not </w:t>
      </w:r>
      <w:r w:rsidR="00AC3E3B" w:rsidRPr="00C46728">
        <w:t xml:space="preserve">have access to genuine supported decision-making on the ground and that they </w:t>
      </w:r>
      <w:proofErr w:type="gramStart"/>
      <w:r w:rsidR="00AC3E3B" w:rsidRPr="00C46728">
        <w:t>will be disempowered</w:t>
      </w:r>
      <w:proofErr w:type="gramEnd"/>
      <w:r w:rsidR="00AC3E3B" w:rsidRPr="00C46728">
        <w:t xml:space="preserve"> in the decision-making process.</w:t>
      </w:r>
    </w:p>
    <w:p w14:paraId="30BD0351" w14:textId="5E350115" w:rsidR="009748A7" w:rsidRPr="002A28E1" w:rsidRDefault="009748A7"/>
    <w:p w14:paraId="3277677C" w14:textId="29C9C642" w:rsidR="009748A7" w:rsidRPr="002A28E1" w:rsidRDefault="009748A7"/>
    <w:p w14:paraId="3CC78D05" w14:textId="4C072848" w:rsidR="00221BC0" w:rsidRPr="002A28E1" w:rsidRDefault="00221BC0">
      <w:r w:rsidRPr="002A28E1">
        <w:br w:type="page"/>
      </w:r>
    </w:p>
    <w:p w14:paraId="01A3FE03" w14:textId="5F017F29" w:rsidR="00221BC0" w:rsidRPr="002A28E1" w:rsidRDefault="00221BC0" w:rsidP="00E61752">
      <w:pPr>
        <w:pStyle w:val="Heading1"/>
      </w:pPr>
      <w:bookmarkStart w:id="43" w:name="_Toc16081758"/>
      <w:r w:rsidRPr="002A28E1">
        <w:lastRenderedPageBreak/>
        <w:t>Czech Republic</w:t>
      </w:r>
      <w:bookmarkEnd w:id="43"/>
    </w:p>
    <w:p w14:paraId="5B17DC9D" w14:textId="60D9E8DD" w:rsidR="00751285" w:rsidRPr="002A28E1" w:rsidRDefault="003A13CB" w:rsidP="00751285">
      <w:r w:rsidRPr="002A28E1">
        <w:t>The</w:t>
      </w:r>
      <w:r w:rsidR="00F04E3B" w:rsidRPr="002A28E1">
        <w:t xml:space="preserve"> Czech Republic</w:t>
      </w:r>
      <w:r w:rsidR="00956AA1" w:rsidRPr="002A28E1">
        <w:t xml:space="preserve">’s </w:t>
      </w:r>
      <w:r w:rsidRPr="002A28E1">
        <w:t>legal capacity legislation underwent substantial changes when the country enacted a reform to its Civil Code in 2012.</w:t>
      </w:r>
      <w:bookmarkStart w:id="44" w:name="_Ref15299504"/>
      <w:r w:rsidR="00D12C9F">
        <w:rPr>
          <w:rStyle w:val="FootnoteReference"/>
        </w:rPr>
        <w:footnoteReference w:id="373"/>
      </w:r>
      <w:bookmarkEnd w:id="44"/>
      <w:r w:rsidRPr="002A28E1">
        <w:t xml:space="preserve"> These amendments entered into force in 2014.</w:t>
      </w:r>
      <w:bookmarkStart w:id="45" w:name="_Ref15466594"/>
      <w:r w:rsidR="00F15993">
        <w:rPr>
          <w:rStyle w:val="FootnoteReference"/>
        </w:rPr>
        <w:footnoteReference w:id="374"/>
      </w:r>
      <w:bookmarkEnd w:id="45"/>
      <w:r w:rsidRPr="002A28E1">
        <w:t xml:space="preserve"> </w:t>
      </w:r>
      <w:r w:rsidR="003C5F0F" w:rsidRPr="002A28E1">
        <w:t>Among</w:t>
      </w:r>
      <w:r w:rsidR="00651429" w:rsidRPr="002A28E1">
        <w:t xml:space="preserve">st other changes, </w:t>
      </w:r>
      <w:r w:rsidR="00324A56" w:rsidRPr="002A28E1">
        <w:t>the legislative reform</w:t>
      </w:r>
      <w:r w:rsidR="00F04E3B" w:rsidRPr="002A28E1">
        <w:t xml:space="preserve"> </w:t>
      </w:r>
      <w:r w:rsidR="00754DF8" w:rsidRPr="002A28E1">
        <w:t>eliminated plenary guardianship</w:t>
      </w:r>
      <w:r w:rsidR="00751285" w:rsidRPr="002A28E1">
        <w:t>, established time</w:t>
      </w:r>
    </w:p>
    <w:p w14:paraId="3F479F5E" w14:textId="6D04E636" w:rsidR="00D43A2C" w:rsidRPr="002A28E1" w:rsidRDefault="008D39DD" w:rsidP="00751285">
      <w:proofErr w:type="gramStart"/>
      <w:r>
        <w:t>restrictions</w:t>
      </w:r>
      <w:proofErr w:type="gramEnd"/>
      <w:r w:rsidR="00751285" w:rsidRPr="002A28E1">
        <w:t xml:space="preserve"> on limited guardianship appointments,</w:t>
      </w:r>
      <w:r w:rsidR="00521330" w:rsidRPr="002A28E1">
        <w:t xml:space="preserve"> and</w:t>
      </w:r>
      <w:r w:rsidR="00391F5B" w:rsidRPr="002A28E1">
        <w:t xml:space="preserve"> </w:t>
      </w:r>
      <w:r w:rsidR="0017182A" w:rsidRPr="002A28E1">
        <w:t xml:space="preserve">identified </w:t>
      </w:r>
      <w:r w:rsidR="00A44D76" w:rsidRPr="002A28E1">
        <w:t>supported decision-making as</w:t>
      </w:r>
      <w:r w:rsidR="00415F38" w:rsidRPr="002A28E1">
        <w:t xml:space="preserve"> the favoured</w:t>
      </w:r>
      <w:r w:rsidR="003F0170" w:rsidRPr="002A28E1">
        <w:t xml:space="preserve"> </w:t>
      </w:r>
      <w:r w:rsidR="00415F38" w:rsidRPr="002A28E1">
        <w:t>alternative to guardianship.</w:t>
      </w:r>
      <w:r w:rsidR="00BB1BD3" w:rsidRPr="002A28E1">
        <w:rPr>
          <w:rStyle w:val="FootnoteReference"/>
        </w:rPr>
        <w:footnoteReference w:id="375"/>
      </w:r>
      <w:r w:rsidR="00415F38" w:rsidRPr="002A28E1">
        <w:t xml:space="preserve"> </w:t>
      </w:r>
    </w:p>
    <w:p w14:paraId="23CF68B0" w14:textId="77777777" w:rsidR="00D43A2C" w:rsidRPr="002A28E1" w:rsidRDefault="00D43A2C"/>
    <w:p w14:paraId="5BA375D3" w14:textId="35251B7E" w:rsidR="00941546" w:rsidRPr="002A28E1" w:rsidRDefault="000B42C0">
      <w:r w:rsidRPr="002A28E1">
        <w:t xml:space="preserve">The Czech Republic </w:t>
      </w:r>
      <w:r w:rsidR="00096E28" w:rsidRPr="002A28E1">
        <w:t xml:space="preserve">ratified the CRPD in </w:t>
      </w:r>
      <w:r w:rsidR="00293B1B" w:rsidRPr="002A28E1">
        <w:t>2009.</w:t>
      </w:r>
      <w:r w:rsidR="0047775B">
        <w:rPr>
          <w:rStyle w:val="FootnoteReference"/>
        </w:rPr>
        <w:footnoteReference w:id="376"/>
      </w:r>
      <w:r w:rsidR="00293B1B" w:rsidRPr="002A28E1">
        <w:t xml:space="preserve"> </w:t>
      </w:r>
      <w:r w:rsidR="00C664AA" w:rsidRPr="002A28E1">
        <w:t xml:space="preserve">It </w:t>
      </w:r>
      <w:proofErr w:type="gramStart"/>
      <w:r w:rsidR="00C664AA" w:rsidRPr="002A28E1">
        <w:t xml:space="preserve">has been </w:t>
      </w:r>
      <w:r w:rsidR="008356BB">
        <w:t>labelled</w:t>
      </w:r>
      <w:proofErr w:type="gramEnd"/>
      <w:r w:rsidR="00C664AA" w:rsidRPr="002A28E1">
        <w:t xml:space="preserve"> “the first country to enact CRPD-inspired legal capacity law reform </w:t>
      </w:r>
      <w:r w:rsidR="00761C37" w:rsidRPr="002A28E1">
        <w:t>in the world</w:t>
      </w:r>
      <w:r w:rsidR="001955B0">
        <w:t>.</w:t>
      </w:r>
      <w:r w:rsidR="00761C37" w:rsidRPr="002A28E1">
        <w:t>”</w:t>
      </w:r>
      <w:r w:rsidR="004E6250" w:rsidRPr="002A28E1">
        <w:rPr>
          <w:rStyle w:val="FootnoteReference"/>
        </w:rPr>
        <w:footnoteReference w:id="377"/>
      </w:r>
      <w:r w:rsidR="00C20505" w:rsidRPr="002A28E1">
        <w:t xml:space="preserve"> </w:t>
      </w:r>
      <w:r w:rsidR="00CF4E04" w:rsidRPr="002A28E1">
        <w:t xml:space="preserve">Under the Czech Republic’s previous legislative regime, people with disabilities </w:t>
      </w:r>
      <w:proofErr w:type="gramStart"/>
      <w:r w:rsidR="00CF4E04" w:rsidRPr="002A28E1">
        <w:t>could be completely denied legal capacity and placed under full guardianship by the court</w:t>
      </w:r>
      <w:proofErr w:type="gramEnd"/>
      <w:r w:rsidR="00CF4E04" w:rsidRPr="002A28E1">
        <w:t>.</w:t>
      </w:r>
      <w:r w:rsidR="00CF4E04">
        <w:rPr>
          <w:rStyle w:val="FootnoteReference"/>
        </w:rPr>
        <w:footnoteReference w:id="378"/>
      </w:r>
      <w:r w:rsidR="00CF4E04" w:rsidRPr="002A28E1">
        <w:t xml:space="preserve"> Prior to the legislative reform, Czech courts were removing the legal capacity of approximately 2,000 people per year.</w:t>
      </w:r>
      <w:r w:rsidR="00CF4E04" w:rsidRPr="002A28E1">
        <w:rPr>
          <w:rStyle w:val="FootnoteReference"/>
        </w:rPr>
        <w:footnoteReference w:id="379"/>
      </w:r>
      <w:r w:rsidR="00CF4E04">
        <w:t xml:space="preserve"> </w:t>
      </w:r>
      <w:r w:rsidR="002734AB" w:rsidRPr="002A28E1">
        <w:t>Prior to the</w:t>
      </w:r>
      <w:r w:rsidR="006713F2" w:rsidRPr="002A28E1">
        <w:t xml:space="preserve"> 2012</w:t>
      </w:r>
      <w:r w:rsidR="002734AB" w:rsidRPr="002A28E1">
        <w:t xml:space="preserve"> reform, </w:t>
      </w:r>
      <w:r w:rsidR="00BE61A0" w:rsidRPr="002A28E1">
        <w:t>civil society</w:t>
      </w:r>
      <w:r w:rsidR="00B40D6B" w:rsidRPr="002A28E1">
        <w:t xml:space="preserve"> </w:t>
      </w:r>
      <w:r w:rsidR="002734AB" w:rsidRPr="002A28E1">
        <w:t xml:space="preserve">had campaigned for seven years for amendments </w:t>
      </w:r>
      <w:r w:rsidR="000E36E0" w:rsidRPr="002A28E1">
        <w:t>to</w:t>
      </w:r>
      <w:r w:rsidR="003675D8" w:rsidRPr="002A28E1">
        <w:t xml:space="preserve"> </w:t>
      </w:r>
      <w:r w:rsidR="00321094" w:rsidRPr="002A28E1">
        <w:t>the country’s guardianship law</w:t>
      </w:r>
      <w:r w:rsidR="001B509B" w:rsidRPr="002A28E1">
        <w:t>s.</w:t>
      </w:r>
      <w:r w:rsidR="00E70703" w:rsidRPr="002A28E1">
        <w:t xml:space="preserve"> </w:t>
      </w:r>
      <w:r w:rsidR="00256E2D" w:rsidRPr="002A28E1">
        <w:t>Non-governmental o</w:t>
      </w:r>
      <w:r w:rsidR="00E70703" w:rsidRPr="002A28E1">
        <w:t xml:space="preserve">rganizations including </w:t>
      </w:r>
      <w:r w:rsidR="00177B32" w:rsidRPr="002A28E1">
        <w:t xml:space="preserve">Mental Disability Advocacy Centre (MDAC) and </w:t>
      </w:r>
      <w:r w:rsidR="003F3F46" w:rsidRPr="002A28E1">
        <w:t>League of Human Rights</w:t>
      </w:r>
      <w:r w:rsidR="00A81BCA" w:rsidRPr="002A28E1">
        <w:t xml:space="preserve"> were heavily involved in the legislative reform process</w:t>
      </w:r>
      <w:r w:rsidR="002A5692" w:rsidRPr="002A28E1">
        <w:t>,</w:t>
      </w:r>
      <w:r w:rsidR="00816C3A" w:rsidRPr="002A28E1">
        <w:t xml:space="preserve"> </w:t>
      </w:r>
      <w:r w:rsidR="001364A7" w:rsidRPr="002A28E1">
        <w:t>comment</w:t>
      </w:r>
      <w:r w:rsidR="003970F7" w:rsidRPr="002A28E1">
        <w:t>ing</w:t>
      </w:r>
      <w:r w:rsidR="001364A7" w:rsidRPr="002A28E1">
        <w:t xml:space="preserve"> on the draft law</w:t>
      </w:r>
      <w:r w:rsidR="00A143E1" w:rsidRPr="002A28E1">
        <w:t xml:space="preserve"> and</w:t>
      </w:r>
      <w:r w:rsidR="008D1094" w:rsidRPr="002A28E1">
        <w:t xml:space="preserve"> </w:t>
      </w:r>
      <w:r w:rsidR="00581ECB" w:rsidRPr="002A28E1">
        <w:t>le</w:t>
      </w:r>
      <w:r w:rsidR="00DB039A" w:rsidRPr="002A28E1">
        <w:t>ading</w:t>
      </w:r>
      <w:r w:rsidR="00581ECB" w:rsidRPr="002A28E1">
        <w:t xml:space="preserve"> advocacy </w:t>
      </w:r>
      <w:r w:rsidR="00431F3E" w:rsidRPr="002A28E1">
        <w:t xml:space="preserve">and capacity-building </w:t>
      </w:r>
      <w:r w:rsidR="00093096" w:rsidRPr="002A28E1">
        <w:t>initiatives</w:t>
      </w:r>
      <w:r w:rsidR="00B24B83" w:rsidRPr="002A28E1">
        <w:t>.</w:t>
      </w:r>
      <w:r w:rsidR="004D22D0" w:rsidRPr="002A28E1">
        <w:rPr>
          <w:rStyle w:val="FootnoteReference"/>
        </w:rPr>
        <w:footnoteReference w:id="380"/>
      </w:r>
      <w:r w:rsidR="00B24B83" w:rsidRPr="002A28E1">
        <w:t xml:space="preserve"> </w:t>
      </w:r>
    </w:p>
    <w:p w14:paraId="4947D306" w14:textId="58AB6F54" w:rsidR="00415D30" w:rsidRDefault="00415D30"/>
    <w:p w14:paraId="3EB29B9F" w14:textId="6030B113" w:rsidR="00CF4E04" w:rsidRDefault="00502E79" w:rsidP="00CF4E04">
      <w:r>
        <w:t>Under</w:t>
      </w:r>
      <w:r w:rsidR="00826093">
        <w:t xml:space="preserve"> the</w:t>
      </w:r>
      <w:r w:rsidR="00CF4E04" w:rsidRPr="002A28E1">
        <w:t xml:space="preserve"> </w:t>
      </w:r>
      <w:r w:rsidR="00CF4E04">
        <w:t xml:space="preserve">reformed </w:t>
      </w:r>
      <w:r w:rsidR="00CF4E04" w:rsidRPr="002A28E1">
        <w:t>Czech Civil Code, a court may restrict a person’s legal capacity</w:t>
      </w:r>
      <w:r w:rsidR="00CF4E04">
        <w:t xml:space="preserve"> where a person </w:t>
      </w:r>
      <w:proofErr w:type="gramStart"/>
      <w:r w:rsidR="00CF4E04">
        <w:t>is deemed</w:t>
      </w:r>
      <w:proofErr w:type="gramEnd"/>
      <w:r w:rsidR="00CF4E04">
        <w:t xml:space="preserve"> unable to perform certain legal acts due to a “mental disorder, which is not only temporary</w:t>
      </w:r>
      <w:r w:rsidR="00473D75">
        <w:t>.</w:t>
      </w:r>
      <w:r w:rsidR="00CF4E04">
        <w:t>”</w:t>
      </w:r>
      <w:r w:rsidR="00CF4E04" w:rsidRPr="002A28E1">
        <w:rPr>
          <w:rStyle w:val="FootnoteReference"/>
        </w:rPr>
        <w:footnoteReference w:id="381"/>
      </w:r>
      <w:r w:rsidR="00CF4E04" w:rsidRPr="002A28E1">
        <w:t xml:space="preserve"> </w:t>
      </w:r>
      <w:r w:rsidR="00CF4E04">
        <w:t>When the court makes a decision on the restriction of legal capacity, “the extent and the degree of</w:t>
      </w:r>
      <w:r w:rsidR="0082629B">
        <w:t xml:space="preserve"> inability </w:t>
      </w:r>
      <w:proofErr w:type="gramStart"/>
      <w:r w:rsidR="0082629B">
        <w:t>of  the</w:t>
      </w:r>
      <w:proofErr w:type="gramEnd"/>
      <w:r w:rsidR="0082629B">
        <w:t xml:space="preserve"> person to conduct her own </w:t>
      </w:r>
      <w:r w:rsidR="00B34B47">
        <w:t>affairs must be thoroughly taken into account</w:t>
      </w:r>
      <w:r w:rsidR="00CF4E04">
        <w:t>.”</w:t>
      </w:r>
      <w:r w:rsidR="00CF4E04">
        <w:rPr>
          <w:rStyle w:val="FootnoteReference"/>
        </w:rPr>
        <w:footnoteReference w:id="382"/>
      </w:r>
      <w:r w:rsidR="00CF4E04">
        <w:t xml:space="preserve"> </w:t>
      </w:r>
      <w:r w:rsidR="00CF4E04" w:rsidRPr="002A28E1">
        <w:t xml:space="preserve">In the decision relating to restriction of legal capacity, the court also appoints a guardian </w:t>
      </w:r>
      <w:r w:rsidR="00D01634">
        <w:t>to act on behalf of</w:t>
      </w:r>
      <w:r w:rsidR="00CF4E04" w:rsidRPr="002A28E1">
        <w:t xml:space="preserve"> the person concerned.</w:t>
      </w:r>
      <w:r w:rsidR="00CF4E04" w:rsidRPr="002A28E1">
        <w:rPr>
          <w:rStyle w:val="FootnoteReference"/>
        </w:rPr>
        <w:footnoteReference w:id="383"/>
      </w:r>
      <w:r w:rsidR="00CF4E04" w:rsidRPr="002A28E1">
        <w:t xml:space="preserve"> The reformed Code indicates that before any restrictions of legal capacity </w:t>
      </w:r>
      <w:proofErr w:type="gramStart"/>
      <w:r w:rsidR="00CF4E04" w:rsidRPr="002A28E1">
        <w:t>may be imposed</w:t>
      </w:r>
      <w:proofErr w:type="gramEnd"/>
      <w:r w:rsidR="00CF4E04" w:rsidRPr="002A28E1">
        <w:t>, two conditions must be satisfied. Firstly, it must be established that the individual would otherwise be to a “under a threat of serious harm”.</w:t>
      </w:r>
      <w:r w:rsidR="00CF4E04" w:rsidRPr="002A28E1">
        <w:rPr>
          <w:rStyle w:val="FootnoteReference"/>
        </w:rPr>
        <w:footnoteReference w:id="384"/>
      </w:r>
      <w:r w:rsidR="00CF4E04" w:rsidRPr="002A28E1">
        <w:t xml:space="preserve"> Second, it must be the case that “milder and less restrictive measures” would not “suffice to protect his interests.”</w:t>
      </w:r>
      <w:r w:rsidR="00CF4E04" w:rsidRPr="002A28E1">
        <w:rPr>
          <w:rStyle w:val="FootnoteReference"/>
        </w:rPr>
        <w:footnoteReference w:id="385"/>
      </w:r>
      <w:r w:rsidR="00CF4E04" w:rsidRPr="002A28E1">
        <w:t xml:space="preserve"> The new legislation stipulates that the court may only restrict a person’s legal capacity for a maximum of three years.</w:t>
      </w:r>
      <w:r w:rsidR="00CF4E04" w:rsidRPr="002A28E1">
        <w:rPr>
          <w:rStyle w:val="FootnoteReference"/>
        </w:rPr>
        <w:footnoteReference w:id="386"/>
      </w:r>
      <w:r w:rsidR="00CF4E04" w:rsidRPr="002A28E1">
        <w:t xml:space="preserve"> The reformed Civil Code also </w:t>
      </w:r>
      <w:proofErr w:type="gramStart"/>
      <w:r w:rsidR="00CF4E04" w:rsidRPr="002A28E1">
        <w:t>specifies that</w:t>
      </w:r>
      <w:proofErr w:type="gramEnd"/>
      <w:r w:rsidR="00CF4E04" w:rsidRPr="002A28E1">
        <w:t xml:space="preserve"> “the decision to limit the legal capacity does not deprive an individual of the right </w:t>
      </w:r>
      <w:r w:rsidR="00CF4E04" w:rsidRPr="002A28E1">
        <w:lastRenderedPageBreak/>
        <w:t>to make juridical acts in ordinary matters of everyday life.”</w:t>
      </w:r>
      <w:r w:rsidR="00CF4E04" w:rsidRPr="002A28E1">
        <w:rPr>
          <w:rStyle w:val="FootnoteReference"/>
        </w:rPr>
        <w:footnoteReference w:id="387"/>
      </w:r>
      <w:r w:rsidR="00CF4E04" w:rsidRPr="002A28E1">
        <w:t xml:space="preserve"> Thus, restrictions on legal capacity are limited to the specific area in which it </w:t>
      </w:r>
      <w:proofErr w:type="gramStart"/>
      <w:r w:rsidR="00CF4E04" w:rsidRPr="002A28E1">
        <w:t>has been deemed</w:t>
      </w:r>
      <w:proofErr w:type="gramEnd"/>
      <w:r w:rsidR="00CF4E04" w:rsidRPr="002A28E1">
        <w:t xml:space="preserve"> that the person “lacks” legal capacity.</w:t>
      </w:r>
      <w:r w:rsidR="00CF4E04" w:rsidRPr="002A28E1">
        <w:rPr>
          <w:rStyle w:val="FootnoteReference"/>
        </w:rPr>
        <w:footnoteReference w:id="388"/>
      </w:r>
      <w:r w:rsidR="00CF4E04" w:rsidRPr="002A28E1">
        <w:t xml:space="preserve"> Guardians are to endeavour to promote the </w:t>
      </w:r>
      <w:r w:rsidR="00225209">
        <w:t>“</w:t>
      </w:r>
      <w:r w:rsidR="00CF4E04" w:rsidRPr="002A28E1">
        <w:t>best interests</w:t>
      </w:r>
      <w:r w:rsidR="00225209">
        <w:t>”</w:t>
      </w:r>
      <w:r w:rsidR="00CF4E04" w:rsidRPr="002A28E1">
        <w:t xml:space="preserve"> of the represented person.</w:t>
      </w:r>
      <w:r w:rsidR="00CF4E04" w:rsidRPr="002A28E1">
        <w:rPr>
          <w:rStyle w:val="FootnoteReference"/>
        </w:rPr>
        <w:footnoteReference w:id="389"/>
      </w:r>
      <w:r w:rsidR="00CF4E04" w:rsidRPr="002A28E1">
        <w:t xml:space="preserve"> The Code also allows for individuals who are close to the person under guardianship to form a guardianship council to monitor the guardian.</w:t>
      </w:r>
      <w:r w:rsidR="00CF4E04" w:rsidRPr="002A28E1">
        <w:rPr>
          <w:rStyle w:val="FootnoteReference"/>
        </w:rPr>
        <w:footnoteReference w:id="390"/>
      </w:r>
      <w:r w:rsidR="00CF4E04" w:rsidRPr="002A28E1">
        <w:t xml:space="preserve"> The establishment of a guardianship council is not obligatory, and </w:t>
      </w:r>
      <w:proofErr w:type="gramStart"/>
      <w:r w:rsidR="00CF4E04" w:rsidRPr="002A28E1">
        <w:t>may be carried out</w:t>
      </w:r>
      <w:proofErr w:type="gramEnd"/>
      <w:r w:rsidR="00CF4E04" w:rsidRPr="002A28E1">
        <w:t xml:space="preserve"> upon the request of the guardian, the person under guardianship, or any close acquaintance of the person under guardianship.</w:t>
      </w:r>
      <w:r w:rsidR="00CF4E04" w:rsidRPr="002A28E1">
        <w:rPr>
          <w:rStyle w:val="FootnoteReference"/>
        </w:rPr>
        <w:footnoteReference w:id="391"/>
      </w:r>
    </w:p>
    <w:p w14:paraId="4A9B6785" w14:textId="46DF243F" w:rsidR="00484A32" w:rsidRDefault="00484A32" w:rsidP="00CF4E04"/>
    <w:p w14:paraId="797E50F0" w14:textId="3702E28A" w:rsidR="00484A32" w:rsidRPr="002A28E1" w:rsidRDefault="00484A32" w:rsidP="00CF4E04">
      <w:r>
        <w:t xml:space="preserve">Notably, Czech law </w:t>
      </w:r>
      <w:r w:rsidR="00F57274">
        <w:t>also allows for the appoint</w:t>
      </w:r>
      <w:r w:rsidR="00E72459">
        <w:t>ment of</w:t>
      </w:r>
      <w:r w:rsidR="00F57274">
        <w:t xml:space="preserve"> a guardian </w:t>
      </w:r>
      <w:r w:rsidR="00E72459">
        <w:t xml:space="preserve">in situations </w:t>
      </w:r>
      <w:r w:rsidR="00F57274">
        <w:t xml:space="preserve">where a person’s legal capacity has not </w:t>
      </w:r>
      <w:r w:rsidR="00E84FEE">
        <w:t>been restricted by a court.</w:t>
      </w:r>
      <w:r w:rsidR="00FB6196">
        <w:t xml:space="preserve"> Namely, the court is entitled to appoint a guardian for a </w:t>
      </w:r>
      <w:r w:rsidR="00CF0149">
        <w:t xml:space="preserve">“person </w:t>
      </w:r>
      <w:r w:rsidR="00D84419">
        <w:t>state of health prevents her from managing property or protecting her own rights</w:t>
      </w:r>
      <w:r w:rsidR="00CF0149">
        <w:t>.”</w:t>
      </w:r>
      <w:r w:rsidR="00BE74C3">
        <w:rPr>
          <w:rStyle w:val="FootnoteReference"/>
        </w:rPr>
        <w:footnoteReference w:id="392"/>
      </w:r>
      <w:r w:rsidR="004A4CEB">
        <w:t xml:space="preserve"> </w:t>
      </w:r>
      <w:r w:rsidR="00A42B9B">
        <w:t xml:space="preserve">It is possible for such a guardian to </w:t>
      </w:r>
      <w:proofErr w:type="gramStart"/>
      <w:r w:rsidR="00A42B9B">
        <w:t>be appointed</w:t>
      </w:r>
      <w:proofErr w:type="gramEnd"/>
      <w:r w:rsidR="00A42B9B">
        <w:t xml:space="preserve"> at the request of the person concerned.</w:t>
      </w:r>
      <w:r w:rsidR="00A42B9B">
        <w:rPr>
          <w:rStyle w:val="FootnoteReference"/>
        </w:rPr>
        <w:footnoteReference w:id="393"/>
      </w:r>
      <w:r w:rsidR="004A4CEB">
        <w:t xml:space="preserve"> </w:t>
      </w:r>
      <w:r w:rsidR="001069E8">
        <w:t xml:space="preserve">Where </w:t>
      </w:r>
      <w:r w:rsidR="00727639">
        <w:t xml:space="preserve">persons submit such a proposal, </w:t>
      </w:r>
      <w:r w:rsidR="00182544">
        <w:t>the court will determine the scope of the guardian’s authority</w:t>
      </w:r>
      <w:r w:rsidR="00727639">
        <w:t xml:space="preserve"> </w:t>
      </w:r>
      <w:r w:rsidR="00B8659C">
        <w:t xml:space="preserve">according to </w:t>
      </w:r>
      <w:r w:rsidR="004A4CEB">
        <w:t>the person</w:t>
      </w:r>
      <w:r w:rsidR="00B8659C">
        <w:t>’s request</w:t>
      </w:r>
      <w:r w:rsidR="00CD7390">
        <w:t>.</w:t>
      </w:r>
      <w:r w:rsidR="0060761F">
        <w:rPr>
          <w:rStyle w:val="FootnoteReference"/>
        </w:rPr>
        <w:footnoteReference w:id="394"/>
      </w:r>
      <w:r w:rsidR="00C01468">
        <w:t xml:space="preserve"> With this special type of guardianship arrangement, the guardian is to </w:t>
      </w:r>
      <w:r w:rsidR="001213E2">
        <w:t xml:space="preserve">generally </w:t>
      </w:r>
      <w:r w:rsidR="00C01468">
        <w:t>act jointly with the affected person</w:t>
      </w:r>
      <w:r w:rsidR="00EC57E7">
        <w:t xml:space="preserve">, but if the guardian acts independently, they are to act in line with the </w:t>
      </w:r>
      <w:proofErr w:type="gramStart"/>
      <w:r w:rsidR="00EC57E7">
        <w:t>person’s</w:t>
      </w:r>
      <w:proofErr w:type="gramEnd"/>
      <w:r w:rsidR="00C01468">
        <w:t xml:space="preserve"> will.</w:t>
      </w:r>
      <w:r w:rsidR="000055D5">
        <w:rPr>
          <w:rStyle w:val="FootnoteReference"/>
        </w:rPr>
        <w:footnoteReference w:id="395"/>
      </w:r>
    </w:p>
    <w:p w14:paraId="43DADF3A" w14:textId="22322147" w:rsidR="00CF4E04" w:rsidRDefault="00CF4E04"/>
    <w:p w14:paraId="688A3AD1" w14:textId="17D5D62A" w:rsidR="00502E79" w:rsidRPr="002A28E1" w:rsidRDefault="00502E79" w:rsidP="00502E79">
      <w:r w:rsidRPr="002A28E1">
        <w:t xml:space="preserve">The new Czech Civil Code </w:t>
      </w:r>
      <w:r w:rsidR="00034FF6">
        <w:t xml:space="preserve">also </w:t>
      </w:r>
      <w:r w:rsidRPr="002A28E1">
        <w:t xml:space="preserve">lays out a legislative framework for supported decision-making </w:t>
      </w:r>
      <w:r w:rsidR="00F47F83">
        <w:t xml:space="preserve">contracts </w:t>
      </w:r>
      <w:r w:rsidR="000F0B9F">
        <w:t xml:space="preserve">for </w:t>
      </w:r>
      <w:r w:rsidR="00B94C41">
        <w:t xml:space="preserve">persons who </w:t>
      </w:r>
      <w:r w:rsidR="008A6D5F">
        <w:t xml:space="preserve">“[need] </w:t>
      </w:r>
      <w:r w:rsidR="00817968">
        <w:t>support</w:t>
      </w:r>
      <w:r w:rsidR="008A6D5F">
        <w:t xml:space="preserve"> </w:t>
      </w:r>
      <w:r w:rsidR="00817968">
        <w:t>with</w:t>
      </w:r>
      <w:r w:rsidR="008A6D5F">
        <w:t xml:space="preserve"> decision-making due </w:t>
      </w:r>
      <w:r w:rsidR="00817968">
        <w:t>to</w:t>
      </w:r>
      <w:r w:rsidR="008A6D5F">
        <w:t xml:space="preserve"> mental illness,</w:t>
      </w:r>
      <w:r w:rsidR="00D545DC">
        <w:t>”</w:t>
      </w:r>
      <w:r w:rsidR="008A6D5F">
        <w:t xml:space="preserve"> </w:t>
      </w:r>
      <w:r w:rsidR="00B31493">
        <w:t xml:space="preserve">which includes those who have not had their </w:t>
      </w:r>
      <w:r w:rsidR="005F2962">
        <w:t>legal capacity limited.</w:t>
      </w:r>
      <w:r w:rsidRPr="002A28E1">
        <w:rPr>
          <w:rStyle w:val="FootnoteReference"/>
        </w:rPr>
        <w:footnoteReference w:id="396"/>
      </w:r>
      <w:r w:rsidRPr="002A28E1">
        <w:t xml:space="preserve"> The reformed Code indicates that the role of the supporting person is to help the supported person obtain necessary information, to provide the supported person with advice, and to be present at legal transactions with the consent of the supported person.</w:t>
      </w:r>
      <w:r w:rsidRPr="002A28E1">
        <w:rPr>
          <w:rStyle w:val="FootnoteReference"/>
        </w:rPr>
        <w:footnoteReference w:id="397"/>
      </w:r>
      <w:r w:rsidRPr="002A28E1">
        <w:t xml:space="preserve"> The supported person </w:t>
      </w:r>
      <w:proofErr w:type="gramStart"/>
      <w:r w:rsidRPr="002A28E1">
        <w:t>is bound</w:t>
      </w:r>
      <w:proofErr w:type="gramEnd"/>
      <w:r w:rsidRPr="002A28E1">
        <w:t xml:space="preserve"> by contract to provide support in this manner.</w:t>
      </w:r>
      <w:r w:rsidRPr="002A28E1">
        <w:rPr>
          <w:rStyle w:val="FootnoteReference"/>
        </w:rPr>
        <w:footnoteReference w:id="398"/>
      </w:r>
      <w:r w:rsidRPr="002A28E1">
        <w:t xml:space="preserve"> The contract takes effect upon approval by a court.</w:t>
      </w:r>
      <w:r w:rsidRPr="002A28E1">
        <w:rPr>
          <w:rStyle w:val="FootnoteReference"/>
        </w:rPr>
        <w:footnoteReference w:id="399"/>
      </w:r>
      <w:r w:rsidRPr="002A28E1">
        <w:t xml:space="preserve"> The court will refuse to approve the contract if there exists a conflict of interest between the supporting person and the supported person.</w:t>
      </w:r>
      <w:r w:rsidRPr="002A28E1">
        <w:rPr>
          <w:rStyle w:val="FootnoteReference"/>
        </w:rPr>
        <w:footnoteReference w:id="400"/>
      </w:r>
      <w:r w:rsidRPr="002A28E1">
        <w:t xml:space="preserve"> Moreover, the law stipulates that the </w:t>
      </w:r>
      <w:r w:rsidR="00AD42C7">
        <w:t>supporter</w:t>
      </w:r>
      <w:r w:rsidR="00C373DD">
        <w:t xml:space="preserve"> must not exert undue influence on the </w:t>
      </w:r>
      <w:r w:rsidR="00690EA8">
        <w:t>supported person</w:t>
      </w:r>
      <w:r w:rsidR="00C373DD">
        <w:t xml:space="preserve"> nor unjustly enrich </w:t>
      </w:r>
      <w:proofErr w:type="gramStart"/>
      <w:r w:rsidR="00C373DD">
        <w:t>themselves at the supporte</w:t>
      </w:r>
      <w:r w:rsidR="00B17C4F">
        <w:t>d per</w:t>
      </w:r>
      <w:r w:rsidR="00B811F4">
        <w:t>son</w:t>
      </w:r>
      <w:r w:rsidR="00C373DD">
        <w:t>’s</w:t>
      </w:r>
      <w:proofErr w:type="gramEnd"/>
      <w:r w:rsidR="00C373DD">
        <w:t xml:space="preserve"> expense.</w:t>
      </w:r>
      <w:r w:rsidRPr="002A28E1">
        <w:rPr>
          <w:rStyle w:val="FootnoteReference"/>
        </w:rPr>
        <w:footnoteReference w:id="401"/>
      </w:r>
      <w:r w:rsidRPr="002A28E1">
        <w:t xml:space="preserve"> The </w:t>
      </w:r>
      <w:r w:rsidR="00904055">
        <w:t>supporter</w:t>
      </w:r>
      <w:r w:rsidRPr="002A28E1">
        <w:t xml:space="preserve"> is to execute their duties “in accordance with</w:t>
      </w:r>
      <w:r w:rsidR="000756A3">
        <w:t xml:space="preserve"> the</w:t>
      </w:r>
      <w:r w:rsidR="005738DB">
        <w:t xml:space="preserve"> </w:t>
      </w:r>
      <w:r w:rsidRPr="002A28E1">
        <w:t xml:space="preserve">decisions of the </w:t>
      </w:r>
      <w:r w:rsidR="00FB326D">
        <w:t>supported person</w:t>
      </w:r>
      <w:r w:rsidRPr="002A28E1">
        <w:t>.”</w:t>
      </w:r>
      <w:r w:rsidRPr="002A28E1">
        <w:rPr>
          <w:rStyle w:val="FootnoteReference"/>
        </w:rPr>
        <w:footnoteReference w:id="402"/>
      </w:r>
      <w:r w:rsidRPr="002A28E1">
        <w:t xml:space="preserve"> </w:t>
      </w:r>
      <w:r w:rsidR="00162CCE">
        <w:t>The Code stipulates</w:t>
      </w:r>
      <w:r w:rsidR="006E6308">
        <w:t>, however</w:t>
      </w:r>
      <w:proofErr w:type="gramStart"/>
      <w:r w:rsidR="006E6308">
        <w:t>,</w:t>
      </w:r>
      <w:r w:rsidR="00162CCE">
        <w:t xml:space="preserve"> that</w:t>
      </w:r>
      <w:proofErr w:type="gramEnd"/>
      <w:r w:rsidR="00162CCE">
        <w:t xml:space="preserve"> </w:t>
      </w:r>
      <w:r w:rsidR="000E5F33">
        <w:t>“</w:t>
      </w:r>
      <w:r w:rsidR="001B5CE9">
        <w:t>the supporting person also has the right to</w:t>
      </w:r>
      <w:r w:rsidR="00022563">
        <w:t xml:space="preserve"> object to the validity of </w:t>
      </w:r>
      <w:r w:rsidR="000E5F33">
        <w:t>the legal acts of the supported person</w:t>
      </w:r>
      <w:r w:rsidR="00022563">
        <w:t>.</w:t>
      </w:r>
      <w:r w:rsidR="000E5F33">
        <w:t>”</w:t>
      </w:r>
      <w:r w:rsidR="00045109">
        <w:rPr>
          <w:rStyle w:val="FootnoteReference"/>
        </w:rPr>
        <w:footnoteReference w:id="403"/>
      </w:r>
      <w:r w:rsidR="001B5CE9">
        <w:t xml:space="preserve"> </w:t>
      </w:r>
      <w:r w:rsidRPr="002A28E1">
        <w:t xml:space="preserve">Finally, the court will dismiss the </w:t>
      </w:r>
      <w:r w:rsidRPr="002A28E1">
        <w:lastRenderedPageBreak/>
        <w:t xml:space="preserve">supporting person if they significantly breach their duties and the court </w:t>
      </w:r>
      <w:proofErr w:type="gramStart"/>
      <w:r w:rsidRPr="002A28E1">
        <w:t>will also</w:t>
      </w:r>
      <w:proofErr w:type="gramEnd"/>
      <w:r w:rsidRPr="002A28E1">
        <w:t xml:space="preserve"> dismiss the supporting person at the request of either the supported person or the supporting person.</w:t>
      </w:r>
      <w:r w:rsidRPr="002A28E1">
        <w:rPr>
          <w:rStyle w:val="FootnoteReference"/>
        </w:rPr>
        <w:footnoteReference w:id="404"/>
      </w:r>
    </w:p>
    <w:p w14:paraId="19FF51D9" w14:textId="77777777" w:rsidR="00502E79" w:rsidRPr="002A28E1" w:rsidRDefault="00502E79" w:rsidP="00502E79"/>
    <w:p w14:paraId="72F3B736" w14:textId="2B22BC18" w:rsidR="00502E79" w:rsidRPr="002A28E1" w:rsidRDefault="00502E79" w:rsidP="00502E79">
      <w:r w:rsidRPr="002A28E1">
        <w:t xml:space="preserve">The new Civil Code also allows for the creation of advanced directives for </w:t>
      </w:r>
      <w:r w:rsidR="00B202CB">
        <w:t xml:space="preserve">“a </w:t>
      </w:r>
      <w:r w:rsidRPr="002A28E1">
        <w:t xml:space="preserve">person who </w:t>
      </w:r>
      <w:r w:rsidR="00B202CB">
        <w:t>fore</w:t>
      </w:r>
      <w:r w:rsidR="00786961">
        <w:t>s</w:t>
      </w:r>
      <w:r w:rsidR="00B202CB">
        <w:t>ees</w:t>
      </w:r>
      <w:r w:rsidR="006617B2">
        <w:t xml:space="preserve"> </w:t>
      </w:r>
      <w:r w:rsidR="00786961">
        <w:t>her</w:t>
      </w:r>
      <w:r w:rsidRPr="002A28E1">
        <w:t xml:space="preserve"> own legal incapacity.</w:t>
      </w:r>
      <w:r w:rsidR="005B39D2">
        <w:t>”</w:t>
      </w:r>
      <w:r w:rsidRPr="002A28E1">
        <w:rPr>
          <w:rStyle w:val="FootnoteReference"/>
        </w:rPr>
        <w:footnoteReference w:id="405"/>
      </w:r>
      <w:r w:rsidRPr="002A28E1">
        <w:t xml:space="preserve"> In such a document, an individual can </w:t>
      </w:r>
      <w:r w:rsidR="00DF3016">
        <w:t>“expre</w:t>
      </w:r>
      <w:r w:rsidR="0005064B">
        <w:t>ss</w:t>
      </w:r>
      <w:r w:rsidR="00F26422">
        <w:t xml:space="preserve"> </w:t>
      </w:r>
      <w:r w:rsidR="00E678BA">
        <w:t>his or her</w:t>
      </w:r>
      <w:r w:rsidR="00BD44E7">
        <w:t xml:space="preserve"> </w:t>
      </w:r>
      <w:r w:rsidR="00F26422">
        <w:t>will</w:t>
      </w:r>
      <w:r w:rsidR="009F05C3">
        <w:t xml:space="preserve"> </w:t>
      </w:r>
      <w:r w:rsidR="00F96685">
        <w:t xml:space="preserve">so that her affairs are conducted in a prescribed manner </w:t>
      </w:r>
      <w:r w:rsidR="00C32513">
        <w:t>or by a designated person or that a designated person becomes his or her guardian</w:t>
      </w:r>
      <w:r w:rsidRPr="002A28E1">
        <w:t>.”</w:t>
      </w:r>
      <w:r w:rsidRPr="002A28E1">
        <w:rPr>
          <w:rStyle w:val="FootnoteReference"/>
        </w:rPr>
        <w:footnoteReference w:id="406"/>
      </w:r>
      <w:r w:rsidRPr="002A28E1">
        <w:t xml:space="preserve"> </w:t>
      </w:r>
    </w:p>
    <w:p w14:paraId="0AC89A77" w14:textId="77777777" w:rsidR="00502E79" w:rsidRPr="002A28E1" w:rsidRDefault="00502E79" w:rsidP="00502E79"/>
    <w:p w14:paraId="4CDA86D8" w14:textId="0ED69EE0" w:rsidR="00502E79" w:rsidRPr="002A28E1" w:rsidRDefault="00502E79" w:rsidP="00502E79">
      <w:r w:rsidRPr="002A28E1">
        <w:t xml:space="preserve">Additionally, the reformed Code provides for “representation by </w:t>
      </w:r>
      <w:r w:rsidR="003A6764">
        <w:t>next of kin</w:t>
      </w:r>
      <w:r w:rsidRPr="002A28E1">
        <w:t>,”</w:t>
      </w:r>
      <w:r w:rsidRPr="002A28E1">
        <w:rPr>
          <w:rStyle w:val="FootnoteReference"/>
        </w:rPr>
        <w:footnoteReference w:id="407"/>
      </w:r>
      <w:r w:rsidRPr="002A28E1">
        <w:t xml:space="preserve"> an arrangement whereby a court can appoint a family member to represent an adult who cannot perform legal acts independently due to a mental disorder.</w:t>
      </w:r>
      <w:r w:rsidRPr="002A28E1">
        <w:rPr>
          <w:rStyle w:val="FootnoteReference"/>
        </w:rPr>
        <w:footnoteReference w:id="408"/>
      </w:r>
      <w:r w:rsidRPr="002A28E1">
        <w:t xml:space="preserve"> The representative is to act in conformity with the </w:t>
      </w:r>
      <w:r w:rsidR="00184D16">
        <w:t>“</w:t>
      </w:r>
      <w:r w:rsidRPr="002A28E1">
        <w:t>best interests</w:t>
      </w:r>
      <w:r w:rsidR="00184D16">
        <w:t>”</w:t>
      </w:r>
      <w:r w:rsidRPr="002A28E1">
        <w:t xml:space="preserve"> of the represented person.</w:t>
      </w:r>
      <w:r w:rsidRPr="002A28E1">
        <w:rPr>
          <w:rStyle w:val="FootnoteReference"/>
        </w:rPr>
        <w:footnoteReference w:id="409"/>
      </w:r>
      <w:r w:rsidRPr="002A28E1">
        <w:t xml:space="preserve"> Representation arrangements cover “</w:t>
      </w:r>
      <w:r w:rsidR="00570E57">
        <w:t>everyday affairs</w:t>
      </w:r>
      <w:r w:rsidRPr="002A28E1">
        <w:t>,” such as the handling of routine financial matters.</w:t>
      </w:r>
      <w:r w:rsidRPr="002A28E1">
        <w:rPr>
          <w:rStyle w:val="FootnoteReference"/>
        </w:rPr>
        <w:footnoteReference w:id="410"/>
      </w:r>
    </w:p>
    <w:p w14:paraId="78337130" w14:textId="77777777" w:rsidR="00502E79" w:rsidRPr="002A28E1" w:rsidRDefault="00502E79"/>
    <w:p w14:paraId="47721FA8" w14:textId="6A745E14" w:rsidR="00B66C99" w:rsidRPr="002A28E1" w:rsidRDefault="00370900">
      <w:r w:rsidRPr="002A28E1">
        <w:t xml:space="preserve">Although </w:t>
      </w:r>
      <w:r w:rsidR="00B8006E" w:rsidRPr="002A28E1">
        <w:t>undoubtedly a positive step towards</w:t>
      </w:r>
      <w:r w:rsidR="00A03533" w:rsidRPr="002A28E1">
        <w:t xml:space="preserve"> </w:t>
      </w:r>
      <w:r w:rsidR="004167E8" w:rsidRPr="002A28E1">
        <w:t>conformity</w:t>
      </w:r>
      <w:r w:rsidR="00A03533" w:rsidRPr="002A28E1">
        <w:t xml:space="preserve"> with </w:t>
      </w:r>
      <w:r w:rsidR="00AE3A81" w:rsidRPr="002A28E1">
        <w:t>A</w:t>
      </w:r>
      <w:r w:rsidR="00A03533" w:rsidRPr="002A28E1">
        <w:t xml:space="preserve">rticle 12 of the CRPD, </w:t>
      </w:r>
      <w:r w:rsidR="002D73FB" w:rsidRPr="002A28E1">
        <w:t xml:space="preserve">the </w:t>
      </w:r>
      <w:r w:rsidR="00236E79" w:rsidRPr="002A28E1">
        <w:t xml:space="preserve">Czech </w:t>
      </w:r>
      <w:r w:rsidR="00217CD1" w:rsidRPr="002A28E1">
        <w:t xml:space="preserve">legislation </w:t>
      </w:r>
      <w:r w:rsidR="0076121B" w:rsidRPr="002A28E1">
        <w:t xml:space="preserve">falls short of </w:t>
      </w:r>
      <w:r w:rsidR="001C4A5A" w:rsidRPr="002A28E1">
        <w:t>complete compliance</w:t>
      </w:r>
      <w:r w:rsidR="00915CCE" w:rsidRPr="002A28E1">
        <w:t xml:space="preserve">. </w:t>
      </w:r>
      <w:r w:rsidR="00436AD1" w:rsidRPr="002A28E1">
        <w:t>The Czech legislative regime does not guarantee</w:t>
      </w:r>
      <w:r w:rsidR="00DD4F8E" w:rsidRPr="002A28E1">
        <w:t xml:space="preserve"> full</w:t>
      </w:r>
      <w:r w:rsidR="00436AD1" w:rsidRPr="002A28E1">
        <w:t xml:space="preserve"> legal capacity </w:t>
      </w:r>
      <w:r w:rsidR="000F168B" w:rsidRPr="002A28E1">
        <w:t>to</w:t>
      </w:r>
      <w:r w:rsidR="00172A21" w:rsidRPr="002A28E1">
        <w:t xml:space="preserve"> </w:t>
      </w:r>
      <w:r w:rsidR="00F6774E" w:rsidRPr="002A28E1">
        <w:t>individuals with disabilities.</w:t>
      </w:r>
      <w:r w:rsidR="00E97CFA">
        <w:t xml:space="preserve"> I</w:t>
      </w:r>
      <w:r w:rsidR="00940E4C" w:rsidRPr="002A28E1">
        <w:t>n</w:t>
      </w:r>
      <w:r w:rsidR="005B3455" w:rsidRPr="002A28E1">
        <w:t xml:space="preserve"> </w:t>
      </w:r>
      <w:r w:rsidR="004D67C2" w:rsidRPr="002A28E1">
        <w:t xml:space="preserve">their Concluding </w:t>
      </w:r>
      <w:r w:rsidR="00DD4F8E" w:rsidRPr="002A28E1">
        <w:t>O</w:t>
      </w:r>
      <w:r w:rsidR="004D67C2" w:rsidRPr="002A28E1">
        <w:t xml:space="preserve">bservations on the </w:t>
      </w:r>
      <w:r w:rsidR="00947407" w:rsidRPr="002A28E1">
        <w:t>initial</w:t>
      </w:r>
      <w:r w:rsidR="004D67C2" w:rsidRPr="002A28E1">
        <w:t xml:space="preserve"> report of the Czech Republic, </w:t>
      </w:r>
      <w:r w:rsidR="00947407" w:rsidRPr="002A28E1">
        <w:t xml:space="preserve">the Committee on the Rights of Persons with Disabilities </w:t>
      </w:r>
      <w:proofErr w:type="gramStart"/>
      <w:r w:rsidR="00AA0269" w:rsidRPr="002A28E1">
        <w:t>remarked that</w:t>
      </w:r>
      <w:proofErr w:type="gramEnd"/>
      <w:r w:rsidR="00AA0269" w:rsidRPr="002A28E1">
        <w:t xml:space="preserve"> </w:t>
      </w:r>
      <w:r w:rsidR="00A139BC" w:rsidRPr="002A28E1">
        <w:t xml:space="preserve">“the new Civil Code still provides </w:t>
      </w:r>
      <w:r w:rsidR="0066306D" w:rsidRPr="002A28E1">
        <w:t xml:space="preserve">for the possibility of limiting a person’s legal capacity </w:t>
      </w:r>
      <w:r w:rsidR="00D53890" w:rsidRPr="002A28E1">
        <w:t>and placing a person with a disability under partial guardianship.</w:t>
      </w:r>
      <w:r w:rsidR="00A266E1" w:rsidRPr="002A28E1">
        <w:t>”</w:t>
      </w:r>
      <w:bookmarkStart w:id="46" w:name="_Ref15299834"/>
      <w:r w:rsidR="009F468C" w:rsidRPr="002A28E1">
        <w:rPr>
          <w:rStyle w:val="FootnoteReference"/>
        </w:rPr>
        <w:footnoteReference w:id="411"/>
      </w:r>
      <w:bookmarkEnd w:id="46"/>
      <w:r w:rsidR="009F468C" w:rsidRPr="002A28E1">
        <w:t xml:space="preserve"> </w:t>
      </w:r>
      <w:r w:rsidR="00FA6EDE">
        <w:t xml:space="preserve">The </w:t>
      </w:r>
      <w:r w:rsidR="005433E4">
        <w:t xml:space="preserve">Czech </w:t>
      </w:r>
      <w:r w:rsidR="00DC5ECE">
        <w:t xml:space="preserve">Civil </w:t>
      </w:r>
      <w:r w:rsidR="00FA6EDE">
        <w:t xml:space="preserve">Code allows </w:t>
      </w:r>
      <w:proofErr w:type="gramStart"/>
      <w:r w:rsidR="00FA6EDE">
        <w:t>for</w:t>
      </w:r>
      <w:r w:rsidR="00CE2BAB">
        <w:t xml:space="preserve"> a</w:t>
      </w:r>
      <w:proofErr w:type="gramEnd"/>
      <w:r w:rsidR="00FA6EDE">
        <w:t xml:space="preserve"> court </w:t>
      </w:r>
      <w:r w:rsidR="00CE2BAB">
        <w:t xml:space="preserve">to </w:t>
      </w:r>
      <w:r w:rsidR="00FA6EDE">
        <w:t>restrict</w:t>
      </w:r>
      <w:r w:rsidR="00CE2BAB">
        <w:t xml:space="preserve"> a person’s </w:t>
      </w:r>
      <w:r w:rsidR="00025132">
        <w:t xml:space="preserve">legal capacity </w:t>
      </w:r>
      <w:r w:rsidR="008A0609">
        <w:t xml:space="preserve">based on an assessment of their </w:t>
      </w:r>
      <w:r w:rsidR="002E3AD2">
        <w:t xml:space="preserve">perceived </w:t>
      </w:r>
      <w:r w:rsidR="008A0609">
        <w:t>mental capacity</w:t>
      </w:r>
      <w:r w:rsidR="002E3AD2">
        <w:t xml:space="preserve"> (</w:t>
      </w:r>
      <w:r w:rsidR="00BD669D">
        <w:t>whether they can manage their own affairs) and based on a diagnosed “mental disorder, which is not only temporary.”</w:t>
      </w:r>
      <w:r w:rsidR="00D56285">
        <w:rPr>
          <w:rStyle w:val="FootnoteReference"/>
        </w:rPr>
        <w:footnoteReference w:id="412"/>
      </w:r>
      <w:r w:rsidR="00BD669D">
        <w:t xml:space="preserve"> </w:t>
      </w:r>
      <w:r w:rsidR="005F1921">
        <w:t xml:space="preserve">This </w:t>
      </w:r>
      <w:r w:rsidR="00AB4A42">
        <w:t xml:space="preserve">restriction of legal capacity </w:t>
      </w:r>
      <w:proofErr w:type="gramStart"/>
      <w:r w:rsidR="00AB4A42">
        <w:t>on the basis of</w:t>
      </w:r>
      <w:proofErr w:type="gramEnd"/>
      <w:r w:rsidR="00AB4A42">
        <w:t xml:space="preserve"> a person’s decision-making skills and disability </w:t>
      </w:r>
      <w:r w:rsidR="005F1921">
        <w:t>would seem to contravene Article 12.</w:t>
      </w:r>
      <w:r w:rsidR="00357919">
        <w:rPr>
          <w:rStyle w:val="FootnoteReference"/>
        </w:rPr>
        <w:footnoteReference w:id="413"/>
      </w:r>
      <w:r w:rsidR="00FA6EDE">
        <w:t xml:space="preserve"> </w:t>
      </w:r>
    </w:p>
    <w:p w14:paraId="1831983F" w14:textId="77777777" w:rsidR="00B66C99" w:rsidRPr="002A28E1" w:rsidRDefault="00B66C99"/>
    <w:p w14:paraId="6BF36C84" w14:textId="65B8D8BE" w:rsidR="00E12D3B" w:rsidRPr="002A28E1" w:rsidRDefault="00033170">
      <w:r w:rsidRPr="002A28E1">
        <w:t xml:space="preserve">The </w:t>
      </w:r>
      <w:r w:rsidR="00553D51" w:rsidRPr="002A28E1">
        <w:t xml:space="preserve">new Czech </w:t>
      </w:r>
      <w:r w:rsidR="00E41F91" w:rsidRPr="002A28E1">
        <w:t xml:space="preserve">legislative scheme </w:t>
      </w:r>
      <w:r w:rsidR="00876749" w:rsidRPr="002A28E1">
        <w:t xml:space="preserve">does </w:t>
      </w:r>
      <w:r w:rsidR="00230829" w:rsidRPr="002A28E1">
        <w:t>introduce</w:t>
      </w:r>
      <w:r w:rsidR="00E41F91" w:rsidRPr="002A28E1">
        <w:t xml:space="preserve"> </w:t>
      </w:r>
      <w:r w:rsidR="00543F7B" w:rsidRPr="002A28E1">
        <w:t>supported decision-making</w:t>
      </w:r>
      <w:r w:rsidR="00E727FF" w:rsidRPr="002A28E1">
        <w:t xml:space="preserve"> measures that allow </w:t>
      </w:r>
      <w:proofErr w:type="gramStart"/>
      <w:r w:rsidR="004B42EC" w:rsidRPr="002A28E1">
        <w:t xml:space="preserve">for </w:t>
      </w:r>
      <w:r w:rsidR="00E727FF" w:rsidRPr="002A28E1">
        <w:t>the</w:t>
      </w:r>
      <w:proofErr w:type="gramEnd"/>
      <w:r w:rsidR="00E727FF" w:rsidRPr="002A28E1">
        <w:t xml:space="preserve"> legal capacity of persons with disabilities to stay intact.</w:t>
      </w:r>
      <w:bookmarkStart w:id="47" w:name="_Ref15299808"/>
      <w:r w:rsidR="00A041C4" w:rsidRPr="002A28E1">
        <w:rPr>
          <w:rStyle w:val="FootnoteReference"/>
        </w:rPr>
        <w:footnoteReference w:id="414"/>
      </w:r>
      <w:bookmarkEnd w:id="47"/>
      <w:r w:rsidR="00543F7B" w:rsidRPr="002A28E1">
        <w:t xml:space="preserve"> </w:t>
      </w:r>
      <w:proofErr w:type="gramStart"/>
      <w:r w:rsidR="00820EEC" w:rsidRPr="002A28E1">
        <w:t xml:space="preserve">The support </w:t>
      </w:r>
      <w:r w:rsidR="00A2121F" w:rsidRPr="002A28E1">
        <w:t>system</w:t>
      </w:r>
      <w:r w:rsidR="00820EEC" w:rsidRPr="002A28E1">
        <w:t xml:space="preserve"> outlined in the legislation is also accompanied by</w:t>
      </w:r>
      <w:r w:rsidR="00543F7B" w:rsidRPr="002A28E1">
        <w:t xml:space="preserve"> </w:t>
      </w:r>
      <w:r w:rsidR="00C26FFB" w:rsidRPr="002A28E1">
        <w:t xml:space="preserve">some </w:t>
      </w:r>
      <w:r w:rsidR="00456A48" w:rsidRPr="002A28E1">
        <w:t>corresponding safeguards</w:t>
      </w:r>
      <w:r w:rsidR="00C73D68" w:rsidRPr="002A28E1">
        <w:t>,</w:t>
      </w:r>
      <w:r w:rsidR="00456A48" w:rsidRPr="002A28E1">
        <w:t xml:space="preserve"> </w:t>
      </w:r>
      <w:r w:rsidR="005065C6" w:rsidRPr="002A28E1">
        <w:t>such as the ability of the court to</w:t>
      </w:r>
      <w:r w:rsidR="0080059A" w:rsidRPr="002A28E1">
        <w:t xml:space="preserve"> dismiss the suppor</w:t>
      </w:r>
      <w:r w:rsidR="003250EB" w:rsidRPr="002A28E1">
        <w:t>t</w:t>
      </w:r>
      <w:r w:rsidR="0080059A" w:rsidRPr="002A28E1">
        <w:t xml:space="preserve"> person</w:t>
      </w:r>
      <w:proofErr w:type="gramEnd"/>
      <w:r w:rsidR="0080059A" w:rsidRPr="002A28E1">
        <w:t>.</w:t>
      </w:r>
      <w:r w:rsidR="00A6400C">
        <w:rPr>
          <w:rStyle w:val="FootnoteReference"/>
        </w:rPr>
        <w:footnoteReference w:id="415"/>
      </w:r>
      <w:r w:rsidR="009929E6" w:rsidRPr="002A28E1">
        <w:t xml:space="preserve"> The requirement incumbent upon support persons to act </w:t>
      </w:r>
      <w:r w:rsidR="00CA6C97">
        <w:t>“</w:t>
      </w:r>
      <w:r w:rsidR="009929E6" w:rsidRPr="002A28E1">
        <w:t xml:space="preserve">in </w:t>
      </w:r>
      <w:r w:rsidR="00CA6C97">
        <w:t>accordance</w:t>
      </w:r>
      <w:r w:rsidR="009929E6" w:rsidRPr="002A28E1">
        <w:t xml:space="preserve"> with the decisions of the supported person</w:t>
      </w:r>
      <w:r w:rsidR="00813B2E">
        <w:t>”</w:t>
      </w:r>
      <w:r w:rsidR="00AA70BB" w:rsidRPr="002A28E1">
        <w:rPr>
          <w:rStyle w:val="FootnoteReference"/>
        </w:rPr>
        <w:footnoteReference w:id="416"/>
      </w:r>
      <w:r w:rsidR="009929E6" w:rsidRPr="002A28E1">
        <w:t xml:space="preserve"> no doubt also serves </w:t>
      </w:r>
      <w:r w:rsidR="009929E6" w:rsidRPr="002A28E1">
        <w:lastRenderedPageBreak/>
        <w:t xml:space="preserve">to </w:t>
      </w:r>
      <w:r w:rsidR="00046E0A" w:rsidRPr="002A28E1">
        <w:t xml:space="preserve">secure adherence to </w:t>
      </w:r>
      <w:r w:rsidR="00046E0A" w:rsidRPr="00045E78">
        <w:t>the will and preferences of the individual receiving support.</w:t>
      </w:r>
      <w:r w:rsidR="00E12D3B" w:rsidRPr="00045E78">
        <w:t xml:space="preserve"> That said</w:t>
      </w:r>
      <w:proofErr w:type="gramStart"/>
      <w:r w:rsidR="00E12D3B" w:rsidRPr="00045E78">
        <w:t>,</w:t>
      </w:r>
      <w:proofErr w:type="gramEnd"/>
      <w:r w:rsidR="00DC738C" w:rsidRPr="00045E78">
        <w:t xml:space="preserve"> the supporter’s power to contest the validity of the supported person’s legal acts is arguably not in harmony with the “will and preferences” paradigm.</w:t>
      </w:r>
      <w:r w:rsidR="00DA53AF" w:rsidRPr="00045E78">
        <w:rPr>
          <w:rStyle w:val="FootnoteReference"/>
        </w:rPr>
        <w:footnoteReference w:id="417"/>
      </w:r>
      <w:r w:rsidR="00E12D3B" w:rsidRPr="00045E78">
        <w:t xml:space="preserve"> </w:t>
      </w:r>
      <w:r w:rsidR="006349B6" w:rsidRPr="00045E78">
        <w:t xml:space="preserve">There is no description as to when supporters may resort to this power, and it could in effect serve as a sort of “veto,” restricting the exercise of a supported person’s legal </w:t>
      </w:r>
      <w:r w:rsidR="00D16E1F" w:rsidRPr="00045E78">
        <w:t>capacity</w:t>
      </w:r>
      <w:r w:rsidR="006349B6" w:rsidRPr="00045E78">
        <w:t>.</w:t>
      </w:r>
      <w:r w:rsidR="00D16E1F" w:rsidRPr="00045E78">
        <w:t xml:space="preserve"> </w:t>
      </w:r>
      <w:r w:rsidR="00696DAB" w:rsidRPr="00045E78">
        <w:t>Furthermore</w:t>
      </w:r>
      <w:r w:rsidR="00D16E1F" w:rsidRPr="00045E78">
        <w:t>,</w:t>
      </w:r>
      <w:r w:rsidR="006349B6" w:rsidRPr="00045E78">
        <w:t xml:space="preserve"> </w:t>
      </w:r>
      <w:r w:rsidR="00E12D3B" w:rsidRPr="00045E78">
        <w:t xml:space="preserve">the </w:t>
      </w:r>
      <w:r w:rsidR="00075284" w:rsidRPr="00045E78">
        <w:t xml:space="preserve">legislation appears to lack </w:t>
      </w:r>
      <w:r w:rsidR="002B7AF7" w:rsidRPr="00045E78">
        <w:t>mechanisms</w:t>
      </w:r>
      <w:r w:rsidR="007B0068" w:rsidRPr="00045E78">
        <w:t xml:space="preserve"> for monitoring the support person or </w:t>
      </w:r>
      <w:r w:rsidR="00FC584C" w:rsidRPr="00045E78">
        <w:t xml:space="preserve">mechanisms for </w:t>
      </w:r>
      <w:r w:rsidR="00993EB2" w:rsidRPr="00045E78">
        <w:t>challenging the action of the support</w:t>
      </w:r>
      <w:r w:rsidR="005B7C78" w:rsidRPr="00045E78">
        <w:t xml:space="preserve"> person if there is </w:t>
      </w:r>
      <w:r w:rsidR="00932690" w:rsidRPr="00045E78">
        <w:t xml:space="preserve">a </w:t>
      </w:r>
      <w:r w:rsidR="00FA2573" w:rsidRPr="00045E78">
        <w:t>concern that the support person is not carrying out their duties in line with the will and preferences of</w:t>
      </w:r>
      <w:r w:rsidR="00FA2573" w:rsidRPr="002A28E1">
        <w:t xml:space="preserve"> the affected person.</w:t>
      </w:r>
    </w:p>
    <w:p w14:paraId="1AB1BFFB" w14:textId="301EB9F4" w:rsidR="00D9233D" w:rsidRPr="002A28E1" w:rsidRDefault="00D9233D"/>
    <w:p w14:paraId="25D0A134" w14:textId="002101EC" w:rsidR="00D9233D" w:rsidRDefault="00130931">
      <w:r>
        <w:t>Next</w:t>
      </w:r>
      <w:r w:rsidR="00D9233D" w:rsidRPr="002A28E1">
        <w:t xml:space="preserve">, it is debatable whether the advanced directives and representation by </w:t>
      </w:r>
      <w:r w:rsidR="007B30EA">
        <w:t>next of kin</w:t>
      </w:r>
      <w:r w:rsidR="005639AF">
        <w:t xml:space="preserve"> </w:t>
      </w:r>
      <w:r w:rsidR="00E30B3A" w:rsidRPr="002A28E1">
        <w:t xml:space="preserve">contemplated in the new Code constitute supported decision-making measures within the </w:t>
      </w:r>
      <w:r w:rsidR="009902BA" w:rsidRPr="002A28E1">
        <w:t xml:space="preserve">meaning of Article 12. Although they allow a person to convey their will, advanced directives </w:t>
      </w:r>
      <w:r w:rsidR="0072081A" w:rsidRPr="002A28E1">
        <w:t xml:space="preserve">under the Czech Code allow a person </w:t>
      </w:r>
      <w:r w:rsidR="00EF38C7" w:rsidRPr="002A28E1">
        <w:t xml:space="preserve">to </w:t>
      </w:r>
      <w:r w:rsidR="008244F1" w:rsidRPr="002A28E1">
        <w:t>name a guardian, a form of substitute-decision maker.</w:t>
      </w:r>
      <w:r w:rsidR="00AA680B" w:rsidRPr="002A28E1">
        <w:t xml:space="preserve"> </w:t>
      </w:r>
      <w:r w:rsidR="005E24ED">
        <w:t>Additionally, it would seem as though the appointer is not at liberty to determine the point at which their advance directive enters into force, with the entry into force of advance directive seemingly hinging on a declaration of legal incapacity.</w:t>
      </w:r>
      <w:r w:rsidR="005E24ED">
        <w:rPr>
          <w:rStyle w:val="FootnoteReference"/>
        </w:rPr>
        <w:footnoteReference w:id="418"/>
      </w:r>
      <w:r w:rsidR="005E24ED">
        <w:t xml:space="preserve"> </w:t>
      </w:r>
      <w:r w:rsidR="009A65B9" w:rsidRPr="002A28E1">
        <w:t xml:space="preserve">With respect to “representation by </w:t>
      </w:r>
      <w:r w:rsidR="006D371B">
        <w:t>next of kin</w:t>
      </w:r>
      <w:r w:rsidR="009A65B9" w:rsidRPr="002A28E1">
        <w:t xml:space="preserve">” arrangements, </w:t>
      </w:r>
      <w:r w:rsidR="00EE603E" w:rsidRPr="002A28E1">
        <w:t>despite the fact that they do not involve a formal restriction of legal capacity</w:t>
      </w:r>
      <w:r w:rsidR="005D4E54" w:rsidRPr="002A28E1">
        <w:t xml:space="preserve"> by the court,</w:t>
      </w:r>
      <w:r w:rsidR="00A041C4" w:rsidRPr="002A28E1">
        <w:rPr>
          <w:rStyle w:val="FootnoteReference"/>
        </w:rPr>
        <w:footnoteReference w:id="419"/>
      </w:r>
      <w:r w:rsidR="005D4E54" w:rsidRPr="002A28E1">
        <w:t xml:space="preserve"> </w:t>
      </w:r>
      <w:r w:rsidR="00FF157B" w:rsidRPr="002A28E1">
        <w:t xml:space="preserve">these embody key features of substitute decision-making, as decisions </w:t>
      </w:r>
      <w:proofErr w:type="gramStart"/>
      <w:r w:rsidR="00FF157B" w:rsidRPr="002A28E1">
        <w:t>are made</w:t>
      </w:r>
      <w:proofErr w:type="gramEnd"/>
      <w:r w:rsidR="00FF157B" w:rsidRPr="002A28E1">
        <w:t xml:space="preserve"> on behalf of the person concerned in their perceived “best interests.”</w:t>
      </w:r>
    </w:p>
    <w:p w14:paraId="160E00A4" w14:textId="323B43AF" w:rsidR="00252373" w:rsidRDefault="00252373"/>
    <w:p w14:paraId="26A05B94" w14:textId="2E4D229A" w:rsidR="00252373" w:rsidRPr="002A28E1" w:rsidRDefault="00851847">
      <w:r>
        <w:t xml:space="preserve">Some might argue that the </w:t>
      </w:r>
      <w:r w:rsidR="00252373">
        <w:t xml:space="preserve">option of guardianship without restriction of legal capacity </w:t>
      </w:r>
      <w:r w:rsidR="0023470A">
        <w:t>is compliant with Art</w:t>
      </w:r>
      <w:r w:rsidR="00852E43">
        <w:t>i</w:t>
      </w:r>
      <w:r w:rsidR="0023470A">
        <w:t>cle 12 of the CRPD.</w:t>
      </w:r>
      <w:r w:rsidR="003F282D">
        <w:t xml:space="preserve"> The regime appears to</w:t>
      </w:r>
      <w:r w:rsidR="00E52825">
        <w:t xml:space="preserve"> give the affected person power over </w:t>
      </w:r>
      <w:r w:rsidR="007A60A7">
        <w:t>the appointment of the guardian and the scope of the arrangement</w:t>
      </w:r>
      <w:r w:rsidR="00FD0823">
        <w:t xml:space="preserve">, and it seems to </w:t>
      </w:r>
      <w:proofErr w:type="gramStart"/>
      <w:r w:rsidR="00E52825">
        <w:t>be grounded</w:t>
      </w:r>
      <w:proofErr w:type="gramEnd"/>
      <w:r w:rsidR="00E52825">
        <w:t xml:space="preserve"> in the “will and preferences”</w:t>
      </w:r>
      <w:r w:rsidR="003F282D">
        <w:t xml:space="preserve"> </w:t>
      </w:r>
      <w:r w:rsidR="00E52825">
        <w:t>paradigm</w:t>
      </w:r>
      <w:r w:rsidR="00651E56">
        <w:t>.</w:t>
      </w:r>
      <w:r w:rsidR="00C73ACA">
        <w:rPr>
          <w:rStyle w:val="FootnoteReference"/>
        </w:rPr>
        <w:footnoteReference w:id="420"/>
      </w:r>
      <w:r w:rsidR="00651E56">
        <w:t xml:space="preserve"> Neverthele</w:t>
      </w:r>
      <w:r w:rsidR="003E7557">
        <w:t>s</w:t>
      </w:r>
      <w:r w:rsidR="00651E56">
        <w:t xml:space="preserve">s, </w:t>
      </w:r>
      <w:r w:rsidR="00F415D9">
        <w:t xml:space="preserve">this </w:t>
      </w:r>
      <w:r w:rsidR="00037D43">
        <w:t xml:space="preserve">option </w:t>
      </w:r>
      <w:proofErr w:type="gramStart"/>
      <w:r w:rsidR="00037D43">
        <w:t xml:space="preserve">is </w:t>
      </w:r>
      <w:r w:rsidR="00886295">
        <w:t>scantly described</w:t>
      </w:r>
      <w:proofErr w:type="gramEnd"/>
      <w:r w:rsidR="00886295">
        <w:t xml:space="preserve"> in the legislation</w:t>
      </w:r>
      <w:r w:rsidR="00E57D56">
        <w:t>.</w:t>
      </w:r>
      <w:r w:rsidR="00925E4B">
        <w:t xml:space="preserve"> </w:t>
      </w:r>
      <w:r w:rsidR="00E57D56">
        <w:t>I</w:t>
      </w:r>
      <w:r w:rsidR="00925E4B">
        <w:t xml:space="preserve">t is unclear as to </w:t>
      </w:r>
      <w:r w:rsidR="00925E4B" w:rsidRPr="002A7C2C">
        <w:t>what exactly “joint” decision-making should look like in practice</w:t>
      </w:r>
      <w:r w:rsidR="009570E0" w:rsidRPr="002A7C2C">
        <w:t xml:space="preserve"> (for example, it </w:t>
      </w:r>
      <w:proofErr w:type="gramStart"/>
      <w:r w:rsidR="009570E0" w:rsidRPr="002A7C2C">
        <w:t>is not stated</w:t>
      </w:r>
      <w:proofErr w:type="gramEnd"/>
      <w:r w:rsidR="009570E0" w:rsidRPr="002A7C2C">
        <w:t xml:space="preserve"> whether the </w:t>
      </w:r>
      <w:r w:rsidR="00DF5440" w:rsidRPr="002A7C2C">
        <w:t xml:space="preserve">guardian possesses a “veto” power). </w:t>
      </w:r>
      <w:r w:rsidR="00130931" w:rsidRPr="002A7C2C">
        <w:t>Moreover</w:t>
      </w:r>
      <w:r w:rsidR="00DF5440" w:rsidRPr="002A7C2C">
        <w:t>,</w:t>
      </w:r>
      <w:r w:rsidR="00925E4B" w:rsidRPr="002A7C2C">
        <w:t xml:space="preserve"> </w:t>
      </w:r>
      <w:r w:rsidR="0009167F" w:rsidRPr="002A7C2C">
        <w:t>there may</w:t>
      </w:r>
      <w:r w:rsidR="00D10145" w:rsidRPr="002A7C2C">
        <w:t xml:space="preserve"> be </w:t>
      </w:r>
      <w:r w:rsidR="0009167F" w:rsidRPr="002A7C2C">
        <w:t xml:space="preserve">a </w:t>
      </w:r>
      <w:r w:rsidR="00D10145" w:rsidRPr="002A7C2C">
        <w:t>lack</w:t>
      </w:r>
      <w:r w:rsidR="0009167F" w:rsidRPr="002A7C2C">
        <w:t xml:space="preserve"> of </w:t>
      </w:r>
      <w:r w:rsidR="00373629" w:rsidRPr="002A7C2C">
        <w:t xml:space="preserve">corresponding </w:t>
      </w:r>
      <w:r w:rsidR="0009167F" w:rsidRPr="002A7C2C">
        <w:t>safeguards.</w:t>
      </w:r>
      <w:r w:rsidR="00D10145">
        <w:t xml:space="preserve"> </w:t>
      </w:r>
    </w:p>
    <w:p w14:paraId="35870B60" w14:textId="18CC43E2" w:rsidR="002E1B04" w:rsidRPr="002A28E1" w:rsidRDefault="002E1B04"/>
    <w:p w14:paraId="6F54FF0E" w14:textId="0B255EBE" w:rsidR="002E1B04" w:rsidRDefault="002E1B04">
      <w:r w:rsidRPr="002A28E1">
        <w:t xml:space="preserve">In sum, although the Czech Republic has incorporated supported decision-making into its legal framework, the </w:t>
      </w:r>
      <w:r w:rsidR="005605F9" w:rsidRPr="002A28E1">
        <w:t>availability</w:t>
      </w:r>
      <w:r w:rsidR="00400093" w:rsidRPr="002A28E1">
        <w:t xml:space="preserve"> of</w:t>
      </w:r>
      <w:r w:rsidR="00477034" w:rsidRPr="002A28E1">
        <w:t xml:space="preserve"> </w:t>
      </w:r>
      <w:r w:rsidR="007C591A" w:rsidRPr="002A28E1">
        <w:t xml:space="preserve">partial </w:t>
      </w:r>
      <w:r w:rsidR="00477034" w:rsidRPr="002A28E1">
        <w:t>guardianship and</w:t>
      </w:r>
      <w:r w:rsidR="00400093" w:rsidRPr="002A28E1">
        <w:t xml:space="preserve"> </w:t>
      </w:r>
      <w:r w:rsidR="00B22F17" w:rsidRPr="002A28E1">
        <w:t>representation arrangements</w:t>
      </w:r>
      <w:r w:rsidR="009568ED" w:rsidRPr="002A28E1">
        <w:t xml:space="preserve"> grounded in the “best interests” paradigm are cause for concern</w:t>
      </w:r>
      <w:r w:rsidR="0081712D" w:rsidRPr="002A28E1">
        <w:t xml:space="preserve"> </w:t>
      </w:r>
      <w:r w:rsidR="00334499" w:rsidRPr="002A28E1">
        <w:t>from the perspective of Article</w:t>
      </w:r>
      <w:r w:rsidR="005A0C09" w:rsidRPr="002A28E1">
        <w:t xml:space="preserve"> 12</w:t>
      </w:r>
      <w:r w:rsidR="00334499" w:rsidRPr="002A28E1">
        <w:t>.</w:t>
      </w:r>
      <w:r w:rsidR="00214D00">
        <w:t xml:space="preserve"> In 2015, the Committee on the Rights of Persons with Disabilities called on the Czech Republic to </w:t>
      </w:r>
      <w:r w:rsidR="00214D00" w:rsidRPr="00DE0487">
        <w:t>“recognize</w:t>
      </w:r>
      <w:r w:rsidR="00214D00" w:rsidRPr="00DE0487">
        <w:rPr>
          <w:lang w:val="en-US"/>
        </w:rPr>
        <w:t xml:space="preserve"> the</w:t>
      </w:r>
      <w:r w:rsidR="00214D00" w:rsidRPr="00DE0487">
        <w:t xml:space="preserve"> full legal capacity o</w:t>
      </w:r>
      <w:r w:rsidR="00214D00" w:rsidRPr="00DE0487">
        <w:rPr>
          <w:lang w:val="en-US"/>
        </w:rPr>
        <w:t>f</w:t>
      </w:r>
      <w:r w:rsidR="00214D00" w:rsidRPr="00DE0487">
        <w:t xml:space="preserve"> all persons with all types of disability and improve access to supported decision-making, thus implementing the relevant provision of the Civil Code.</w:t>
      </w:r>
      <w:r w:rsidR="00D13F64" w:rsidRPr="00DE0487">
        <w:t>”</w:t>
      </w:r>
      <w:r w:rsidR="00DE0487">
        <w:rPr>
          <w:rStyle w:val="FootnoteReference"/>
        </w:rPr>
        <w:footnoteReference w:id="421"/>
      </w:r>
      <w:r w:rsidR="00270EA3">
        <w:t xml:space="preserve"> Finally, one may note that although restrictions of legal capacity are intended to be </w:t>
      </w:r>
      <w:r w:rsidR="00593686">
        <w:t>ordered as a “last resort</w:t>
      </w:r>
      <w:r w:rsidR="00952FC9">
        <w:t>,</w:t>
      </w:r>
      <w:r w:rsidR="00593686">
        <w:t>”</w:t>
      </w:r>
      <w:r w:rsidR="00952FC9">
        <w:t xml:space="preserve"> </w:t>
      </w:r>
      <w:r w:rsidR="006643B3">
        <w:t xml:space="preserve">civil society </w:t>
      </w:r>
      <w:r w:rsidR="00D06027">
        <w:t xml:space="preserve">reports </w:t>
      </w:r>
      <w:proofErr w:type="gramStart"/>
      <w:r w:rsidR="00D06027">
        <w:t>indicate</w:t>
      </w:r>
      <w:r w:rsidR="004A114C">
        <w:t xml:space="preserve"> that</w:t>
      </w:r>
      <w:proofErr w:type="gramEnd"/>
      <w:r w:rsidR="004A114C">
        <w:t xml:space="preserve"> “courts still opt for extensive restriction of legal capacity impacting on most areas of life as prevailing practice.”</w:t>
      </w:r>
      <w:bookmarkStart w:id="48" w:name="_Ref15479976"/>
      <w:r w:rsidR="006643B3">
        <w:rPr>
          <w:rStyle w:val="FootnoteReference"/>
        </w:rPr>
        <w:footnoteReference w:id="422"/>
      </w:r>
      <w:bookmarkEnd w:id="48"/>
      <w:r w:rsidR="00593686">
        <w:t xml:space="preserve"> </w:t>
      </w:r>
    </w:p>
    <w:p w14:paraId="33B05F9D" w14:textId="1050D38B" w:rsidR="001C54DE" w:rsidRDefault="001C54DE">
      <w:r>
        <w:br w:type="page"/>
      </w:r>
    </w:p>
    <w:p w14:paraId="2F245200" w14:textId="1EC3042C" w:rsidR="00170C25" w:rsidRPr="002A28E1" w:rsidRDefault="00170C25" w:rsidP="003D5027">
      <w:pPr>
        <w:pStyle w:val="Heading1"/>
      </w:pPr>
      <w:bookmarkStart w:id="49" w:name="_Toc16081759"/>
      <w:r w:rsidRPr="002A28E1">
        <w:lastRenderedPageBreak/>
        <w:t>Latvia</w:t>
      </w:r>
      <w:bookmarkEnd w:id="49"/>
    </w:p>
    <w:p w14:paraId="55286E4D" w14:textId="1D365A79" w:rsidR="00170C25" w:rsidRPr="002A28E1" w:rsidRDefault="00E808E7">
      <w:r w:rsidRPr="002A28E1">
        <w:t>Latvia is a State Party to the CRPD, having ratified the Convention in 2010.</w:t>
      </w:r>
      <w:r>
        <w:rPr>
          <w:rStyle w:val="FootnoteReference"/>
        </w:rPr>
        <w:footnoteReference w:id="423"/>
      </w:r>
      <w:r w:rsidRPr="002A28E1">
        <w:t xml:space="preserve"> </w:t>
      </w:r>
      <w:r w:rsidR="00CC4BC2" w:rsidRPr="002A28E1">
        <w:t xml:space="preserve">In 2012, </w:t>
      </w:r>
      <w:r w:rsidR="002374C8" w:rsidRPr="002A28E1">
        <w:t xml:space="preserve">the Latvian Parliament </w:t>
      </w:r>
      <w:r w:rsidR="00C56679" w:rsidRPr="002A28E1">
        <w:t xml:space="preserve">passed legislation abolishing </w:t>
      </w:r>
      <w:r w:rsidR="00B9297F" w:rsidRPr="002A28E1">
        <w:t>plenary guardianship</w:t>
      </w:r>
      <w:r w:rsidR="00117CB8" w:rsidRPr="002A28E1">
        <w:t xml:space="preserve"> and instituting a co-decision-making framework.</w:t>
      </w:r>
      <w:bookmarkStart w:id="50" w:name="_Ref15299939"/>
      <w:r w:rsidR="001256CF">
        <w:rPr>
          <w:rStyle w:val="FootnoteReference"/>
        </w:rPr>
        <w:footnoteReference w:id="424"/>
      </w:r>
      <w:bookmarkEnd w:id="50"/>
      <w:r w:rsidR="00683E4D" w:rsidRPr="002A28E1">
        <w:t xml:space="preserve"> The legislative reform was spurred by a 2010</w:t>
      </w:r>
      <w:r w:rsidR="00283A30" w:rsidRPr="002A28E1">
        <w:t xml:space="preserve"> </w:t>
      </w:r>
      <w:r w:rsidR="006959E7" w:rsidRPr="002A28E1">
        <w:t>decision</w:t>
      </w:r>
      <w:r w:rsidR="00283A30" w:rsidRPr="002A28E1">
        <w:t xml:space="preserve"> </w:t>
      </w:r>
      <w:r w:rsidR="00464B61" w:rsidRPr="002A28E1">
        <w:t>by</w:t>
      </w:r>
      <w:r w:rsidR="00283A30" w:rsidRPr="002A28E1">
        <w:t xml:space="preserve"> Latvia’s Constitutional </w:t>
      </w:r>
      <w:proofErr w:type="gramStart"/>
      <w:r w:rsidR="00283A30" w:rsidRPr="002A28E1">
        <w:t>Court</w:t>
      </w:r>
      <w:r w:rsidR="008269A3" w:rsidRPr="002A28E1">
        <w:t xml:space="preserve"> which</w:t>
      </w:r>
      <w:proofErr w:type="gramEnd"/>
      <w:r w:rsidR="008269A3" w:rsidRPr="002A28E1">
        <w:t xml:space="preserve"> </w:t>
      </w:r>
      <w:r w:rsidR="002A75AC" w:rsidRPr="002A28E1">
        <w:t>found</w:t>
      </w:r>
      <w:r w:rsidR="00121E99" w:rsidRPr="002A28E1">
        <w:t xml:space="preserve"> </w:t>
      </w:r>
      <w:r w:rsidR="00E26B97" w:rsidRPr="002A28E1">
        <w:t>the</w:t>
      </w:r>
      <w:r w:rsidR="00C84109" w:rsidRPr="002A28E1">
        <w:t xml:space="preserve"> </w:t>
      </w:r>
      <w:r w:rsidR="00370DD2" w:rsidRPr="002A28E1">
        <w:t xml:space="preserve">country’s </w:t>
      </w:r>
      <w:r w:rsidR="00CA6149" w:rsidRPr="002A28E1">
        <w:t>le</w:t>
      </w:r>
      <w:r w:rsidR="00370DD2" w:rsidRPr="002A28E1">
        <w:t>gislation</w:t>
      </w:r>
      <w:r w:rsidR="00A329F7" w:rsidRPr="002A28E1">
        <w:t xml:space="preserve"> allowing for </w:t>
      </w:r>
      <w:r w:rsidR="00584678" w:rsidRPr="002A28E1">
        <w:t>complete denial of legal capacity</w:t>
      </w:r>
      <w:r w:rsidR="008A43EB" w:rsidRPr="002A28E1">
        <w:t xml:space="preserve"> </w:t>
      </w:r>
      <w:r w:rsidR="00720374" w:rsidRPr="002A28E1">
        <w:t>to be</w:t>
      </w:r>
      <w:r w:rsidR="00CB23A5" w:rsidRPr="002A28E1">
        <w:t xml:space="preserve"> </w:t>
      </w:r>
      <w:r w:rsidR="008A43EB" w:rsidRPr="002A28E1">
        <w:t>unconstitutional</w:t>
      </w:r>
      <w:r w:rsidR="002A1A70" w:rsidRPr="002A28E1">
        <w:t>, on the grounds that complete denial of legal capacity unreasonably restricted a person’s right to a private life</w:t>
      </w:r>
      <w:r w:rsidR="00166F1D" w:rsidRPr="002A28E1">
        <w:t>.</w:t>
      </w:r>
      <w:r w:rsidR="004B76D6" w:rsidRPr="002A28E1">
        <w:rPr>
          <w:rStyle w:val="FootnoteReference"/>
        </w:rPr>
        <w:footnoteReference w:id="425"/>
      </w:r>
      <w:r w:rsidR="003A40F3" w:rsidRPr="002A28E1">
        <w:t xml:space="preserve"> The Court observed </w:t>
      </w:r>
      <w:r w:rsidR="001C2F0B" w:rsidRPr="002A28E1">
        <w:t xml:space="preserve">that the </w:t>
      </w:r>
      <w:r w:rsidR="006577AE" w:rsidRPr="002A28E1">
        <w:t>legislation in force at the time did “not allow for partial restrictions of legal capacity and other milder and more appropriate solutions</w:t>
      </w:r>
      <w:r w:rsidR="006F2873" w:rsidRPr="002A28E1">
        <w:t>.</w:t>
      </w:r>
      <w:r w:rsidR="00643753" w:rsidRPr="002A28E1">
        <w:t>”</w:t>
      </w:r>
      <w:bookmarkStart w:id="51" w:name="_Ref15299894"/>
      <w:r w:rsidR="00B84C06">
        <w:rPr>
          <w:rStyle w:val="FootnoteReference"/>
        </w:rPr>
        <w:footnoteReference w:id="426"/>
      </w:r>
      <w:bookmarkEnd w:id="51"/>
      <w:r w:rsidR="008E5910" w:rsidRPr="002A28E1">
        <w:t xml:space="preserve"> The government </w:t>
      </w:r>
      <w:proofErr w:type="gramStart"/>
      <w:r w:rsidR="008E5910" w:rsidRPr="002A28E1">
        <w:t>was given</w:t>
      </w:r>
      <w:proofErr w:type="gramEnd"/>
      <w:r w:rsidR="008E5910" w:rsidRPr="002A28E1">
        <w:t xml:space="preserve"> a two-year deadline to </w:t>
      </w:r>
      <w:r w:rsidR="00CB53F2" w:rsidRPr="002A28E1">
        <w:t>amend the law.</w:t>
      </w:r>
      <w:r w:rsidR="00557768">
        <w:rPr>
          <w:rStyle w:val="FootnoteReference"/>
        </w:rPr>
        <w:footnoteReference w:id="427"/>
      </w:r>
      <w:r w:rsidR="009404D4" w:rsidRPr="002A28E1">
        <w:t xml:space="preserve"> Despite missing this deadline by almost </w:t>
      </w:r>
      <w:r w:rsidR="00FC78D3" w:rsidRPr="002A28E1">
        <w:t xml:space="preserve">a full year, the Latvian Parliament adopted </w:t>
      </w:r>
      <w:r w:rsidR="007A473B" w:rsidRPr="002A28E1">
        <w:t xml:space="preserve">new legal capacity legislation at the end of 2012, with the </w:t>
      </w:r>
      <w:r w:rsidR="00F40758" w:rsidRPr="002A28E1">
        <w:t>amended provisions coming into effect at the start of 2013.</w:t>
      </w:r>
      <w:r w:rsidR="00DD008F" w:rsidRPr="002A28E1">
        <w:rPr>
          <w:rStyle w:val="FootnoteReference"/>
        </w:rPr>
        <w:footnoteReference w:id="428"/>
      </w:r>
    </w:p>
    <w:p w14:paraId="3F19451C" w14:textId="6679AF7E" w:rsidR="00F40758" w:rsidRPr="002A28E1" w:rsidRDefault="00F40758"/>
    <w:p w14:paraId="654E6DB5" w14:textId="0CC92296" w:rsidR="00DD008F" w:rsidRPr="002A28E1" w:rsidRDefault="002A177A">
      <w:r w:rsidRPr="002A28E1">
        <w:t xml:space="preserve">The </w:t>
      </w:r>
      <w:r w:rsidR="004B4225" w:rsidRPr="002A28E1">
        <w:t xml:space="preserve">seminal 2010 court case </w:t>
      </w:r>
      <w:proofErr w:type="gramStart"/>
      <w:r w:rsidR="004B4225" w:rsidRPr="002A28E1">
        <w:t xml:space="preserve">was </w:t>
      </w:r>
      <w:r w:rsidR="003C14AE" w:rsidRPr="002A28E1">
        <w:t>filed</w:t>
      </w:r>
      <w:proofErr w:type="gramEnd"/>
      <w:r w:rsidR="003C14AE" w:rsidRPr="002A28E1">
        <w:t xml:space="preserve"> by </w:t>
      </w:r>
      <w:r w:rsidR="00B07204" w:rsidRPr="002A28E1">
        <w:t xml:space="preserve">an NGO </w:t>
      </w:r>
      <w:r w:rsidR="00060A11" w:rsidRPr="002A28E1">
        <w:t xml:space="preserve">called Resource Center for People </w:t>
      </w:r>
      <w:r w:rsidR="002E429B">
        <w:t>w</w:t>
      </w:r>
      <w:r w:rsidR="00060A11" w:rsidRPr="002A28E1">
        <w:t>ith</w:t>
      </w:r>
      <w:r w:rsidR="001F3A3B" w:rsidRPr="002A28E1">
        <w:t xml:space="preserve"> </w:t>
      </w:r>
      <w:r w:rsidR="00060A11" w:rsidRPr="002A28E1">
        <w:t>Mental Disability, ZELDA (RC ZELDA)</w:t>
      </w:r>
      <w:r w:rsidR="0050483F" w:rsidRPr="002A28E1">
        <w:t xml:space="preserve"> on behalf of an individual with an intellectual disability.</w:t>
      </w:r>
      <w:r w:rsidR="00682167" w:rsidRPr="002A28E1">
        <w:t xml:space="preserve"> RC ZELDA </w:t>
      </w:r>
      <w:r w:rsidR="000E3313" w:rsidRPr="002A28E1">
        <w:t>continued to be</w:t>
      </w:r>
      <w:r w:rsidR="006328F1" w:rsidRPr="002A28E1">
        <w:t xml:space="preserve"> actively involved </w:t>
      </w:r>
      <w:r w:rsidR="008635D2" w:rsidRPr="002A28E1">
        <w:t>in</w:t>
      </w:r>
      <w:r w:rsidR="006328F1" w:rsidRPr="002A28E1">
        <w:t xml:space="preserve"> the law reform process</w:t>
      </w:r>
      <w:r w:rsidR="00F00CAD" w:rsidRPr="002A28E1">
        <w:t xml:space="preserve"> in 2011</w:t>
      </w:r>
      <w:r w:rsidR="006328F1" w:rsidRPr="002A28E1">
        <w:t>,</w:t>
      </w:r>
      <w:r w:rsidR="00AF010F" w:rsidRPr="002A28E1">
        <w:t xml:space="preserve"> launching a training event </w:t>
      </w:r>
      <w:r w:rsidR="000570BC" w:rsidRPr="002A28E1">
        <w:t xml:space="preserve">for policy makers </w:t>
      </w:r>
      <w:r w:rsidR="008C5D6D" w:rsidRPr="002A28E1">
        <w:t xml:space="preserve">and </w:t>
      </w:r>
      <w:r w:rsidR="00103CDF" w:rsidRPr="002A28E1">
        <w:t xml:space="preserve">NGOs on legal capacity law reform, and </w:t>
      </w:r>
      <w:r w:rsidR="001112BA" w:rsidRPr="002A28E1">
        <w:t>providing the Ministry of Justice</w:t>
      </w:r>
      <w:r w:rsidR="00C538EA" w:rsidRPr="002A28E1">
        <w:t xml:space="preserve"> with </w:t>
      </w:r>
      <w:r w:rsidR="001112BA" w:rsidRPr="002A28E1">
        <w:t xml:space="preserve">suggestions as to how </w:t>
      </w:r>
      <w:r w:rsidR="004A71ED" w:rsidRPr="002A28E1">
        <w:t>to change the legislation.</w:t>
      </w:r>
      <w:r w:rsidR="00DB4F25">
        <w:rPr>
          <w:rStyle w:val="FootnoteReference"/>
        </w:rPr>
        <w:footnoteReference w:id="429"/>
      </w:r>
      <w:r w:rsidR="004A71ED" w:rsidRPr="002A28E1">
        <w:t xml:space="preserve"> </w:t>
      </w:r>
      <w:proofErr w:type="gramStart"/>
      <w:r w:rsidR="004A1B93" w:rsidRPr="002A28E1">
        <w:t xml:space="preserve">RC ZELDA was joined by the Mental Disability Advocacy Centre (MDAC) </w:t>
      </w:r>
      <w:r w:rsidR="00172603" w:rsidRPr="002A28E1">
        <w:t xml:space="preserve">in these </w:t>
      </w:r>
      <w:r w:rsidR="00D2287E" w:rsidRPr="002A28E1">
        <w:t>initiatives</w:t>
      </w:r>
      <w:proofErr w:type="gramEnd"/>
      <w:r w:rsidR="00172603" w:rsidRPr="002A28E1">
        <w:t>.</w:t>
      </w:r>
      <w:r w:rsidR="0040121B">
        <w:rPr>
          <w:rStyle w:val="FootnoteReference"/>
        </w:rPr>
        <w:footnoteReference w:id="430"/>
      </w:r>
      <w:r w:rsidR="00E85637" w:rsidRPr="002A28E1">
        <w:t xml:space="preserve"> </w:t>
      </w:r>
      <w:r w:rsidR="00532A64" w:rsidRPr="002A28E1">
        <w:t xml:space="preserve">RC ZELDA and </w:t>
      </w:r>
      <w:r w:rsidR="00E85637" w:rsidRPr="002A28E1">
        <w:t xml:space="preserve">MDAC </w:t>
      </w:r>
      <w:r w:rsidR="00AF4470" w:rsidRPr="002A28E1">
        <w:t xml:space="preserve">advocated for </w:t>
      </w:r>
      <w:r w:rsidR="002461AF" w:rsidRPr="002A28E1">
        <w:t xml:space="preserve">the </w:t>
      </w:r>
      <w:r w:rsidR="005148F2" w:rsidRPr="002A28E1">
        <w:t>inclusion</w:t>
      </w:r>
      <w:r w:rsidR="00CE2C2E" w:rsidRPr="002A28E1">
        <w:t xml:space="preserve"> of </w:t>
      </w:r>
      <w:r w:rsidR="00A60B62" w:rsidRPr="002A28E1">
        <w:t>supported-decision making</w:t>
      </w:r>
      <w:r w:rsidR="00057D6E" w:rsidRPr="002A28E1">
        <w:t xml:space="preserve"> in</w:t>
      </w:r>
      <w:r w:rsidR="00A60B62" w:rsidRPr="002A28E1">
        <w:t xml:space="preserve"> </w:t>
      </w:r>
      <w:r w:rsidR="002461AF" w:rsidRPr="002A28E1">
        <w:t>Latvian legislation</w:t>
      </w:r>
      <w:r w:rsidR="0001398C" w:rsidRPr="002A28E1">
        <w:t xml:space="preserve">, as reflected in their </w:t>
      </w:r>
      <w:r w:rsidR="007A56DD" w:rsidRPr="002A28E1">
        <w:t xml:space="preserve">written </w:t>
      </w:r>
      <w:r w:rsidR="007A56DD" w:rsidRPr="00E334CB">
        <w:t>comments</w:t>
      </w:r>
      <w:r w:rsidR="002B666D" w:rsidRPr="00E334CB">
        <w:t xml:space="preserve"> </w:t>
      </w:r>
      <w:r w:rsidR="00654C36" w:rsidRPr="00E334CB">
        <w:t xml:space="preserve">to </w:t>
      </w:r>
      <w:r w:rsidR="002B666D" w:rsidRPr="00E334CB">
        <w:t>the</w:t>
      </w:r>
      <w:r w:rsidR="00B12824" w:rsidRPr="00E334CB">
        <w:t xml:space="preserve"> </w:t>
      </w:r>
      <w:r w:rsidR="00FF3959" w:rsidRPr="00E334CB">
        <w:t>Latvian Parliament</w:t>
      </w:r>
      <w:r w:rsidR="0099581D" w:rsidRPr="00E334CB">
        <w:t xml:space="preserve"> in </w:t>
      </w:r>
      <w:r w:rsidR="001E339E" w:rsidRPr="00E334CB">
        <w:t>2011</w:t>
      </w:r>
      <w:r w:rsidR="00FF3959" w:rsidRPr="00E334CB">
        <w:t>.</w:t>
      </w:r>
      <w:bookmarkStart w:id="52" w:name="_Ref15375062"/>
      <w:r w:rsidR="007A56DD" w:rsidRPr="00E334CB">
        <w:rPr>
          <w:rStyle w:val="FootnoteReference"/>
        </w:rPr>
        <w:footnoteReference w:id="431"/>
      </w:r>
      <w:bookmarkEnd w:id="52"/>
      <w:r w:rsidR="003A0A49" w:rsidRPr="00E334CB">
        <w:t xml:space="preserve"> </w:t>
      </w:r>
      <w:r w:rsidR="00100214" w:rsidRPr="00E334CB">
        <w:t xml:space="preserve">Despite these advocacy efforts, </w:t>
      </w:r>
      <w:r w:rsidR="009C5DE3" w:rsidRPr="00E334CB">
        <w:t xml:space="preserve">however, </w:t>
      </w:r>
      <w:r w:rsidR="00932585" w:rsidRPr="00E334CB">
        <w:t xml:space="preserve">Latvia’s </w:t>
      </w:r>
      <w:r w:rsidR="00D94A0D" w:rsidRPr="00E334CB">
        <w:t xml:space="preserve">new law ultimately does not consist of </w:t>
      </w:r>
      <w:r w:rsidR="00B002D8" w:rsidRPr="00E334CB">
        <w:t xml:space="preserve">any </w:t>
      </w:r>
      <w:r w:rsidR="00465230" w:rsidRPr="00E334CB">
        <w:t>provisions</w:t>
      </w:r>
      <w:r w:rsidR="00826877" w:rsidRPr="00E334CB">
        <w:t xml:space="preserve"> on supported decision-making.</w:t>
      </w:r>
      <w:r w:rsidR="00533421" w:rsidRPr="00E334CB">
        <w:rPr>
          <w:rStyle w:val="FootnoteReference"/>
        </w:rPr>
        <w:footnoteReference w:id="432"/>
      </w:r>
    </w:p>
    <w:p w14:paraId="22BB3133" w14:textId="001E0499" w:rsidR="00F40758" w:rsidRPr="002A28E1" w:rsidRDefault="00F40758"/>
    <w:p w14:paraId="2183949B" w14:textId="04C7D24C" w:rsidR="00D41F59" w:rsidRPr="002A28E1" w:rsidRDefault="008C4B17">
      <w:r w:rsidRPr="002A28E1">
        <w:t>Latvia’s new legislation</w:t>
      </w:r>
      <w:r w:rsidR="00835FB1" w:rsidRPr="002A28E1">
        <w:t xml:space="preserve"> eliminates full guardianship and allows for partial legal capacity restrictions</w:t>
      </w:r>
      <w:r w:rsidR="00C505A0" w:rsidRPr="002A28E1">
        <w:t xml:space="preserve"> in which</w:t>
      </w:r>
      <w:r w:rsidR="00CE30B0" w:rsidRPr="002A28E1">
        <w:t xml:space="preserve"> </w:t>
      </w:r>
      <w:r w:rsidR="00123F10" w:rsidRPr="002A28E1">
        <w:t xml:space="preserve">only the exercise of </w:t>
      </w:r>
      <w:r w:rsidR="00C505A0" w:rsidRPr="002A28E1">
        <w:t xml:space="preserve">“material” </w:t>
      </w:r>
      <w:r w:rsidR="002F66BA" w:rsidRPr="002A28E1">
        <w:t xml:space="preserve">or “economic” </w:t>
      </w:r>
      <w:r w:rsidR="00C505A0" w:rsidRPr="002A28E1">
        <w:t xml:space="preserve">rights can be </w:t>
      </w:r>
      <w:r w:rsidR="003B33EC" w:rsidRPr="002A28E1">
        <w:t>limited</w:t>
      </w:r>
      <w:r w:rsidR="00C505A0" w:rsidRPr="002A28E1">
        <w:t>.</w:t>
      </w:r>
      <w:r w:rsidR="00186AD2" w:rsidRPr="002A28E1">
        <w:rPr>
          <w:rStyle w:val="FootnoteReference"/>
        </w:rPr>
        <w:footnoteReference w:id="433"/>
      </w:r>
      <w:r w:rsidR="00F82228" w:rsidRPr="002A28E1">
        <w:t xml:space="preserve"> Such “material” rights relate to property, finances, establishment of enterprises, </w:t>
      </w:r>
      <w:r w:rsidR="001B05B0" w:rsidRPr="002A28E1">
        <w:t xml:space="preserve">or the </w:t>
      </w:r>
      <w:r w:rsidR="00F82228" w:rsidRPr="002A28E1">
        <w:t xml:space="preserve">signing of </w:t>
      </w:r>
      <w:r w:rsidR="00F82228" w:rsidRPr="002A28E1">
        <w:lastRenderedPageBreak/>
        <w:t>contracts</w:t>
      </w:r>
      <w:r w:rsidR="006F614F" w:rsidRPr="002A28E1">
        <w:t>, for example.</w:t>
      </w:r>
      <w:bookmarkStart w:id="53" w:name="_Ref15299994"/>
      <w:r w:rsidR="00870009">
        <w:rPr>
          <w:rStyle w:val="FootnoteReference"/>
        </w:rPr>
        <w:footnoteReference w:id="434"/>
      </w:r>
      <w:bookmarkEnd w:id="53"/>
      <w:r w:rsidR="008206DC" w:rsidRPr="002A28E1">
        <w:t xml:space="preserve"> </w:t>
      </w:r>
      <w:r w:rsidR="000005F4" w:rsidRPr="002A28E1">
        <w:t>U</w:t>
      </w:r>
      <w:r w:rsidR="008206DC" w:rsidRPr="002A28E1">
        <w:t xml:space="preserve">nder the new law, a court cannot </w:t>
      </w:r>
      <w:r w:rsidR="00E71367" w:rsidRPr="002A28E1">
        <w:t xml:space="preserve">restrict a person’s </w:t>
      </w:r>
      <w:r w:rsidR="00493252" w:rsidRPr="002A28E1">
        <w:t>private non-economic rights</w:t>
      </w:r>
      <w:r w:rsidR="00261F31" w:rsidRPr="002A28E1">
        <w:t>,</w:t>
      </w:r>
      <w:r w:rsidR="000B5FE4">
        <w:rPr>
          <w:rStyle w:val="FootnoteReference"/>
        </w:rPr>
        <w:footnoteReference w:id="435"/>
      </w:r>
      <w:r w:rsidR="00261F31" w:rsidRPr="002A28E1">
        <w:t xml:space="preserve"> </w:t>
      </w:r>
      <w:r w:rsidR="00493252" w:rsidRPr="002A28E1">
        <w:t xml:space="preserve">such as the right to </w:t>
      </w:r>
      <w:r w:rsidR="000D2431" w:rsidRPr="002A28E1">
        <w:t xml:space="preserve">marry, the right </w:t>
      </w:r>
      <w:r w:rsidR="006A2CA9" w:rsidRPr="002A28E1">
        <w:t xml:space="preserve">to </w:t>
      </w:r>
      <w:r w:rsidR="00493252" w:rsidRPr="002A28E1">
        <w:t>found a family,</w:t>
      </w:r>
      <w:r w:rsidR="00463ED9" w:rsidRPr="002A28E1">
        <w:t xml:space="preserve"> the right to make decisions </w:t>
      </w:r>
      <w:r w:rsidR="00AE5AFA" w:rsidRPr="002A28E1">
        <w:t xml:space="preserve">about medical </w:t>
      </w:r>
      <w:r w:rsidR="00B41AD0" w:rsidRPr="002A28E1">
        <w:t>care</w:t>
      </w:r>
      <w:r w:rsidR="00AE5AFA" w:rsidRPr="002A28E1">
        <w:t>,</w:t>
      </w:r>
      <w:r w:rsidR="00493252" w:rsidRPr="002A28E1">
        <w:t xml:space="preserve"> the right to choose one’s place of residence, and the right to vote.</w:t>
      </w:r>
      <w:r w:rsidR="00BF0C47" w:rsidRPr="002A28E1">
        <w:rPr>
          <w:rStyle w:val="FootnoteReference"/>
        </w:rPr>
        <w:footnoteReference w:id="436"/>
      </w:r>
      <w:r w:rsidR="00493252" w:rsidRPr="002A28E1">
        <w:t xml:space="preserve"> </w:t>
      </w:r>
    </w:p>
    <w:p w14:paraId="2CD6BF3F" w14:textId="77777777" w:rsidR="00D41F59" w:rsidRPr="002A28E1" w:rsidRDefault="00D41F59"/>
    <w:p w14:paraId="1AA31B21" w14:textId="19A8E73B" w:rsidR="008C4B17" w:rsidRPr="002A28E1" w:rsidRDefault="008B4F5E" w:rsidP="004B3019">
      <w:r>
        <w:t xml:space="preserve">Under the Latvian Civil Code, the court may restrict </w:t>
      </w:r>
      <w:r w:rsidR="00BC5EBB">
        <w:t>the</w:t>
      </w:r>
      <w:r>
        <w:t xml:space="preserve"> legal capacity</w:t>
      </w:r>
      <w:r w:rsidR="00BC5EBB">
        <w:t xml:space="preserve"> of </w:t>
      </w:r>
      <w:r w:rsidR="0058509E">
        <w:t>a “</w:t>
      </w:r>
      <w:r w:rsidR="00BC5EBB">
        <w:t>person with</w:t>
      </w:r>
      <w:r w:rsidR="0058509E">
        <w:t xml:space="preserve"> </w:t>
      </w:r>
      <w:r w:rsidR="00BC5EBB">
        <w:t xml:space="preserve">health </w:t>
      </w:r>
      <w:r w:rsidR="0099499D">
        <w:t>disorders</w:t>
      </w:r>
      <w:r w:rsidR="00BC5EBB">
        <w:t xml:space="preserve"> of mental nature or other”</w:t>
      </w:r>
      <w:r>
        <w:t xml:space="preserve"> to the extent that the person “cannot understand the meaning of his or her activity or cannot control his or her activity.”</w:t>
      </w:r>
      <w:r w:rsidR="00572008">
        <w:rPr>
          <w:rStyle w:val="FootnoteReference"/>
        </w:rPr>
        <w:footnoteReference w:id="437"/>
      </w:r>
      <w:r>
        <w:t xml:space="preserve"> </w:t>
      </w:r>
      <w:r w:rsidR="00D41F59" w:rsidRPr="002A28E1">
        <w:t>Where the court restricts a person’s legal capacity</w:t>
      </w:r>
      <w:r w:rsidR="00467F1D" w:rsidRPr="002A28E1">
        <w:t xml:space="preserve"> and appoints a guardian, </w:t>
      </w:r>
      <w:r w:rsidR="00FD06BE" w:rsidRPr="002A28E1">
        <w:t xml:space="preserve">the court </w:t>
      </w:r>
      <w:r w:rsidR="00C45D04" w:rsidRPr="002A28E1">
        <w:t xml:space="preserve">is required </w:t>
      </w:r>
      <w:proofErr w:type="gramStart"/>
      <w:r w:rsidR="00C45D04" w:rsidRPr="002A28E1">
        <w:t>to</w:t>
      </w:r>
      <w:r w:rsidR="00FD06BE" w:rsidRPr="002A28E1">
        <w:t xml:space="preserve"> first </w:t>
      </w:r>
      <w:r w:rsidR="00D76911" w:rsidRPr="002A28E1">
        <w:t>determine</w:t>
      </w:r>
      <w:proofErr w:type="gramEnd"/>
      <w:r w:rsidR="00D41F59" w:rsidRPr="002A28E1">
        <w:t xml:space="preserve"> </w:t>
      </w:r>
      <w:r w:rsidR="00C45D04" w:rsidRPr="002A28E1">
        <w:t xml:space="preserve">the areas in which </w:t>
      </w:r>
      <w:r w:rsidR="00722C9E" w:rsidRPr="002A28E1">
        <w:t xml:space="preserve">the guardian and the </w:t>
      </w:r>
      <w:r w:rsidR="00DD26F1" w:rsidRPr="002A28E1">
        <w:t>person concerned will act together</w:t>
      </w:r>
      <w:r w:rsidR="007A46C8" w:rsidRPr="002A28E1">
        <w:t xml:space="preserve"> (known as “co-decision-making” or “shared decision-making”)</w:t>
      </w:r>
      <w:r w:rsidR="00DD26F1" w:rsidRPr="002A28E1">
        <w:t>.</w:t>
      </w:r>
      <w:r w:rsidR="00FC489F" w:rsidRPr="002A28E1">
        <w:rPr>
          <w:rStyle w:val="FootnoteReference"/>
        </w:rPr>
        <w:footnoteReference w:id="438"/>
      </w:r>
      <w:r w:rsidR="00C361AE" w:rsidRPr="002A28E1">
        <w:t xml:space="preserve"> After the </w:t>
      </w:r>
      <w:r w:rsidR="00BC2800" w:rsidRPr="002A28E1">
        <w:t xml:space="preserve">court has established the areas </w:t>
      </w:r>
      <w:r w:rsidR="00FD7394" w:rsidRPr="002A28E1">
        <w:t>for joint action,</w:t>
      </w:r>
      <w:r w:rsidR="002D05DA" w:rsidRPr="002A28E1">
        <w:t xml:space="preserve"> they will then </w:t>
      </w:r>
      <w:r w:rsidR="00221E2C" w:rsidRPr="002A28E1">
        <w:t xml:space="preserve">determine the areas in which </w:t>
      </w:r>
      <w:r w:rsidR="00DD4CF4" w:rsidRPr="002A28E1">
        <w:t>the guardian will act independently.</w:t>
      </w:r>
      <w:r w:rsidR="00DD4CF4" w:rsidRPr="002A28E1">
        <w:rPr>
          <w:rStyle w:val="FootnoteReference"/>
        </w:rPr>
        <w:footnoteReference w:id="439"/>
      </w:r>
      <w:r w:rsidR="003743B4" w:rsidRPr="002A28E1">
        <w:t xml:space="preserve"> </w:t>
      </w:r>
      <w:r w:rsidR="00354B90" w:rsidRPr="002A28E1">
        <w:t xml:space="preserve"> </w:t>
      </w:r>
      <w:r w:rsidR="00DD4CF4" w:rsidRPr="002A28E1">
        <w:t>Where the</w:t>
      </w:r>
      <w:r w:rsidR="00C27383" w:rsidRPr="002A28E1">
        <w:t xml:space="preserve"> guardian makes decisions independently</w:t>
      </w:r>
      <w:r w:rsidR="00DD4CF4" w:rsidRPr="002A28E1">
        <w:t>, they have</w:t>
      </w:r>
      <w:r w:rsidR="005968C0" w:rsidRPr="002A28E1">
        <w:t xml:space="preserve"> no duty to consult with the</w:t>
      </w:r>
      <w:r w:rsidR="00A82306" w:rsidRPr="002A28E1">
        <w:t xml:space="preserve"> affected</w:t>
      </w:r>
      <w:r w:rsidR="005968C0" w:rsidRPr="002A28E1">
        <w:t xml:space="preserve"> person.</w:t>
      </w:r>
      <w:r w:rsidR="009E48E2" w:rsidRPr="002A28E1">
        <w:rPr>
          <w:rStyle w:val="FootnoteReference"/>
        </w:rPr>
        <w:footnoteReference w:id="440"/>
      </w:r>
    </w:p>
    <w:p w14:paraId="327AF198" w14:textId="3193249E" w:rsidR="00CC1D12" w:rsidRPr="002A28E1" w:rsidRDefault="00CC1D12" w:rsidP="004B3019"/>
    <w:p w14:paraId="74F0976A" w14:textId="01326672" w:rsidR="00CC1D12" w:rsidRPr="002A28E1" w:rsidRDefault="00CC1D12" w:rsidP="004B3019">
      <w:r w:rsidRPr="002A28E1">
        <w:t>When appointing a guardian, the Code stipulates that the appropriate Orphan’s and Custody Court is to solicit the opinion of the person concerned regardin</w:t>
      </w:r>
      <w:r w:rsidR="00AA52F8" w:rsidRPr="002A28E1">
        <w:t xml:space="preserve">g the identity of the person to </w:t>
      </w:r>
      <w:proofErr w:type="gramStart"/>
      <w:r w:rsidR="00AA52F8" w:rsidRPr="002A28E1">
        <w:t>be appointed</w:t>
      </w:r>
      <w:proofErr w:type="gramEnd"/>
      <w:r w:rsidR="00AA52F8" w:rsidRPr="002A28E1">
        <w:t xml:space="preserve"> as their guardian.</w:t>
      </w:r>
      <w:r w:rsidR="00AA52F8" w:rsidRPr="002A28E1">
        <w:rPr>
          <w:rStyle w:val="FootnoteReference"/>
        </w:rPr>
        <w:footnoteReference w:id="441"/>
      </w:r>
      <w:r w:rsidR="00323875" w:rsidRPr="002A28E1">
        <w:t xml:space="preserve"> The Orphan’s and Custody Court </w:t>
      </w:r>
      <w:r w:rsidR="00241E01" w:rsidRPr="002A28E1">
        <w:t xml:space="preserve">may </w:t>
      </w:r>
      <w:r w:rsidR="00226901" w:rsidRPr="002A28E1">
        <w:t xml:space="preserve">name as guardian someone chosen </w:t>
      </w:r>
      <w:r w:rsidR="008477DC" w:rsidRPr="002A28E1">
        <w:t xml:space="preserve">by the person concerned, the spouse of the person concerned or </w:t>
      </w:r>
      <w:r w:rsidR="002B57D1" w:rsidRPr="002A28E1">
        <w:t>one of their nearest relatives.</w:t>
      </w:r>
      <w:r w:rsidR="00C13650" w:rsidRPr="002A28E1">
        <w:rPr>
          <w:rStyle w:val="FootnoteReference"/>
        </w:rPr>
        <w:footnoteReference w:id="442"/>
      </w:r>
      <w:r w:rsidR="00441619" w:rsidRPr="002A28E1">
        <w:t xml:space="preserve"> Court judgments restricting legal capacity </w:t>
      </w:r>
      <w:proofErr w:type="gramStart"/>
      <w:r w:rsidR="000775A8" w:rsidRPr="002A28E1">
        <w:t>may be reviewed</w:t>
      </w:r>
      <w:proofErr w:type="gramEnd"/>
      <w:r w:rsidR="000775A8" w:rsidRPr="002A28E1">
        <w:t xml:space="preserve"> at any time, but must be reviewed at least once within seven years of their entry into force.</w:t>
      </w:r>
      <w:r w:rsidR="000775A8" w:rsidRPr="002A28E1">
        <w:rPr>
          <w:rStyle w:val="FootnoteReference"/>
        </w:rPr>
        <w:footnoteReference w:id="443"/>
      </w:r>
    </w:p>
    <w:p w14:paraId="551CB13E" w14:textId="48C87C60" w:rsidR="008C4735" w:rsidRPr="002A28E1" w:rsidRDefault="008C4735">
      <w:pPr>
        <w:rPr>
          <w:strike/>
        </w:rPr>
      </w:pPr>
    </w:p>
    <w:p w14:paraId="4E585B72" w14:textId="4C37EF02" w:rsidR="008C4735" w:rsidRPr="002A28E1" w:rsidRDefault="008C4735">
      <w:proofErr w:type="gramStart"/>
      <w:r w:rsidRPr="002A28E1">
        <w:t>Additionally, the amended Code introduce</w:t>
      </w:r>
      <w:r w:rsidR="00F713C7">
        <w:t>s</w:t>
      </w:r>
      <w:r w:rsidRPr="002A28E1">
        <w:t xml:space="preserve"> the option of advanced directives, whereby a person</w:t>
      </w:r>
      <w:r w:rsidR="00695C25" w:rsidRPr="002A28E1">
        <w:t xml:space="preserve"> can designate an authorised person to </w:t>
      </w:r>
      <w:r w:rsidR="00E748D1" w:rsidRPr="002A28E1">
        <w:t>“conduct his or her matters in case when the authorising person due to health disorders or other reasons or condition will not be able to understand the meaning of his or her action and will not be able to control his or her action.”</w:t>
      </w:r>
      <w:r w:rsidR="00E748D1" w:rsidRPr="002A28E1">
        <w:rPr>
          <w:rStyle w:val="FootnoteReference"/>
        </w:rPr>
        <w:footnoteReference w:id="444"/>
      </w:r>
      <w:proofErr w:type="gramEnd"/>
      <w:r w:rsidR="00EF72C4" w:rsidRPr="002A28E1">
        <w:t xml:space="preserve"> Such agreements </w:t>
      </w:r>
      <w:proofErr w:type="gramStart"/>
      <w:r w:rsidR="00EF72C4" w:rsidRPr="002A28E1">
        <w:t>must be made</w:t>
      </w:r>
      <w:proofErr w:type="gramEnd"/>
      <w:r w:rsidR="00EF72C4" w:rsidRPr="002A28E1">
        <w:t xml:space="preserve"> in the form of a notarial deed.</w:t>
      </w:r>
      <w:r w:rsidR="00EF72C4" w:rsidRPr="002A28E1">
        <w:rPr>
          <w:rStyle w:val="FootnoteReference"/>
        </w:rPr>
        <w:footnoteReference w:id="445"/>
      </w:r>
      <w:r w:rsidR="00EF72C4" w:rsidRPr="002A28E1">
        <w:t xml:space="preserve"> </w:t>
      </w:r>
    </w:p>
    <w:p w14:paraId="256F55A0" w14:textId="4A81D1CF" w:rsidR="00DB6899" w:rsidRPr="002A28E1" w:rsidRDefault="00817A1F">
      <w:pPr>
        <w:rPr>
          <w:strike/>
        </w:rPr>
      </w:pPr>
      <w:r w:rsidRPr="002A28E1">
        <w:rPr>
          <w:strike/>
        </w:rPr>
        <w:t xml:space="preserve">  </w:t>
      </w:r>
    </w:p>
    <w:p w14:paraId="76B94323" w14:textId="3CAB8238" w:rsidR="00AE2AF7" w:rsidRDefault="00921319" w:rsidP="00F724B7">
      <w:pPr>
        <w:pStyle w:val="ListParagraph"/>
        <w:ind w:left="0"/>
        <w:jc w:val="both"/>
        <w:rPr>
          <w:rFonts w:ascii="Times New Roman" w:hAnsi="Times New Roman" w:cs="Times New Roman"/>
          <w:sz w:val="24"/>
          <w:szCs w:val="24"/>
        </w:rPr>
      </w:pPr>
      <w:r w:rsidRPr="002A28E1">
        <w:rPr>
          <w:rFonts w:ascii="Times New Roman" w:hAnsi="Times New Roman" w:cs="Times New Roman"/>
          <w:sz w:val="24"/>
          <w:szCs w:val="24"/>
        </w:rPr>
        <w:t xml:space="preserve">From the point of view of </w:t>
      </w:r>
      <w:r w:rsidR="006042F7" w:rsidRPr="002A28E1">
        <w:rPr>
          <w:rFonts w:ascii="Times New Roman" w:hAnsi="Times New Roman" w:cs="Times New Roman"/>
          <w:sz w:val="24"/>
          <w:szCs w:val="24"/>
        </w:rPr>
        <w:t>A</w:t>
      </w:r>
      <w:r w:rsidRPr="002A28E1">
        <w:rPr>
          <w:rFonts w:ascii="Times New Roman" w:hAnsi="Times New Roman" w:cs="Times New Roman"/>
          <w:sz w:val="24"/>
          <w:szCs w:val="24"/>
        </w:rPr>
        <w:t xml:space="preserve">rticle 12 CRPD, Latvia’s legislation is </w:t>
      </w:r>
      <w:r w:rsidR="0044138A" w:rsidRPr="002A28E1">
        <w:rPr>
          <w:rFonts w:ascii="Times New Roman" w:hAnsi="Times New Roman" w:cs="Times New Roman"/>
          <w:sz w:val="24"/>
          <w:szCs w:val="24"/>
        </w:rPr>
        <w:t xml:space="preserve">problematic. </w:t>
      </w:r>
      <w:r w:rsidR="00C94289" w:rsidRPr="002A28E1">
        <w:rPr>
          <w:rFonts w:ascii="Times New Roman" w:hAnsi="Times New Roman" w:cs="Times New Roman"/>
          <w:sz w:val="24"/>
          <w:szCs w:val="24"/>
        </w:rPr>
        <w:t xml:space="preserve">Legal capacity </w:t>
      </w:r>
      <w:proofErr w:type="gramStart"/>
      <w:r w:rsidR="00C94289" w:rsidRPr="002A28E1">
        <w:rPr>
          <w:rFonts w:ascii="Times New Roman" w:hAnsi="Times New Roman" w:cs="Times New Roman"/>
          <w:sz w:val="24"/>
          <w:szCs w:val="24"/>
        </w:rPr>
        <w:t>is not guaranteed</w:t>
      </w:r>
      <w:proofErr w:type="gramEnd"/>
      <w:r w:rsidR="00C94289" w:rsidRPr="002A28E1">
        <w:rPr>
          <w:rFonts w:ascii="Times New Roman" w:hAnsi="Times New Roman" w:cs="Times New Roman"/>
          <w:sz w:val="24"/>
          <w:szCs w:val="24"/>
        </w:rPr>
        <w:t xml:space="preserve"> to persons with disabilities </w:t>
      </w:r>
      <w:r w:rsidR="0038645D" w:rsidRPr="002A28E1">
        <w:rPr>
          <w:rFonts w:ascii="Times New Roman" w:hAnsi="Times New Roman" w:cs="Times New Roman"/>
          <w:sz w:val="24"/>
          <w:szCs w:val="24"/>
        </w:rPr>
        <w:t xml:space="preserve">across the board, </w:t>
      </w:r>
      <w:r w:rsidR="0038645D" w:rsidRPr="005E22F2">
        <w:rPr>
          <w:rFonts w:ascii="Times New Roman" w:hAnsi="Times New Roman" w:cs="Times New Roman"/>
          <w:sz w:val="24"/>
          <w:szCs w:val="24"/>
        </w:rPr>
        <w:t>though the protection of private non-economic rights from restriction undoubtedly represents an advancement.</w:t>
      </w:r>
      <w:r w:rsidR="00871B65">
        <w:rPr>
          <w:rStyle w:val="FootnoteReference"/>
          <w:rFonts w:ascii="Times New Roman" w:hAnsi="Times New Roman" w:cs="Times New Roman"/>
          <w:sz w:val="24"/>
          <w:szCs w:val="24"/>
        </w:rPr>
        <w:footnoteReference w:id="446"/>
      </w:r>
      <w:r w:rsidR="00AE2AF7" w:rsidRPr="005E22F2">
        <w:rPr>
          <w:rFonts w:ascii="Times New Roman" w:hAnsi="Times New Roman" w:cs="Times New Roman"/>
          <w:sz w:val="24"/>
          <w:szCs w:val="24"/>
        </w:rPr>
        <w:t xml:space="preserve"> </w:t>
      </w:r>
      <w:proofErr w:type="gramStart"/>
      <w:r w:rsidR="00AE2AF7" w:rsidRPr="005E22F2">
        <w:rPr>
          <w:rFonts w:ascii="Times New Roman" w:hAnsi="Times New Roman" w:cs="Times New Roman"/>
          <w:sz w:val="24"/>
          <w:szCs w:val="24"/>
        </w:rPr>
        <w:t>Since the Latvian Civil Code authorizes a judge to limit the legal capacity of a</w:t>
      </w:r>
      <w:r w:rsidR="0038645D" w:rsidRPr="005E22F2">
        <w:rPr>
          <w:rFonts w:ascii="Times New Roman" w:hAnsi="Times New Roman" w:cs="Times New Roman"/>
          <w:sz w:val="24"/>
          <w:szCs w:val="24"/>
        </w:rPr>
        <w:t xml:space="preserve"> </w:t>
      </w:r>
      <w:r w:rsidR="00AE2AF7" w:rsidRPr="005E22F2">
        <w:rPr>
          <w:rFonts w:ascii="Times New Roman" w:hAnsi="Times New Roman" w:cs="Times New Roman"/>
          <w:sz w:val="24"/>
          <w:szCs w:val="24"/>
        </w:rPr>
        <w:t xml:space="preserve">“person with health disorders of mental nature or other” to the extent that the person “cannot understand the meaning of his or her </w:t>
      </w:r>
      <w:r w:rsidR="00AE2AF7" w:rsidRPr="005E22F2">
        <w:rPr>
          <w:rFonts w:ascii="Times New Roman" w:hAnsi="Times New Roman" w:cs="Times New Roman"/>
          <w:sz w:val="24"/>
          <w:szCs w:val="24"/>
        </w:rPr>
        <w:lastRenderedPageBreak/>
        <w:t>activity or cannot control his or her activity</w:t>
      </w:r>
      <w:r w:rsidR="00445F87" w:rsidRPr="005E22F2">
        <w:rPr>
          <w:rFonts w:ascii="Times New Roman" w:hAnsi="Times New Roman" w:cs="Times New Roman"/>
          <w:sz w:val="24"/>
          <w:szCs w:val="24"/>
        </w:rPr>
        <w:t>,</w:t>
      </w:r>
      <w:r w:rsidR="00AE2AF7" w:rsidRPr="005E22F2">
        <w:rPr>
          <w:rFonts w:ascii="Times New Roman" w:hAnsi="Times New Roman" w:cs="Times New Roman"/>
          <w:sz w:val="24"/>
          <w:szCs w:val="24"/>
        </w:rPr>
        <w:t>”</w:t>
      </w:r>
      <w:r w:rsidR="00AE2AF7" w:rsidRPr="005E22F2">
        <w:rPr>
          <w:rStyle w:val="FootnoteReference"/>
          <w:rFonts w:ascii="Times New Roman" w:hAnsi="Times New Roman" w:cs="Times New Roman"/>
          <w:sz w:val="24"/>
          <w:szCs w:val="24"/>
        </w:rPr>
        <w:footnoteReference w:id="447"/>
      </w:r>
      <w:r w:rsidR="00445F87" w:rsidRPr="005E22F2">
        <w:rPr>
          <w:rFonts w:ascii="Times New Roman" w:hAnsi="Times New Roman" w:cs="Times New Roman"/>
          <w:sz w:val="24"/>
          <w:szCs w:val="24"/>
        </w:rPr>
        <w:t xml:space="preserve"> the Latvian law would seem to restrict legal capacity on the basis of a person’s disability and their decision-making skills</w:t>
      </w:r>
      <w:r w:rsidR="00B40E62">
        <w:rPr>
          <w:rFonts w:ascii="Times New Roman" w:hAnsi="Times New Roman" w:cs="Times New Roman"/>
          <w:sz w:val="24"/>
          <w:szCs w:val="24"/>
        </w:rPr>
        <w:t>.</w:t>
      </w:r>
      <w:proofErr w:type="gramEnd"/>
      <w:r w:rsidR="0027789F">
        <w:rPr>
          <w:rFonts w:ascii="Times New Roman" w:hAnsi="Times New Roman" w:cs="Times New Roman"/>
          <w:sz w:val="24"/>
          <w:szCs w:val="24"/>
        </w:rPr>
        <w:t xml:space="preserve"> </w:t>
      </w:r>
      <w:r w:rsidR="00B40E62">
        <w:rPr>
          <w:rFonts w:ascii="Times New Roman" w:hAnsi="Times New Roman" w:cs="Times New Roman"/>
          <w:sz w:val="24"/>
          <w:szCs w:val="24"/>
        </w:rPr>
        <w:t>This</w:t>
      </w:r>
      <w:r w:rsidR="0027789F">
        <w:rPr>
          <w:rFonts w:ascii="Times New Roman" w:hAnsi="Times New Roman" w:cs="Times New Roman"/>
          <w:sz w:val="24"/>
          <w:szCs w:val="24"/>
        </w:rPr>
        <w:t xml:space="preserve"> is not in keeping with the spirit of Article 12</w:t>
      </w:r>
      <w:r w:rsidR="00445F87" w:rsidRPr="005E22F2">
        <w:rPr>
          <w:rFonts w:ascii="Times New Roman" w:hAnsi="Times New Roman" w:cs="Times New Roman"/>
          <w:sz w:val="24"/>
          <w:szCs w:val="24"/>
        </w:rPr>
        <w:t>.</w:t>
      </w:r>
      <w:r w:rsidR="009F5380" w:rsidRPr="005E22F2">
        <w:rPr>
          <w:rStyle w:val="FootnoteReference"/>
          <w:rFonts w:ascii="Times New Roman" w:hAnsi="Times New Roman" w:cs="Times New Roman"/>
          <w:sz w:val="24"/>
          <w:szCs w:val="24"/>
        </w:rPr>
        <w:footnoteReference w:id="448"/>
      </w:r>
    </w:p>
    <w:p w14:paraId="1EA104C3" w14:textId="77777777" w:rsidR="00AE2AF7" w:rsidRDefault="00AE2AF7" w:rsidP="00F724B7">
      <w:pPr>
        <w:pStyle w:val="ListParagraph"/>
        <w:ind w:left="0"/>
        <w:jc w:val="both"/>
        <w:rPr>
          <w:rFonts w:ascii="Times New Roman" w:hAnsi="Times New Roman" w:cs="Times New Roman"/>
          <w:sz w:val="24"/>
          <w:szCs w:val="24"/>
        </w:rPr>
      </w:pPr>
    </w:p>
    <w:p w14:paraId="3FE0EDEA" w14:textId="08C1578C" w:rsidR="00F724B7" w:rsidRPr="002A28E1" w:rsidRDefault="004F1F74" w:rsidP="00F724B7">
      <w:pPr>
        <w:pStyle w:val="ListParagraph"/>
        <w:ind w:left="0"/>
        <w:jc w:val="both"/>
        <w:rPr>
          <w:rFonts w:ascii="Times New Roman" w:hAnsi="Times New Roman" w:cs="Times New Roman"/>
          <w:sz w:val="24"/>
          <w:szCs w:val="24"/>
        </w:rPr>
      </w:pPr>
      <w:r>
        <w:rPr>
          <w:rFonts w:ascii="Times New Roman" w:hAnsi="Times New Roman" w:cs="Times New Roman"/>
          <w:sz w:val="24"/>
          <w:szCs w:val="24"/>
        </w:rPr>
        <w:t>As</w:t>
      </w:r>
      <w:r w:rsidR="005D041F" w:rsidRPr="002A28E1">
        <w:rPr>
          <w:rFonts w:ascii="Times New Roman" w:hAnsi="Times New Roman" w:cs="Times New Roman"/>
          <w:sz w:val="24"/>
          <w:szCs w:val="24"/>
        </w:rPr>
        <w:t xml:space="preserve"> </w:t>
      </w:r>
      <w:r w:rsidR="00432999" w:rsidRPr="002A28E1">
        <w:rPr>
          <w:rFonts w:ascii="Times New Roman" w:hAnsi="Times New Roman" w:cs="Times New Roman"/>
          <w:sz w:val="24"/>
          <w:szCs w:val="24"/>
        </w:rPr>
        <w:t xml:space="preserve">expressed by RC ZELDA in their report to the UN Committee on the Rights of Persons </w:t>
      </w:r>
      <w:r w:rsidR="00DB6899" w:rsidRPr="002A28E1">
        <w:rPr>
          <w:rFonts w:ascii="Times New Roman" w:hAnsi="Times New Roman" w:cs="Times New Roman"/>
          <w:sz w:val="24"/>
          <w:szCs w:val="24"/>
        </w:rPr>
        <w:t>w</w:t>
      </w:r>
      <w:r w:rsidR="00432999" w:rsidRPr="002A28E1">
        <w:rPr>
          <w:rFonts w:ascii="Times New Roman" w:hAnsi="Times New Roman" w:cs="Times New Roman"/>
          <w:sz w:val="24"/>
          <w:szCs w:val="24"/>
        </w:rPr>
        <w:t>ith Disabilities, “the new regulation is still not fully compliant with Article 12 of the UN CRPD, as full-fledged</w:t>
      </w:r>
      <w:r w:rsidR="00432999" w:rsidRPr="002A28E1">
        <w:rPr>
          <w:rFonts w:ascii="Times New Roman" w:hAnsi="Times New Roman" w:cs="Times New Roman"/>
          <w:color w:val="FF0000"/>
          <w:sz w:val="24"/>
          <w:szCs w:val="24"/>
        </w:rPr>
        <w:t xml:space="preserve"> </w:t>
      </w:r>
      <w:r w:rsidR="00432999" w:rsidRPr="002A28E1">
        <w:rPr>
          <w:rFonts w:ascii="Times New Roman" w:hAnsi="Times New Roman" w:cs="Times New Roman"/>
          <w:sz w:val="24"/>
          <w:szCs w:val="24"/>
        </w:rPr>
        <w:t>alternatives to the restriction of legal capacity were not included in the law.</w:t>
      </w:r>
      <w:r w:rsidR="00F33CC5" w:rsidRPr="002A28E1">
        <w:rPr>
          <w:rFonts w:ascii="Times New Roman" w:hAnsi="Times New Roman" w:cs="Times New Roman"/>
          <w:sz w:val="24"/>
          <w:szCs w:val="24"/>
        </w:rPr>
        <w:t>”</w:t>
      </w:r>
      <w:r w:rsidR="0010362D">
        <w:rPr>
          <w:rStyle w:val="FootnoteReference"/>
          <w:rFonts w:ascii="Times New Roman" w:hAnsi="Times New Roman" w:cs="Times New Roman"/>
          <w:sz w:val="24"/>
          <w:szCs w:val="24"/>
        </w:rPr>
        <w:footnoteReference w:id="449"/>
      </w:r>
      <w:r w:rsidR="0036482A" w:rsidRPr="002A28E1">
        <w:rPr>
          <w:rFonts w:ascii="Times New Roman" w:hAnsi="Times New Roman" w:cs="Times New Roman"/>
          <w:sz w:val="24"/>
          <w:szCs w:val="24"/>
        </w:rPr>
        <w:t xml:space="preserve"> </w:t>
      </w:r>
      <w:r w:rsidR="00F724B7" w:rsidRPr="002A28E1">
        <w:rPr>
          <w:rFonts w:ascii="Times New Roman" w:hAnsi="Times New Roman" w:cs="Times New Roman"/>
          <w:sz w:val="24"/>
          <w:szCs w:val="24"/>
        </w:rPr>
        <w:t>In their “Concluding observations on the initial report of Latvia” published in 2017, the Committee on the Rights of Persons with Disabilities suggested that Latvia “</w:t>
      </w:r>
      <w:r w:rsidR="00F724B7" w:rsidRPr="002A28E1">
        <w:rPr>
          <w:rFonts w:ascii="Times New Roman" w:hAnsi="Times New Roman" w:cs="Times New Roman"/>
          <w:bCs/>
          <w:sz w:val="24"/>
          <w:szCs w:val="24"/>
        </w:rPr>
        <w:t>restore the full legal capacity of all persons with disabilities through a supported decision-making regime that respects the autonomy, will and preferences of the person.”</w:t>
      </w:r>
      <w:bookmarkStart w:id="54" w:name="_Ref15300501"/>
      <w:r w:rsidR="00F724B7" w:rsidRPr="002A28E1">
        <w:rPr>
          <w:rStyle w:val="FootnoteReference"/>
          <w:rFonts w:ascii="Times New Roman" w:hAnsi="Times New Roman" w:cs="Times New Roman"/>
          <w:bCs/>
          <w:sz w:val="24"/>
          <w:szCs w:val="24"/>
        </w:rPr>
        <w:footnoteReference w:id="450"/>
      </w:r>
      <w:bookmarkEnd w:id="54"/>
      <w:r w:rsidR="00F724B7" w:rsidRPr="002A28E1">
        <w:rPr>
          <w:rFonts w:ascii="Times New Roman" w:hAnsi="Times New Roman" w:cs="Times New Roman"/>
          <w:sz w:val="24"/>
          <w:szCs w:val="24"/>
        </w:rPr>
        <w:t xml:space="preserve"> </w:t>
      </w:r>
    </w:p>
    <w:p w14:paraId="3313F34A" w14:textId="77777777" w:rsidR="00F724B7" w:rsidRPr="002A28E1" w:rsidRDefault="00F724B7" w:rsidP="00F724B7">
      <w:pPr>
        <w:pStyle w:val="ListParagraph"/>
        <w:ind w:left="0"/>
        <w:jc w:val="both"/>
        <w:rPr>
          <w:rFonts w:ascii="Times New Roman" w:hAnsi="Times New Roman" w:cs="Times New Roman"/>
          <w:sz w:val="24"/>
          <w:szCs w:val="24"/>
        </w:rPr>
      </w:pPr>
    </w:p>
    <w:p w14:paraId="7824276C" w14:textId="26D75A63" w:rsidR="002A0261" w:rsidRPr="001811ED" w:rsidRDefault="0051488F" w:rsidP="00432999">
      <w:pPr>
        <w:pStyle w:val="ListParagraph"/>
        <w:ind w:left="0"/>
        <w:jc w:val="both"/>
        <w:rPr>
          <w:rFonts w:ascii="Times New Roman" w:hAnsi="Times New Roman" w:cs="Times New Roman"/>
          <w:sz w:val="24"/>
          <w:szCs w:val="24"/>
        </w:rPr>
      </w:pPr>
      <w:r w:rsidRPr="001811ED">
        <w:rPr>
          <w:rFonts w:ascii="Times New Roman" w:hAnsi="Times New Roman" w:cs="Times New Roman"/>
          <w:sz w:val="24"/>
          <w:szCs w:val="24"/>
        </w:rPr>
        <w:t>The co-</w:t>
      </w:r>
      <w:r w:rsidR="000A241C" w:rsidRPr="001811ED">
        <w:rPr>
          <w:rFonts w:ascii="Times New Roman" w:hAnsi="Times New Roman" w:cs="Times New Roman"/>
          <w:sz w:val="24"/>
          <w:szCs w:val="24"/>
        </w:rPr>
        <w:t>decision-making</w:t>
      </w:r>
      <w:r w:rsidRPr="001811ED">
        <w:rPr>
          <w:rFonts w:ascii="Times New Roman" w:hAnsi="Times New Roman" w:cs="Times New Roman"/>
          <w:sz w:val="24"/>
          <w:szCs w:val="24"/>
        </w:rPr>
        <w:t xml:space="preserve"> framework proposed </w:t>
      </w:r>
      <w:r w:rsidR="00EF2944" w:rsidRPr="001811ED">
        <w:rPr>
          <w:rFonts w:ascii="Times New Roman" w:hAnsi="Times New Roman" w:cs="Times New Roman"/>
          <w:sz w:val="24"/>
          <w:szCs w:val="24"/>
        </w:rPr>
        <w:t>may</w:t>
      </w:r>
      <w:r w:rsidR="0056753D" w:rsidRPr="001811ED">
        <w:rPr>
          <w:rFonts w:ascii="Times New Roman" w:hAnsi="Times New Roman" w:cs="Times New Roman"/>
          <w:sz w:val="24"/>
          <w:szCs w:val="24"/>
        </w:rPr>
        <w:t xml:space="preserve"> </w:t>
      </w:r>
      <w:r w:rsidR="00F724B7" w:rsidRPr="001811ED">
        <w:rPr>
          <w:rFonts w:ascii="Times New Roman" w:hAnsi="Times New Roman" w:cs="Times New Roman"/>
          <w:sz w:val="24"/>
          <w:szCs w:val="24"/>
        </w:rPr>
        <w:t>we</w:t>
      </w:r>
      <w:r w:rsidR="00274D7F" w:rsidRPr="001811ED">
        <w:rPr>
          <w:rFonts w:ascii="Times New Roman" w:hAnsi="Times New Roman" w:cs="Times New Roman"/>
          <w:sz w:val="24"/>
          <w:szCs w:val="24"/>
        </w:rPr>
        <w:t>ll</w:t>
      </w:r>
      <w:r w:rsidR="00EF2944" w:rsidRPr="001811ED">
        <w:rPr>
          <w:rFonts w:ascii="Times New Roman" w:hAnsi="Times New Roman" w:cs="Times New Roman"/>
          <w:sz w:val="24"/>
          <w:szCs w:val="24"/>
        </w:rPr>
        <w:t xml:space="preserve"> </w:t>
      </w:r>
      <w:r w:rsidRPr="001811ED">
        <w:rPr>
          <w:rFonts w:ascii="Times New Roman" w:hAnsi="Times New Roman" w:cs="Times New Roman"/>
          <w:sz w:val="24"/>
          <w:szCs w:val="24"/>
        </w:rPr>
        <w:t>fall short of constituting genuine supported decision-making in line with Article 12</w:t>
      </w:r>
      <w:r w:rsidR="00986CBF" w:rsidRPr="001811ED">
        <w:rPr>
          <w:rFonts w:ascii="Times New Roman" w:hAnsi="Times New Roman" w:cs="Times New Roman"/>
          <w:sz w:val="24"/>
          <w:szCs w:val="24"/>
        </w:rPr>
        <w:t xml:space="preserve">. </w:t>
      </w:r>
      <w:r w:rsidR="009B023B">
        <w:rPr>
          <w:rFonts w:ascii="Times New Roman" w:hAnsi="Times New Roman" w:cs="Times New Roman"/>
          <w:sz w:val="24"/>
          <w:szCs w:val="24"/>
        </w:rPr>
        <w:t xml:space="preserve">Firstly, it seems as though guardians are entitled to act in the “best interests” </w:t>
      </w:r>
      <w:r w:rsidR="00BE3B42">
        <w:rPr>
          <w:rFonts w:ascii="Times New Roman" w:hAnsi="Times New Roman" w:cs="Times New Roman"/>
          <w:sz w:val="24"/>
          <w:szCs w:val="24"/>
        </w:rPr>
        <w:t xml:space="preserve">of the </w:t>
      </w:r>
      <w:r w:rsidR="00F70126">
        <w:rPr>
          <w:rFonts w:ascii="Times New Roman" w:hAnsi="Times New Roman" w:cs="Times New Roman"/>
          <w:sz w:val="24"/>
          <w:szCs w:val="24"/>
        </w:rPr>
        <w:t>person under guardianship</w:t>
      </w:r>
      <w:r w:rsidR="006045DB">
        <w:rPr>
          <w:rFonts w:ascii="Times New Roman" w:hAnsi="Times New Roman" w:cs="Times New Roman"/>
          <w:sz w:val="24"/>
          <w:szCs w:val="24"/>
        </w:rPr>
        <w:t xml:space="preserve"> in some situations</w:t>
      </w:r>
      <w:r w:rsidR="00F70126">
        <w:rPr>
          <w:rFonts w:ascii="Times New Roman" w:hAnsi="Times New Roman" w:cs="Times New Roman"/>
          <w:sz w:val="24"/>
          <w:szCs w:val="24"/>
        </w:rPr>
        <w:t>.</w:t>
      </w:r>
      <w:r w:rsidR="00D83EAD">
        <w:rPr>
          <w:rFonts w:ascii="Times New Roman" w:hAnsi="Times New Roman" w:cs="Times New Roman"/>
          <w:sz w:val="24"/>
          <w:szCs w:val="24"/>
        </w:rPr>
        <w:t xml:space="preserve"> Latvian law </w:t>
      </w:r>
      <w:r w:rsidR="006045DB">
        <w:rPr>
          <w:rFonts w:ascii="Times New Roman" w:hAnsi="Times New Roman" w:cs="Times New Roman"/>
          <w:sz w:val="24"/>
          <w:szCs w:val="24"/>
        </w:rPr>
        <w:t xml:space="preserve">stipulates that </w:t>
      </w:r>
      <w:r w:rsidR="007A4A40">
        <w:rPr>
          <w:rFonts w:ascii="Times New Roman" w:hAnsi="Times New Roman" w:cs="Times New Roman"/>
          <w:sz w:val="24"/>
          <w:szCs w:val="24"/>
        </w:rPr>
        <w:t xml:space="preserve">the opinion of </w:t>
      </w:r>
      <w:r w:rsidR="00D4369D">
        <w:rPr>
          <w:rFonts w:ascii="Times New Roman" w:hAnsi="Times New Roman" w:cs="Times New Roman"/>
          <w:sz w:val="24"/>
          <w:szCs w:val="24"/>
        </w:rPr>
        <w:t xml:space="preserve">the </w:t>
      </w:r>
      <w:r w:rsidR="00656F18">
        <w:rPr>
          <w:rFonts w:ascii="Times New Roman" w:hAnsi="Times New Roman" w:cs="Times New Roman"/>
          <w:sz w:val="24"/>
          <w:szCs w:val="24"/>
        </w:rPr>
        <w:t xml:space="preserve">person under guardianship </w:t>
      </w:r>
      <w:proofErr w:type="gramStart"/>
      <w:r w:rsidR="00656F18">
        <w:rPr>
          <w:rFonts w:ascii="Times New Roman" w:hAnsi="Times New Roman" w:cs="Times New Roman"/>
          <w:sz w:val="24"/>
          <w:szCs w:val="24"/>
        </w:rPr>
        <w:t>is</w:t>
      </w:r>
      <w:proofErr w:type="gramEnd"/>
      <w:r w:rsidR="00656F18">
        <w:rPr>
          <w:rFonts w:ascii="Times New Roman" w:hAnsi="Times New Roman" w:cs="Times New Roman"/>
          <w:sz w:val="24"/>
          <w:szCs w:val="24"/>
        </w:rPr>
        <w:t xml:space="preserve"> to be </w:t>
      </w:r>
      <w:r w:rsidR="00E42371">
        <w:rPr>
          <w:rFonts w:ascii="Times New Roman" w:hAnsi="Times New Roman" w:cs="Times New Roman"/>
          <w:sz w:val="24"/>
          <w:szCs w:val="24"/>
        </w:rPr>
        <w:t xml:space="preserve">merely </w:t>
      </w:r>
      <w:r w:rsidR="00257057">
        <w:rPr>
          <w:rFonts w:ascii="Times New Roman" w:hAnsi="Times New Roman" w:cs="Times New Roman"/>
          <w:sz w:val="24"/>
          <w:szCs w:val="24"/>
        </w:rPr>
        <w:t>“</w:t>
      </w:r>
      <w:r w:rsidR="00656F18">
        <w:rPr>
          <w:rFonts w:ascii="Times New Roman" w:hAnsi="Times New Roman" w:cs="Times New Roman"/>
          <w:sz w:val="24"/>
          <w:szCs w:val="24"/>
        </w:rPr>
        <w:t>taken into account</w:t>
      </w:r>
      <w:r w:rsidR="00710834">
        <w:rPr>
          <w:rFonts w:ascii="Times New Roman" w:hAnsi="Times New Roman" w:cs="Times New Roman"/>
          <w:sz w:val="24"/>
          <w:szCs w:val="24"/>
        </w:rPr>
        <w:t>,</w:t>
      </w:r>
      <w:r w:rsidR="00E42371">
        <w:rPr>
          <w:rFonts w:ascii="Times New Roman" w:hAnsi="Times New Roman" w:cs="Times New Roman"/>
          <w:sz w:val="24"/>
          <w:szCs w:val="24"/>
        </w:rPr>
        <w:t>” and only “</w:t>
      </w:r>
      <w:r w:rsidR="00656F18">
        <w:rPr>
          <w:rFonts w:ascii="Times New Roman" w:hAnsi="Times New Roman" w:cs="Times New Roman"/>
          <w:sz w:val="24"/>
          <w:szCs w:val="24"/>
        </w:rPr>
        <w:t xml:space="preserve">provided </w:t>
      </w:r>
      <w:r w:rsidR="00004BD8">
        <w:rPr>
          <w:rFonts w:ascii="Times New Roman" w:hAnsi="Times New Roman" w:cs="Times New Roman"/>
          <w:sz w:val="24"/>
          <w:szCs w:val="24"/>
        </w:rPr>
        <w:t>that it does not endanger welfare, health, life or other interests of the person hi</w:t>
      </w:r>
      <w:r w:rsidR="00710834">
        <w:rPr>
          <w:rFonts w:ascii="Times New Roman" w:hAnsi="Times New Roman" w:cs="Times New Roman"/>
          <w:sz w:val="24"/>
          <w:szCs w:val="24"/>
        </w:rPr>
        <w:t>mself or herself.”</w:t>
      </w:r>
      <w:r w:rsidR="00186D7B" w:rsidRPr="001811ED">
        <w:rPr>
          <w:rStyle w:val="FootnoteReference"/>
          <w:rFonts w:ascii="Times New Roman" w:hAnsi="Times New Roman" w:cs="Times New Roman"/>
          <w:sz w:val="24"/>
          <w:szCs w:val="24"/>
        </w:rPr>
        <w:footnoteReference w:id="451"/>
      </w:r>
      <w:r w:rsidR="00590D33" w:rsidRPr="001811ED">
        <w:rPr>
          <w:rFonts w:ascii="Times New Roman" w:hAnsi="Times New Roman" w:cs="Times New Roman"/>
          <w:sz w:val="24"/>
          <w:szCs w:val="24"/>
        </w:rPr>
        <w:t xml:space="preserve"> </w:t>
      </w:r>
      <w:proofErr w:type="gramStart"/>
      <w:r w:rsidR="000F292C">
        <w:rPr>
          <w:rFonts w:ascii="Times New Roman" w:hAnsi="Times New Roman" w:cs="Times New Roman"/>
          <w:sz w:val="24"/>
          <w:szCs w:val="24"/>
        </w:rPr>
        <w:t xml:space="preserve">Moreover, </w:t>
      </w:r>
      <w:r w:rsidR="005A3331" w:rsidRPr="001811ED">
        <w:rPr>
          <w:rFonts w:ascii="Times New Roman" w:hAnsi="Times New Roman" w:cs="Times New Roman"/>
          <w:sz w:val="24"/>
          <w:szCs w:val="24"/>
        </w:rPr>
        <w:t xml:space="preserve">given the “joint” nature of the decision-making, </w:t>
      </w:r>
      <w:r w:rsidRPr="001811ED">
        <w:rPr>
          <w:rFonts w:ascii="Times New Roman" w:hAnsi="Times New Roman" w:cs="Times New Roman"/>
          <w:sz w:val="24"/>
          <w:szCs w:val="24"/>
        </w:rPr>
        <w:t>the guardian</w:t>
      </w:r>
      <w:r w:rsidR="00252132" w:rsidRPr="001811ED">
        <w:rPr>
          <w:rFonts w:ascii="Times New Roman" w:hAnsi="Times New Roman" w:cs="Times New Roman"/>
          <w:sz w:val="24"/>
          <w:szCs w:val="24"/>
        </w:rPr>
        <w:t xml:space="preserve"> effectively possesses a veto </w:t>
      </w:r>
      <w:r w:rsidR="00226D9F" w:rsidRPr="001811ED">
        <w:rPr>
          <w:rFonts w:ascii="Times New Roman" w:hAnsi="Times New Roman" w:cs="Times New Roman"/>
          <w:sz w:val="24"/>
          <w:szCs w:val="24"/>
        </w:rPr>
        <w:t>and</w:t>
      </w:r>
      <w:r w:rsidR="00361441" w:rsidRPr="001811ED">
        <w:rPr>
          <w:rFonts w:ascii="Times New Roman" w:hAnsi="Times New Roman" w:cs="Times New Roman"/>
          <w:sz w:val="24"/>
          <w:szCs w:val="24"/>
        </w:rPr>
        <w:t xml:space="preserve"> so</w:t>
      </w:r>
      <w:r w:rsidR="00226D9F" w:rsidRPr="001811ED">
        <w:rPr>
          <w:rFonts w:ascii="Times New Roman" w:hAnsi="Times New Roman" w:cs="Times New Roman"/>
          <w:sz w:val="24"/>
          <w:szCs w:val="24"/>
        </w:rPr>
        <w:t xml:space="preserve"> could potentially block decisions</w:t>
      </w:r>
      <w:r w:rsidR="005362C8" w:rsidRPr="001811ED">
        <w:rPr>
          <w:rFonts w:ascii="Times New Roman" w:hAnsi="Times New Roman" w:cs="Times New Roman"/>
          <w:sz w:val="24"/>
          <w:szCs w:val="24"/>
        </w:rPr>
        <w:t xml:space="preserve"> aligned with the will of the person</w:t>
      </w:r>
      <w:r w:rsidRPr="001811ED">
        <w:rPr>
          <w:rFonts w:ascii="Times New Roman" w:hAnsi="Times New Roman" w:cs="Times New Roman"/>
          <w:sz w:val="24"/>
          <w:szCs w:val="24"/>
        </w:rPr>
        <w:t>.</w:t>
      </w:r>
      <w:proofErr w:type="gramEnd"/>
      <w:r w:rsidR="00D412E6" w:rsidRPr="001811ED">
        <w:rPr>
          <w:rStyle w:val="FootnoteReference"/>
          <w:rFonts w:ascii="Times New Roman" w:hAnsi="Times New Roman" w:cs="Times New Roman"/>
          <w:sz w:val="24"/>
          <w:szCs w:val="24"/>
        </w:rPr>
        <w:footnoteReference w:id="452"/>
      </w:r>
      <w:r w:rsidR="006F1AD0" w:rsidRPr="001811ED">
        <w:rPr>
          <w:rFonts w:ascii="Times New Roman" w:hAnsi="Times New Roman" w:cs="Times New Roman"/>
          <w:sz w:val="24"/>
          <w:szCs w:val="24"/>
        </w:rPr>
        <w:t xml:space="preserve"> </w:t>
      </w:r>
      <w:r w:rsidR="003746B4">
        <w:rPr>
          <w:rFonts w:ascii="Times New Roman" w:hAnsi="Times New Roman" w:cs="Times New Roman"/>
          <w:sz w:val="24"/>
          <w:szCs w:val="24"/>
        </w:rPr>
        <w:t>T</w:t>
      </w:r>
      <w:r w:rsidR="005362C8" w:rsidRPr="001811ED">
        <w:rPr>
          <w:rFonts w:ascii="Times New Roman" w:hAnsi="Times New Roman" w:cs="Times New Roman"/>
          <w:sz w:val="24"/>
          <w:szCs w:val="24"/>
        </w:rPr>
        <w:t xml:space="preserve">he </w:t>
      </w:r>
      <w:r w:rsidR="00497FC8" w:rsidRPr="001811ED">
        <w:rPr>
          <w:rFonts w:ascii="Times New Roman" w:hAnsi="Times New Roman" w:cs="Times New Roman"/>
          <w:sz w:val="24"/>
          <w:szCs w:val="24"/>
        </w:rPr>
        <w:t xml:space="preserve">process of co-decision-making </w:t>
      </w:r>
      <w:proofErr w:type="gramStart"/>
      <w:r w:rsidR="00497FC8" w:rsidRPr="001811ED">
        <w:rPr>
          <w:rFonts w:ascii="Times New Roman" w:hAnsi="Times New Roman" w:cs="Times New Roman"/>
          <w:sz w:val="24"/>
          <w:szCs w:val="24"/>
        </w:rPr>
        <w:t>is described</w:t>
      </w:r>
      <w:proofErr w:type="gramEnd"/>
      <w:r w:rsidR="00497FC8" w:rsidRPr="001811ED">
        <w:rPr>
          <w:rFonts w:ascii="Times New Roman" w:hAnsi="Times New Roman" w:cs="Times New Roman"/>
          <w:sz w:val="24"/>
          <w:szCs w:val="24"/>
        </w:rPr>
        <w:t xml:space="preserve"> in extremely sparse detail in the Code</w:t>
      </w:r>
      <w:r w:rsidR="00092246" w:rsidRPr="001811ED">
        <w:rPr>
          <w:rFonts w:ascii="Times New Roman" w:hAnsi="Times New Roman" w:cs="Times New Roman"/>
          <w:sz w:val="24"/>
          <w:szCs w:val="24"/>
        </w:rPr>
        <w:t xml:space="preserve">, further increasing the risk that this form of decision-making could be co-opted by the guardian. The Code also does not indicate how </w:t>
      </w:r>
      <w:r w:rsidR="00B311C9" w:rsidRPr="001811ED">
        <w:rPr>
          <w:rFonts w:ascii="Times New Roman" w:hAnsi="Times New Roman" w:cs="Times New Roman"/>
          <w:sz w:val="24"/>
          <w:szCs w:val="24"/>
        </w:rPr>
        <w:t xml:space="preserve">the court is to determine whether </w:t>
      </w:r>
      <w:r w:rsidR="00BA4F7B" w:rsidRPr="001811ED">
        <w:rPr>
          <w:rFonts w:ascii="Times New Roman" w:hAnsi="Times New Roman" w:cs="Times New Roman"/>
          <w:sz w:val="24"/>
          <w:szCs w:val="24"/>
        </w:rPr>
        <w:t>co-decision-making is possible in a given scenario.</w:t>
      </w:r>
      <w:r w:rsidR="00E1073B" w:rsidRPr="001811ED">
        <w:rPr>
          <w:rStyle w:val="FootnoteReference"/>
          <w:rFonts w:ascii="Times New Roman" w:hAnsi="Times New Roman" w:cs="Times New Roman"/>
          <w:sz w:val="24"/>
          <w:szCs w:val="24"/>
        </w:rPr>
        <w:footnoteReference w:id="453"/>
      </w:r>
      <w:r w:rsidR="00BA4F7B" w:rsidRPr="001811ED">
        <w:rPr>
          <w:rFonts w:ascii="Times New Roman" w:hAnsi="Times New Roman" w:cs="Times New Roman"/>
          <w:sz w:val="24"/>
          <w:szCs w:val="24"/>
        </w:rPr>
        <w:t xml:space="preserve"> </w:t>
      </w:r>
      <w:r w:rsidR="00543196" w:rsidRPr="001811ED">
        <w:rPr>
          <w:rFonts w:ascii="Times New Roman" w:hAnsi="Times New Roman" w:cs="Times New Roman"/>
          <w:sz w:val="24"/>
          <w:szCs w:val="24"/>
        </w:rPr>
        <w:t xml:space="preserve">Without </w:t>
      </w:r>
      <w:r w:rsidR="00C56F71" w:rsidRPr="001811ED">
        <w:rPr>
          <w:rFonts w:ascii="Times New Roman" w:hAnsi="Times New Roman" w:cs="Times New Roman"/>
          <w:sz w:val="24"/>
          <w:szCs w:val="24"/>
        </w:rPr>
        <w:t>criteria</w:t>
      </w:r>
      <w:r w:rsidR="00543196" w:rsidRPr="001811ED">
        <w:rPr>
          <w:rFonts w:ascii="Times New Roman" w:hAnsi="Times New Roman" w:cs="Times New Roman"/>
          <w:sz w:val="24"/>
          <w:szCs w:val="24"/>
        </w:rPr>
        <w:t xml:space="preserve"> for </w:t>
      </w:r>
      <w:r w:rsidR="00866545" w:rsidRPr="001811ED">
        <w:rPr>
          <w:rFonts w:ascii="Times New Roman" w:hAnsi="Times New Roman" w:cs="Times New Roman"/>
          <w:sz w:val="24"/>
          <w:szCs w:val="24"/>
        </w:rPr>
        <w:t xml:space="preserve">its </w:t>
      </w:r>
      <w:r w:rsidR="00BB5FC8" w:rsidRPr="001811ED">
        <w:rPr>
          <w:rFonts w:ascii="Times New Roman" w:hAnsi="Times New Roman" w:cs="Times New Roman"/>
          <w:sz w:val="24"/>
          <w:szCs w:val="24"/>
        </w:rPr>
        <w:t>application</w:t>
      </w:r>
      <w:r w:rsidR="002A0261" w:rsidRPr="001811ED">
        <w:rPr>
          <w:rFonts w:ascii="Times New Roman" w:hAnsi="Times New Roman" w:cs="Times New Roman"/>
          <w:sz w:val="24"/>
          <w:szCs w:val="24"/>
        </w:rPr>
        <w:t xml:space="preserve">, it is possible that co-decision-making </w:t>
      </w:r>
      <w:proofErr w:type="gramStart"/>
      <w:r w:rsidR="002A0261" w:rsidRPr="001811ED">
        <w:rPr>
          <w:rFonts w:ascii="Times New Roman" w:hAnsi="Times New Roman" w:cs="Times New Roman"/>
          <w:sz w:val="24"/>
          <w:szCs w:val="24"/>
        </w:rPr>
        <w:t>may not be resorted</w:t>
      </w:r>
      <w:proofErr w:type="gramEnd"/>
      <w:r w:rsidR="002A0261" w:rsidRPr="001811ED">
        <w:rPr>
          <w:rFonts w:ascii="Times New Roman" w:hAnsi="Times New Roman" w:cs="Times New Roman"/>
          <w:sz w:val="24"/>
          <w:szCs w:val="24"/>
        </w:rPr>
        <w:t xml:space="preserve"> to by the court, and that independent decision-making by the guardian will</w:t>
      </w:r>
      <w:r w:rsidR="003B37C2" w:rsidRPr="001811ED">
        <w:rPr>
          <w:rFonts w:ascii="Times New Roman" w:hAnsi="Times New Roman" w:cs="Times New Roman"/>
          <w:sz w:val="24"/>
          <w:szCs w:val="24"/>
        </w:rPr>
        <w:t xml:space="preserve"> merely</w:t>
      </w:r>
      <w:r w:rsidR="002A0261" w:rsidRPr="001811ED">
        <w:rPr>
          <w:rFonts w:ascii="Times New Roman" w:hAnsi="Times New Roman" w:cs="Times New Roman"/>
          <w:sz w:val="24"/>
          <w:szCs w:val="24"/>
        </w:rPr>
        <w:t xml:space="preserve"> be imposed.</w:t>
      </w:r>
      <w:r w:rsidR="00EE7978" w:rsidRPr="001811ED">
        <w:rPr>
          <w:rFonts w:ascii="Times New Roman" w:hAnsi="Times New Roman" w:cs="Times New Roman"/>
          <w:sz w:val="24"/>
          <w:szCs w:val="24"/>
        </w:rPr>
        <w:t xml:space="preserve"> </w:t>
      </w:r>
      <w:r w:rsidR="00CE3F37" w:rsidRPr="001811ED">
        <w:rPr>
          <w:rFonts w:ascii="Times New Roman" w:hAnsi="Times New Roman" w:cs="Times New Roman"/>
          <w:sz w:val="24"/>
          <w:szCs w:val="24"/>
        </w:rPr>
        <w:t xml:space="preserve">In addition, </w:t>
      </w:r>
      <w:r w:rsidR="00015389" w:rsidRPr="001811ED">
        <w:rPr>
          <w:rFonts w:ascii="Times New Roman" w:hAnsi="Times New Roman" w:cs="Times New Roman"/>
          <w:sz w:val="24"/>
          <w:szCs w:val="24"/>
        </w:rPr>
        <w:t>safeguards</w:t>
      </w:r>
      <w:r w:rsidR="005643AC" w:rsidRPr="001811ED">
        <w:rPr>
          <w:rFonts w:ascii="Times New Roman" w:hAnsi="Times New Roman" w:cs="Times New Roman"/>
          <w:sz w:val="24"/>
          <w:szCs w:val="24"/>
        </w:rPr>
        <w:t xml:space="preserve"> against abuse by co-decision-makers</w:t>
      </w:r>
      <w:r w:rsidR="00095BE4" w:rsidRPr="001811ED">
        <w:rPr>
          <w:rFonts w:ascii="Times New Roman" w:hAnsi="Times New Roman" w:cs="Times New Roman"/>
          <w:sz w:val="24"/>
          <w:szCs w:val="24"/>
        </w:rPr>
        <w:t xml:space="preserve"> seem scant. The legislation does admittedly provide for review of court orders restricting legal capacity “at any time,” and at least within seven years.</w:t>
      </w:r>
      <w:r w:rsidR="00095BE4" w:rsidRPr="001811ED">
        <w:rPr>
          <w:rStyle w:val="FootnoteReference"/>
          <w:rFonts w:ascii="Times New Roman" w:hAnsi="Times New Roman" w:cs="Times New Roman"/>
          <w:sz w:val="24"/>
          <w:szCs w:val="24"/>
        </w:rPr>
        <w:footnoteReference w:id="454"/>
      </w:r>
      <w:r w:rsidR="00095BE4" w:rsidRPr="001811ED">
        <w:rPr>
          <w:rFonts w:ascii="Times New Roman" w:hAnsi="Times New Roman" w:cs="Times New Roman"/>
          <w:sz w:val="24"/>
          <w:szCs w:val="24"/>
        </w:rPr>
        <w:t xml:space="preserve"> Neverth</w:t>
      </w:r>
      <w:r w:rsidR="009A3A89" w:rsidRPr="001811ED">
        <w:rPr>
          <w:rFonts w:ascii="Times New Roman" w:hAnsi="Times New Roman" w:cs="Times New Roman"/>
          <w:sz w:val="24"/>
          <w:szCs w:val="24"/>
        </w:rPr>
        <w:t>e</w:t>
      </w:r>
      <w:r w:rsidR="00095BE4" w:rsidRPr="001811ED">
        <w:rPr>
          <w:rFonts w:ascii="Times New Roman" w:hAnsi="Times New Roman" w:cs="Times New Roman"/>
          <w:sz w:val="24"/>
          <w:szCs w:val="24"/>
        </w:rPr>
        <w:t xml:space="preserve">less, the legislation does not appear to contain </w:t>
      </w:r>
      <w:r w:rsidR="005643AC" w:rsidRPr="001811ED">
        <w:rPr>
          <w:rFonts w:ascii="Times New Roman" w:hAnsi="Times New Roman" w:cs="Times New Roman"/>
          <w:sz w:val="24"/>
          <w:szCs w:val="24"/>
        </w:rPr>
        <w:t>accountability mechanisms</w:t>
      </w:r>
      <w:r w:rsidR="00C97D04" w:rsidRPr="001811ED">
        <w:rPr>
          <w:rFonts w:ascii="Times New Roman" w:hAnsi="Times New Roman" w:cs="Times New Roman"/>
          <w:sz w:val="24"/>
          <w:szCs w:val="24"/>
        </w:rPr>
        <w:t xml:space="preserve"> for monitoring the co-decision-makers themselves</w:t>
      </w:r>
      <w:r w:rsidR="005643AC" w:rsidRPr="001811ED">
        <w:rPr>
          <w:rFonts w:ascii="Times New Roman" w:hAnsi="Times New Roman" w:cs="Times New Roman"/>
          <w:sz w:val="24"/>
          <w:szCs w:val="24"/>
        </w:rPr>
        <w:t xml:space="preserve"> or mechanisms to challenge their action if there is a suspicion that it is not aligned with the will and preferences of the affected person.</w:t>
      </w:r>
      <w:r w:rsidR="00A65DB8" w:rsidRPr="001811ED">
        <w:rPr>
          <w:rFonts w:ascii="Times New Roman" w:hAnsi="Times New Roman" w:cs="Times New Roman"/>
          <w:sz w:val="24"/>
          <w:szCs w:val="24"/>
        </w:rPr>
        <w:t xml:space="preserve"> </w:t>
      </w:r>
    </w:p>
    <w:p w14:paraId="3A5E8327" w14:textId="56DA4988" w:rsidR="006D5773" w:rsidRPr="002A28E1" w:rsidRDefault="006D5773" w:rsidP="00432999">
      <w:pPr>
        <w:pStyle w:val="ListParagraph"/>
        <w:ind w:left="0"/>
        <w:jc w:val="both"/>
        <w:rPr>
          <w:rFonts w:ascii="Times New Roman" w:hAnsi="Times New Roman" w:cs="Times New Roman"/>
          <w:sz w:val="24"/>
          <w:szCs w:val="24"/>
          <w:highlight w:val="lightGray"/>
        </w:rPr>
      </w:pPr>
    </w:p>
    <w:p w14:paraId="0F43C27F" w14:textId="1F32D682" w:rsidR="006D5773" w:rsidRPr="006E3467" w:rsidRDefault="006D5773" w:rsidP="00432999">
      <w:pPr>
        <w:pStyle w:val="ListParagraph"/>
        <w:ind w:left="0"/>
        <w:jc w:val="both"/>
        <w:rPr>
          <w:rFonts w:ascii="Times New Roman" w:hAnsi="Times New Roman" w:cs="Times New Roman"/>
          <w:sz w:val="24"/>
          <w:szCs w:val="24"/>
        </w:rPr>
      </w:pPr>
      <w:r w:rsidRPr="006E3467">
        <w:rPr>
          <w:rFonts w:ascii="Times New Roman" w:hAnsi="Times New Roman" w:cs="Times New Roman"/>
          <w:sz w:val="24"/>
          <w:szCs w:val="24"/>
        </w:rPr>
        <w:lastRenderedPageBreak/>
        <w:t xml:space="preserve">Moreover, it is debatable whether the Latvian advanced directives could be deemed </w:t>
      </w:r>
      <w:proofErr w:type="gramStart"/>
      <w:r w:rsidRPr="006E3467">
        <w:rPr>
          <w:rFonts w:ascii="Times New Roman" w:hAnsi="Times New Roman" w:cs="Times New Roman"/>
          <w:sz w:val="24"/>
          <w:szCs w:val="24"/>
        </w:rPr>
        <w:t>to be supported</w:t>
      </w:r>
      <w:proofErr w:type="gramEnd"/>
      <w:r w:rsidRPr="006E3467">
        <w:rPr>
          <w:rFonts w:ascii="Times New Roman" w:hAnsi="Times New Roman" w:cs="Times New Roman"/>
          <w:sz w:val="24"/>
          <w:szCs w:val="24"/>
        </w:rPr>
        <w:t xml:space="preserve"> decision-making measures in conformity </w:t>
      </w:r>
      <w:r w:rsidR="00552A26" w:rsidRPr="006E3467">
        <w:rPr>
          <w:rFonts w:ascii="Times New Roman" w:hAnsi="Times New Roman" w:cs="Times New Roman"/>
          <w:sz w:val="24"/>
          <w:szCs w:val="24"/>
        </w:rPr>
        <w:t>with</w:t>
      </w:r>
      <w:r w:rsidRPr="006E3467">
        <w:rPr>
          <w:rFonts w:ascii="Times New Roman" w:hAnsi="Times New Roman" w:cs="Times New Roman"/>
          <w:sz w:val="24"/>
          <w:szCs w:val="24"/>
        </w:rPr>
        <w:t xml:space="preserve"> Article 12.</w:t>
      </w:r>
      <w:r w:rsidR="00901F99" w:rsidRPr="006E3467">
        <w:rPr>
          <w:rFonts w:ascii="Times New Roman" w:hAnsi="Times New Roman" w:cs="Times New Roman"/>
          <w:sz w:val="24"/>
          <w:szCs w:val="24"/>
        </w:rPr>
        <w:t xml:space="preserve"> Under the new</w:t>
      </w:r>
      <w:r w:rsidR="00AD5620" w:rsidRPr="006E3467">
        <w:rPr>
          <w:rFonts w:ascii="Times New Roman" w:hAnsi="Times New Roman" w:cs="Times New Roman"/>
          <w:sz w:val="24"/>
          <w:szCs w:val="24"/>
        </w:rPr>
        <w:t xml:space="preserve"> Latv</w:t>
      </w:r>
      <w:r w:rsidR="00A8289E" w:rsidRPr="006E3467">
        <w:rPr>
          <w:rFonts w:ascii="Times New Roman" w:hAnsi="Times New Roman" w:cs="Times New Roman"/>
          <w:sz w:val="24"/>
          <w:szCs w:val="24"/>
        </w:rPr>
        <w:t>ian</w:t>
      </w:r>
      <w:r w:rsidR="00901F99" w:rsidRPr="006E3467">
        <w:rPr>
          <w:rFonts w:ascii="Times New Roman" w:hAnsi="Times New Roman" w:cs="Times New Roman"/>
          <w:sz w:val="24"/>
          <w:szCs w:val="24"/>
        </w:rPr>
        <w:t xml:space="preserve"> </w:t>
      </w:r>
      <w:r w:rsidR="00FB1A31" w:rsidRPr="006E3467">
        <w:rPr>
          <w:rFonts w:ascii="Times New Roman" w:hAnsi="Times New Roman" w:cs="Times New Roman"/>
          <w:sz w:val="24"/>
          <w:szCs w:val="24"/>
        </w:rPr>
        <w:t>law</w:t>
      </w:r>
      <w:r w:rsidR="00901F99" w:rsidRPr="006E3467">
        <w:rPr>
          <w:rFonts w:ascii="Times New Roman" w:hAnsi="Times New Roman" w:cs="Times New Roman"/>
          <w:sz w:val="24"/>
          <w:szCs w:val="24"/>
        </w:rPr>
        <w:t xml:space="preserve">, </w:t>
      </w:r>
      <w:r w:rsidR="00C1752B" w:rsidRPr="006E3467">
        <w:rPr>
          <w:rFonts w:ascii="Times New Roman" w:hAnsi="Times New Roman" w:cs="Times New Roman"/>
          <w:sz w:val="24"/>
          <w:szCs w:val="24"/>
        </w:rPr>
        <w:t>t</w:t>
      </w:r>
      <w:r w:rsidR="00901F99" w:rsidRPr="006E3467">
        <w:rPr>
          <w:rFonts w:ascii="Times New Roman" w:hAnsi="Times New Roman" w:cs="Times New Roman"/>
          <w:sz w:val="24"/>
          <w:szCs w:val="24"/>
        </w:rPr>
        <w:t xml:space="preserve">he entry into force of </w:t>
      </w:r>
      <w:r w:rsidR="00B40ABF" w:rsidRPr="006E3467">
        <w:rPr>
          <w:rFonts w:ascii="Times New Roman" w:hAnsi="Times New Roman" w:cs="Times New Roman"/>
          <w:sz w:val="24"/>
          <w:szCs w:val="24"/>
        </w:rPr>
        <w:t xml:space="preserve">an </w:t>
      </w:r>
      <w:r w:rsidR="00901F99" w:rsidRPr="006E3467">
        <w:rPr>
          <w:rFonts w:ascii="Times New Roman" w:hAnsi="Times New Roman" w:cs="Times New Roman"/>
          <w:sz w:val="24"/>
          <w:szCs w:val="24"/>
        </w:rPr>
        <w:t xml:space="preserve">advanced directive </w:t>
      </w:r>
      <w:r w:rsidR="004B526C" w:rsidRPr="006E3467">
        <w:rPr>
          <w:rFonts w:ascii="Times New Roman" w:hAnsi="Times New Roman" w:cs="Times New Roman"/>
          <w:sz w:val="24"/>
          <w:szCs w:val="24"/>
        </w:rPr>
        <w:t xml:space="preserve">hinges on a finding that a person is “unable temporarily or permanently to understand the meaning of his or her action and is unable </w:t>
      </w:r>
      <w:r w:rsidR="008B7CE5" w:rsidRPr="006E3467">
        <w:rPr>
          <w:rFonts w:ascii="Times New Roman" w:hAnsi="Times New Roman" w:cs="Times New Roman"/>
          <w:sz w:val="24"/>
          <w:szCs w:val="24"/>
        </w:rPr>
        <w:t>to control his or her action.”</w:t>
      </w:r>
      <w:r w:rsidR="008B7CE5" w:rsidRPr="006E3467">
        <w:rPr>
          <w:rStyle w:val="FootnoteReference"/>
          <w:rFonts w:ascii="Times New Roman" w:hAnsi="Times New Roman" w:cs="Times New Roman"/>
          <w:sz w:val="24"/>
          <w:szCs w:val="24"/>
        </w:rPr>
        <w:footnoteReference w:id="455"/>
      </w:r>
      <w:r w:rsidR="00E667C6" w:rsidRPr="006E3467">
        <w:rPr>
          <w:rFonts w:ascii="Times New Roman" w:hAnsi="Times New Roman" w:cs="Times New Roman"/>
          <w:sz w:val="24"/>
          <w:szCs w:val="24"/>
        </w:rPr>
        <w:t xml:space="preserve"> The Committee on Rights of Persons with Disabilities has explicitly stated that the</w:t>
      </w:r>
      <w:r w:rsidR="00C12591" w:rsidRPr="006E3467">
        <w:rPr>
          <w:rFonts w:ascii="Times New Roman" w:hAnsi="Times New Roman" w:cs="Times New Roman"/>
          <w:sz w:val="24"/>
          <w:szCs w:val="24"/>
        </w:rPr>
        <w:t xml:space="preserve"> “point at which an advance directive enters into force (and ceases to have effect) should be decided by the person</w:t>
      </w:r>
      <w:r w:rsidR="00A971B8" w:rsidRPr="006E3467">
        <w:rPr>
          <w:rFonts w:ascii="Times New Roman" w:hAnsi="Times New Roman" w:cs="Times New Roman"/>
          <w:sz w:val="24"/>
          <w:szCs w:val="24"/>
        </w:rPr>
        <w:t xml:space="preserve"> </w:t>
      </w:r>
      <w:r w:rsidR="00C12591" w:rsidRPr="006E3467">
        <w:rPr>
          <w:rFonts w:ascii="Times New Roman" w:hAnsi="Times New Roman" w:cs="Times New Roman"/>
          <w:sz w:val="24"/>
          <w:szCs w:val="24"/>
        </w:rPr>
        <w:t>a</w:t>
      </w:r>
      <w:r w:rsidR="00A971B8" w:rsidRPr="006E3467">
        <w:rPr>
          <w:rFonts w:ascii="Times New Roman" w:hAnsi="Times New Roman" w:cs="Times New Roman"/>
          <w:sz w:val="24"/>
          <w:szCs w:val="24"/>
        </w:rPr>
        <w:t>n</w:t>
      </w:r>
      <w:r w:rsidR="00C12591" w:rsidRPr="006E3467">
        <w:rPr>
          <w:rFonts w:ascii="Times New Roman" w:hAnsi="Times New Roman" w:cs="Times New Roman"/>
          <w:sz w:val="24"/>
          <w:szCs w:val="24"/>
        </w:rPr>
        <w:t>d should not be based</w:t>
      </w:r>
      <w:r w:rsidR="0040727D" w:rsidRPr="006E3467">
        <w:rPr>
          <w:rFonts w:ascii="Times New Roman" w:hAnsi="Times New Roman" w:cs="Times New Roman"/>
          <w:sz w:val="24"/>
          <w:szCs w:val="24"/>
        </w:rPr>
        <w:t xml:space="preserve"> </w:t>
      </w:r>
      <w:r w:rsidR="00C12591" w:rsidRPr="006E3467">
        <w:rPr>
          <w:rFonts w:ascii="Times New Roman" w:hAnsi="Times New Roman" w:cs="Times New Roman"/>
          <w:sz w:val="24"/>
          <w:szCs w:val="24"/>
        </w:rPr>
        <w:t>on an assessment that the person lacks mental capacity.</w:t>
      </w:r>
      <w:r w:rsidR="00797793" w:rsidRPr="006E3467">
        <w:rPr>
          <w:rFonts w:ascii="Times New Roman" w:hAnsi="Times New Roman" w:cs="Times New Roman"/>
          <w:sz w:val="24"/>
          <w:szCs w:val="24"/>
        </w:rPr>
        <w:t>”</w:t>
      </w:r>
      <w:r w:rsidR="00823CEA" w:rsidRPr="006E3467">
        <w:rPr>
          <w:rStyle w:val="FootnoteReference"/>
          <w:rFonts w:ascii="Times New Roman" w:hAnsi="Times New Roman" w:cs="Times New Roman"/>
          <w:sz w:val="24"/>
          <w:szCs w:val="24"/>
        </w:rPr>
        <w:footnoteReference w:id="456"/>
      </w:r>
      <w:r w:rsidR="00E667C6" w:rsidRPr="006E3467">
        <w:rPr>
          <w:rFonts w:ascii="Times New Roman" w:hAnsi="Times New Roman" w:cs="Times New Roman"/>
          <w:sz w:val="24"/>
          <w:szCs w:val="24"/>
        </w:rPr>
        <w:t xml:space="preserve"> </w:t>
      </w:r>
    </w:p>
    <w:p w14:paraId="6891846A" w14:textId="77777777" w:rsidR="002A0261" w:rsidRPr="002A28E1" w:rsidRDefault="002A0261" w:rsidP="00432999">
      <w:pPr>
        <w:pStyle w:val="ListParagraph"/>
        <w:ind w:left="0"/>
        <w:jc w:val="both"/>
        <w:rPr>
          <w:rFonts w:ascii="Times New Roman" w:hAnsi="Times New Roman" w:cs="Times New Roman"/>
          <w:sz w:val="24"/>
          <w:szCs w:val="24"/>
        </w:rPr>
      </w:pPr>
    </w:p>
    <w:p w14:paraId="6C6D5E2D" w14:textId="4D3AB40D" w:rsidR="00DD2A4A" w:rsidRPr="002A28E1" w:rsidRDefault="005A4333" w:rsidP="00432999">
      <w:pPr>
        <w:pStyle w:val="ListParagraph"/>
        <w:ind w:left="0"/>
        <w:jc w:val="both"/>
        <w:rPr>
          <w:rFonts w:ascii="Times New Roman" w:hAnsi="Times New Roman" w:cs="Times New Roman"/>
          <w:bCs/>
          <w:sz w:val="24"/>
          <w:szCs w:val="24"/>
        </w:rPr>
      </w:pPr>
      <w:r w:rsidRPr="002A28E1">
        <w:rPr>
          <w:rFonts w:ascii="Times New Roman" w:hAnsi="Times New Roman" w:cs="Times New Roman"/>
          <w:sz w:val="24"/>
          <w:szCs w:val="24"/>
        </w:rPr>
        <w:t>Latvia’s legislation maintains the availability of substitute decision-making</w:t>
      </w:r>
      <w:r w:rsidR="006E3467">
        <w:rPr>
          <w:rFonts w:ascii="Times New Roman" w:hAnsi="Times New Roman" w:cs="Times New Roman"/>
          <w:sz w:val="24"/>
          <w:szCs w:val="24"/>
        </w:rPr>
        <w:t xml:space="preserve"> with its partial guardianship regime</w:t>
      </w:r>
      <w:r w:rsidRPr="002A28E1">
        <w:rPr>
          <w:rFonts w:ascii="Times New Roman" w:hAnsi="Times New Roman" w:cs="Times New Roman"/>
          <w:sz w:val="24"/>
          <w:szCs w:val="24"/>
        </w:rPr>
        <w:t xml:space="preserve">, which clearly violates </w:t>
      </w:r>
      <w:r w:rsidR="00F353FF" w:rsidRPr="002A28E1">
        <w:rPr>
          <w:rFonts w:ascii="Times New Roman" w:hAnsi="Times New Roman" w:cs="Times New Roman"/>
          <w:sz w:val="24"/>
          <w:szCs w:val="24"/>
        </w:rPr>
        <w:t>A</w:t>
      </w:r>
      <w:r w:rsidRPr="002A28E1">
        <w:rPr>
          <w:rFonts w:ascii="Times New Roman" w:hAnsi="Times New Roman" w:cs="Times New Roman"/>
          <w:sz w:val="24"/>
          <w:szCs w:val="24"/>
        </w:rPr>
        <w:t xml:space="preserve">rticle 12. </w:t>
      </w:r>
      <w:r w:rsidR="00E955E4" w:rsidRPr="002A28E1">
        <w:rPr>
          <w:rFonts w:ascii="Times New Roman" w:hAnsi="Times New Roman" w:cs="Times New Roman"/>
          <w:sz w:val="24"/>
          <w:szCs w:val="24"/>
        </w:rPr>
        <w:t xml:space="preserve">The </w:t>
      </w:r>
      <w:r w:rsidR="00D47AE1" w:rsidRPr="002A28E1">
        <w:rPr>
          <w:rFonts w:ascii="Times New Roman" w:hAnsi="Times New Roman" w:cs="Times New Roman"/>
          <w:sz w:val="24"/>
          <w:szCs w:val="24"/>
        </w:rPr>
        <w:t xml:space="preserve">UN </w:t>
      </w:r>
      <w:r w:rsidR="00E955E4" w:rsidRPr="002A28E1">
        <w:rPr>
          <w:rFonts w:ascii="Times New Roman" w:hAnsi="Times New Roman" w:cs="Times New Roman"/>
          <w:sz w:val="24"/>
          <w:szCs w:val="24"/>
        </w:rPr>
        <w:t>Committee</w:t>
      </w:r>
      <w:r w:rsidR="00F90726" w:rsidRPr="002A28E1">
        <w:rPr>
          <w:rFonts w:ascii="Times New Roman" w:hAnsi="Times New Roman" w:cs="Times New Roman"/>
          <w:sz w:val="24"/>
          <w:szCs w:val="24"/>
        </w:rPr>
        <w:t xml:space="preserve">’s report </w:t>
      </w:r>
      <w:r w:rsidR="00E955E4" w:rsidRPr="002A28E1">
        <w:rPr>
          <w:rFonts w:ascii="Times New Roman" w:hAnsi="Times New Roman" w:cs="Times New Roman"/>
          <w:sz w:val="24"/>
          <w:szCs w:val="24"/>
        </w:rPr>
        <w:t>urged Latvia to “</w:t>
      </w:r>
      <w:r w:rsidR="00E955E4" w:rsidRPr="002A28E1">
        <w:rPr>
          <w:rFonts w:ascii="Times New Roman" w:hAnsi="Times New Roman" w:cs="Times New Roman"/>
          <w:bCs/>
          <w:sz w:val="24"/>
          <w:szCs w:val="24"/>
        </w:rPr>
        <w:t>repeal the legal provisions in civil law concerning substituted decision-makin</w:t>
      </w:r>
      <w:r w:rsidR="00F4596E" w:rsidRPr="002A28E1">
        <w:rPr>
          <w:rFonts w:ascii="Times New Roman" w:hAnsi="Times New Roman" w:cs="Times New Roman"/>
          <w:bCs/>
          <w:sz w:val="24"/>
          <w:szCs w:val="24"/>
        </w:rPr>
        <w:t>g.</w:t>
      </w:r>
      <w:r w:rsidR="004733D0" w:rsidRPr="002A28E1">
        <w:rPr>
          <w:rFonts w:ascii="Times New Roman" w:hAnsi="Times New Roman" w:cs="Times New Roman"/>
          <w:bCs/>
          <w:sz w:val="24"/>
          <w:szCs w:val="24"/>
        </w:rPr>
        <w:t>”</w:t>
      </w:r>
      <w:r w:rsidR="003F2B09">
        <w:rPr>
          <w:rStyle w:val="FootnoteReference"/>
          <w:rFonts w:ascii="Times New Roman" w:hAnsi="Times New Roman" w:cs="Times New Roman"/>
          <w:bCs/>
          <w:sz w:val="24"/>
          <w:szCs w:val="24"/>
        </w:rPr>
        <w:footnoteReference w:id="457"/>
      </w:r>
      <w:r w:rsidR="000C4DD9" w:rsidRPr="002A28E1">
        <w:rPr>
          <w:rFonts w:ascii="Times New Roman" w:hAnsi="Times New Roman" w:cs="Times New Roman"/>
          <w:bCs/>
          <w:sz w:val="24"/>
          <w:szCs w:val="24"/>
        </w:rPr>
        <w:t xml:space="preserve"> </w:t>
      </w:r>
      <w:r w:rsidR="00DD2A4A" w:rsidRPr="006825D0">
        <w:rPr>
          <w:rFonts w:ascii="Times New Roman" w:hAnsi="Times New Roman" w:cs="Times New Roman"/>
          <w:bCs/>
          <w:sz w:val="24"/>
          <w:szCs w:val="24"/>
        </w:rPr>
        <w:t xml:space="preserve">RC ZELDA has reported that in practice, Latvian courts tend to </w:t>
      </w:r>
      <w:r w:rsidR="00880CF5" w:rsidRPr="006825D0">
        <w:rPr>
          <w:rFonts w:ascii="Times New Roman" w:hAnsi="Times New Roman" w:cs="Times New Roman"/>
          <w:bCs/>
          <w:sz w:val="24"/>
          <w:szCs w:val="24"/>
        </w:rPr>
        <w:t>opt for</w:t>
      </w:r>
      <w:r w:rsidR="00DD2A4A" w:rsidRPr="006825D0">
        <w:rPr>
          <w:rFonts w:ascii="Times New Roman" w:hAnsi="Times New Roman" w:cs="Times New Roman"/>
          <w:bCs/>
          <w:sz w:val="24"/>
          <w:szCs w:val="24"/>
        </w:rPr>
        <w:t xml:space="preserve"> substituted decision-making, without</w:t>
      </w:r>
      <w:r w:rsidR="004C1CD6" w:rsidRPr="006825D0">
        <w:rPr>
          <w:rFonts w:ascii="Times New Roman" w:hAnsi="Times New Roman" w:cs="Times New Roman"/>
          <w:bCs/>
          <w:sz w:val="24"/>
          <w:szCs w:val="24"/>
        </w:rPr>
        <w:t xml:space="preserve"> first</w:t>
      </w:r>
      <w:r w:rsidR="00DD2A4A" w:rsidRPr="006825D0">
        <w:rPr>
          <w:rFonts w:ascii="Times New Roman" w:hAnsi="Times New Roman" w:cs="Times New Roman"/>
          <w:bCs/>
          <w:sz w:val="24"/>
          <w:szCs w:val="24"/>
        </w:rPr>
        <w:t xml:space="preserve"> contemplating whether a person could make decisions </w:t>
      </w:r>
      <w:r w:rsidR="008A56AA" w:rsidRPr="006825D0">
        <w:rPr>
          <w:rFonts w:ascii="Times New Roman" w:hAnsi="Times New Roman" w:cs="Times New Roman"/>
          <w:bCs/>
          <w:sz w:val="24"/>
          <w:szCs w:val="24"/>
        </w:rPr>
        <w:t>independently</w:t>
      </w:r>
      <w:r w:rsidR="00BA6ED6" w:rsidRPr="006825D0">
        <w:rPr>
          <w:rFonts w:ascii="Times New Roman" w:hAnsi="Times New Roman" w:cs="Times New Roman"/>
          <w:bCs/>
          <w:sz w:val="24"/>
          <w:szCs w:val="24"/>
        </w:rPr>
        <w:t xml:space="preserve"> in </w:t>
      </w:r>
      <w:r w:rsidR="007A02FB" w:rsidRPr="006825D0">
        <w:rPr>
          <w:rFonts w:ascii="Times New Roman" w:hAnsi="Times New Roman" w:cs="Times New Roman"/>
          <w:bCs/>
          <w:sz w:val="24"/>
          <w:szCs w:val="24"/>
        </w:rPr>
        <w:t>some</w:t>
      </w:r>
      <w:r w:rsidR="00BA6ED6" w:rsidRPr="006825D0">
        <w:rPr>
          <w:rFonts w:ascii="Times New Roman" w:hAnsi="Times New Roman" w:cs="Times New Roman"/>
          <w:bCs/>
          <w:sz w:val="24"/>
          <w:szCs w:val="24"/>
        </w:rPr>
        <w:t xml:space="preserve"> areas</w:t>
      </w:r>
      <w:r w:rsidR="00DD2A4A" w:rsidRPr="006825D0">
        <w:rPr>
          <w:rFonts w:ascii="Times New Roman" w:hAnsi="Times New Roman" w:cs="Times New Roman"/>
          <w:bCs/>
          <w:sz w:val="24"/>
          <w:szCs w:val="24"/>
        </w:rPr>
        <w:t xml:space="preserve"> </w:t>
      </w:r>
      <w:r w:rsidR="00537D83" w:rsidRPr="006825D0">
        <w:rPr>
          <w:rFonts w:ascii="Times New Roman" w:hAnsi="Times New Roman" w:cs="Times New Roman"/>
          <w:bCs/>
          <w:sz w:val="24"/>
          <w:szCs w:val="24"/>
        </w:rPr>
        <w:t>or whether co-decision-making</w:t>
      </w:r>
      <w:r w:rsidR="00E765DE" w:rsidRPr="006825D0">
        <w:rPr>
          <w:rFonts w:ascii="Times New Roman" w:hAnsi="Times New Roman" w:cs="Times New Roman"/>
          <w:bCs/>
          <w:sz w:val="24"/>
          <w:szCs w:val="24"/>
        </w:rPr>
        <w:t xml:space="preserve"> </w:t>
      </w:r>
      <w:proofErr w:type="gramStart"/>
      <w:r w:rsidR="00E765DE" w:rsidRPr="006825D0">
        <w:rPr>
          <w:rFonts w:ascii="Times New Roman" w:hAnsi="Times New Roman" w:cs="Times New Roman"/>
          <w:bCs/>
          <w:sz w:val="24"/>
          <w:szCs w:val="24"/>
        </w:rPr>
        <w:t xml:space="preserve">could be </w:t>
      </w:r>
      <w:r w:rsidR="009D2CE0" w:rsidRPr="006825D0">
        <w:rPr>
          <w:rFonts w:ascii="Times New Roman" w:hAnsi="Times New Roman" w:cs="Times New Roman"/>
          <w:bCs/>
          <w:sz w:val="24"/>
          <w:szCs w:val="24"/>
        </w:rPr>
        <w:t>implemented</w:t>
      </w:r>
      <w:proofErr w:type="gramEnd"/>
      <w:r w:rsidR="009D2CE0" w:rsidRPr="006825D0">
        <w:rPr>
          <w:rFonts w:ascii="Times New Roman" w:hAnsi="Times New Roman" w:cs="Times New Roman"/>
          <w:bCs/>
          <w:sz w:val="24"/>
          <w:szCs w:val="24"/>
        </w:rPr>
        <w:t>.</w:t>
      </w:r>
      <w:r w:rsidR="00E80FBA" w:rsidRPr="006825D0">
        <w:rPr>
          <w:rStyle w:val="FootnoteReference"/>
          <w:rFonts w:ascii="Times New Roman" w:hAnsi="Times New Roman" w:cs="Times New Roman"/>
          <w:bCs/>
          <w:sz w:val="24"/>
          <w:szCs w:val="24"/>
        </w:rPr>
        <w:footnoteReference w:id="458"/>
      </w:r>
      <w:r w:rsidR="00E80FBA" w:rsidRPr="002A28E1">
        <w:rPr>
          <w:rFonts w:ascii="Times New Roman" w:hAnsi="Times New Roman" w:cs="Times New Roman"/>
          <w:bCs/>
          <w:sz w:val="24"/>
          <w:szCs w:val="24"/>
        </w:rPr>
        <w:t xml:space="preserve"> </w:t>
      </w:r>
    </w:p>
    <w:p w14:paraId="0DC5BA8E" w14:textId="77777777" w:rsidR="009D4F6C" w:rsidRPr="002A28E1" w:rsidRDefault="009D4F6C" w:rsidP="00432999">
      <w:pPr>
        <w:pStyle w:val="ListParagraph"/>
        <w:ind w:left="0"/>
        <w:jc w:val="both"/>
        <w:rPr>
          <w:rFonts w:ascii="Times New Roman" w:hAnsi="Times New Roman" w:cs="Times New Roman"/>
          <w:bCs/>
          <w:sz w:val="24"/>
          <w:szCs w:val="24"/>
        </w:rPr>
      </w:pPr>
    </w:p>
    <w:p w14:paraId="7333F316" w14:textId="67B295AC" w:rsidR="00432999" w:rsidRPr="002A28E1" w:rsidRDefault="00355878" w:rsidP="00432999">
      <w:pPr>
        <w:pStyle w:val="ListParagraph"/>
        <w:ind w:left="0"/>
        <w:jc w:val="both"/>
        <w:rPr>
          <w:rFonts w:ascii="Times New Roman" w:hAnsi="Times New Roman" w:cs="Times New Roman"/>
          <w:bCs/>
          <w:sz w:val="24"/>
          <w:szCs w:val="24"/>
        </w:rPr>
      </w:pPr>
      <w:r w:rsidRPr="001811ED">
        <w:rPr>
          <w:rFonts w:ascii="Times New Roman" w:hAnsi="Times New Roman" w:cs="Times New Roman"/>
          <w:bCs/>
          <w:sz w:val="24"/>
          <w:szCs w:val="24"/>
        </w:rPr>
        <w:t>Overall, the</w:t>
      </w:r>
      <w:r w:rsidR="007D6824" w:rsidRPr="001811ED">
        <w:rPr>
          <w:rFonts w:ascii="Times New Roman" w:hAnsi="Times New Roman" w:cs="Times New Roman"/>
          <w:bCs/>
          <w:sz w:val="24"/>
          <w:szCs w:val="24"/>
        </w:rPr>
        <w:t xml:space="preserve"> failure to introduce </w:t>
      </w:r>
      <w:r w:rsidR="00996F28" w:rsidRPr="001811ED">
        <w:rPr>
          <w:rFonts w:ascii="Times New Roman" w:hAnsi="Times New Roman" w:cs="Times New Roman"/>
          <w:bCs/>
          <w:sz w:val="24"/>
          <w:szCs w:val="24"/>
        </w:rPr>
        <w:t>full-blown</w:t>
      </w:r>
      <w:r w:rsidR="00BB0383" w:rsidRPr="001811ED">
        <w:rPr>
          <w:rFonts w:ascii="Times New Roman" w:hAnsi="Times New Roman" w:cs="Times New Roman"/>
          <w:bCs/>
          <w:sz w:val="24"/>
          <w:szCs w:val="24"/>
        </w:rPr>
        <w:t xml:space="preserve"> </w:t>
      </w:r>
      <w:r w:rsidR="007D6824" w:rsidRPr="001811ED">
        <w:rPr>
          <w:rFonts w:ascii="Times New Roman" w:hAnsi="Times New Roman" w:cs="Times New Roman"/>
          <w:bCs/>
          <w:sz w:val="24"/>
          <w:szCs w:val="24"/>
        </w:rPr>
        <w:t>s</w:t>
      </w:r>
      <w:r w:rsidR="00CA707E" w:rsidRPr="001811ED">
        <w:rPr>
          <w:rFonts w:ascii="Times New Roman" w:hAnsi="Times New Roman" w:cs="Times New Roman"/>
          <w:bCs/>
          <w:sz w:val="24"/>
          <w:szCs w:val="24"/>
        </w:rPr>
        <w:t xml:space="preserve">upported decision-making into Latvian law </w:t>
      </w:r>
      <w:r w:rsidR="003E215B" w:rsidRPr="001811ED">
        <w:rPr>
          <w:rFonts w:ascii="Times New Roman" w:hAnsi="Times New Roman" w:cs="Times New Roman"/>
          <w:bCs/>
          <w:sz w:val="24"/>
          <w:szCs w:val="24"/>
        </w:rPr>
        <w:t xml:space="preserve">is </w:t>
      </w:r>
      <w:r w:rsidR="00D40BFF" w:rsidRPr="001811ED">
        <w:rPr>
          <w:rFonts w:ascii="Times New Roman" w:hAnsi="Times New Roman" w:cs="Times New Roman"/>
          <w:bCs/>
          <w:sz w:val="24"/>
          <w:szCs w:val="24"/>
        </w:rPr>
        <w:t xml:space="preserve">cause for concern from the point of view of </w:t>
      </w:r>
      <w:r w:rsidR="00BC5A66" w:rsidRPr="001811ED">
        <w:rPr>
          <w:rFonts w:ascii="Times New Roman" w:hAnsi="Times New Roman" w:cs="Times New Roman"/>
          <w:bCs/>
          <w:sz w:val="24"/>
          <w:szCs w:val="24"/>
        </w:rPr>
        <w:t xml:space="preserve">Article 12 of </w:t>
      </w:r>
      <w:r w:rsidR="00D40BFF" w:rsidRPr="001811ED">
        <w:rPr>
          <w:rFonts w:ascii="Times New Roman" w:hAnsi="Times New Roman" w:cs="Times New Roman"/>
          <w:bCs/>
          <w:sz w:val="24"/>
          <w:szCs w:val="24"/>
        </w:rPr>
        <w:t>the CRPD.</w:t>
      </w:r>
      <w:r w:rsidR="00B31C0E" w:rsidRPr="001811ED">
        <w:rPr>
          <w:rFonts w:ascii="Times New Roman" w:hAnsi="Times New Roman" w:cs="Times New Roman"/>
          <w:bCs/>
          <w:sz w:val="24"/>
          <w:szCs w:val="24"/>
        </w:rPr>
        <w:t xml:space="preserve"> Nevertheless,</w:t>
      </w:r>
      <w:r w:rsidR="000908B2" w:rsidRPr="001811ED">
        <w:rPr>
          <w:rFonts w:ascii="Times New Roman" w:hAnsi="Times New Roman" w:cs="Times New Roman"/>
          <w:bCs/>
          <w:sz w:val="24"/>
          <w:szCs w:val="24"/>
        </w:rPr>
        <w:t xml:space="preserve"> the </w:t>
      </w:r>
      <w:r w:rsidR="00F96104" w:rsidRPr="001811ED">
        <w:rPr>
          <w:rFonts w:ascii="Times New Roman" w:hAnsi="Times New Roman" w:cs="Times New Roman"/>
          <w:bCs/>
          <w:sz w:val="24"/>
          <w:szCs w:val="24"/>
        </w:rPr>
        <w:t>Latvian reform undoubtedly represents a step</w:t>
      </w:r>
      <w:r w:rsidR="008D52DC" w:rsidRPr="001811ED">
        <w:rPr>
          <w:rFonts w:ascii="Times New Roman" w:hAnsi="Times New Roman" w:cs="Times New Roman"/>
          <w:bCs/>
          <w:sz w:val="24"/>
          <w:szCs w:val="24"/>
        </w:rPr>
        <w:t xml:space="preserve"> towards embracing Article 12, with the </w:t>
      </w:r>
      <w:r w:rsidR="000908B2" w:rsidRPr="001811ED">
        <w:rPr>
          <w:rFonts w:ascii="Times New Roman" w:hAnsi="Times New Roman" w:cs="Times New Roman"/>
          <w:bCs/>
          <w:sz w:val="24"/>
          <w:szCs w:val="24"/>
        </w:rPr>
        <w:t xml:space="preserve">abolition of plenary guardianship as well as the introduction of a co-decision-making mechanism that at least allows </w:t>
      </w:r>
      <w:r w:rsidR="00E76FAA" w:rsidRPr="001811ED">
        <w:rPr>
          <w:rFonts w:ascii="Times New Roman" w:hAnsi="Times New Roman" w:cs="Times New Roman"/>
          <w:bCs/>
          <w:sz w:val="24"/>
          <w:szCs w:val="24"/>
        </w:rPr>
        <w:t>for</w:t>
      </w:r>
      <w:r w:rsidR="000908B2" w:rsidRPr="001811ED">
        <w:rPr>
          <w:rFonts w:ascii="Times New Roman" w:hAnsi="Times New Roman" w:cs="Times New Roman"/>
          <w:bCs/>
          <w:sz w:val="24"/>
          <w:szCs w:val="24"/>
        </w:rPr>
        <w:t xml:space="preserve"> person with disabilities to participate in the decision-making process. Furthermore,</w:t>
      </w:r>
      <w:r w:rsidR="00B31C0E" w:rsidRPr="001811ED">
        <w:rPr>
          <w:rFonts w:ascii="Times New Roman" w:hAnsi="Times New Roman" w:cs="Times New Roman"/>
          <w:bCs/>
          <w:sz w:val="24"/>
          <w:szCs w:val="24"/>
        </w:rPr>
        <w:t xml:space="preserve"> </w:t>
      </w:r>
      <w:r w:rsidR="00E93498" w:rsidRPr="001811ED">
        <w:rPr>
          <w:rFonts w:ascii="Times New Roman" w:hAnsi="Times New Roman" w:cs="Times New Roman"/>
          <w:bCs/>
          <w:sz w:val="24"/>
          <w:szCs w:val="24"/>
        </w:rPr>
        <w:t xml:space="preserve">a supported decision-making pilot project financed by the </w:t>
      </w:r>
      <w:r w:rsidR="00627E08" w:rsidRPr="001811ED">
        <w:rPr>
          <w:rFonts w:ascii="Times New Roman" w:hAnsi="Times New Roman" w:cs="Times New Roman"/>
          <w:bCs/>
          <w:sz w:val="24"/>
          <w:szCs w:val="24"/>
        </w:rPr>
        <w:t>European</w:t>
      </w:r>
      <w:r w:rsidR="00E93498" w:rsidRPr="001811ED">
        <w:rPr>
          <w:rFonts w:ascii="Times New Roman" w:hAnsi="Times New Roman" w:cs="Times New Roman"/>
          <w:bCs/>
          <w:sz w:val="24"/>
          <w:szCs w:val="24"/>
        </w:rPr>
        <w:t xml:space="preserve"> Social Fund and the Government of Latvia</w:t>
      </w:r>
      <w:r w:rsidR="00880971" w:rsidRPr="001811ED">
        <w:rPr>
          <w:rFonts w:ascii="Times New Roman" w:hAnsi="Times New Roman" w:cs="Times New Roman"/>
          <w:bCs/>
          <w:sz w:val="24"/>
          <w:szCs w:val="24"/>
        </w:rPr>
        <w:t xml:space="preserve"> </w:t>
      </w:r>
      <w:proofErr w:type="gramStart"/>
      <w:r w:rsidR="00880971" w:rsidRPr="001811ED">
        <w:rPr>
          <w:rFonts w:ascii="Times New Roman" w:hAnsi="Times New Roman" w:cs="Times New Roman"/>
          <w:bCs/>
          <w:sz w:val="24"/>
          <w:szCs w:val="24"/>
        </w:rPr>
        <w:t>was launched</w:t>
      </w:r>
      <w:proofErr w:type="gramEnd"/>
      <w:r w:rsidR="00880971" w:rsidRPr="001811ED">
        <w:rPr>
          <w:rFonts w:ascii="Times New Roman" w:hAnsi="Times New Roman" w:cs="Times New Roman"/>
          <w:bCs/>
          <w:sz w:val="24"/>
          <w:szCs w:val="24"/>
        </w:rPr>
        <w:t xml:space="preserve"> in 2017 and is currently being implemented by RC ZELDA</w:t>
      </w:r>
      <w:r w:rsidR="00045EF3" w:rsidRPr="001811ED">
        <w:rPr>
          <w:rFonts w:ascii="Times New Roman" w:hAnsi="Times New Roman" w:cs="Times New Roman"/>
          <w:bCs/>
          <w:sz w:val="24"/>
          <w:szCs w:val="24"/>
        </w:rPr>
        <w:t>, supervised by the Ministry of Welfare.</w:t>
      </w:r>
      <w:r w:rsidR="00C4752D" w:rsidRPr="001811ED">
        <w:rPr>
          <w:rStyle w:val="FootnoteReference"/>
          <w:rFonts w:ascii="Times New Roman" w:hAnsi="Times New Roman" w:cs="Times New Roman"/>
          <w:bCs/>
          <w:sz w:val="24"/>
          <w:szCs w:val="24"/>
        </w:rPr>
        <w:footnoteReference w:id="459"/>
      </w:r>
      <w:r w:rsidR="00045EF3" w:rsidRPr="001811ED">
        <w:rPr>
          <w:rFonts w:ascii="Times New Roman" w:hAnsi="Times New Roman" w:cs="Times New Roman"/>
          <w:bCs/>
          <w:sz w:val="24"/>
          <w:szCs w:val="24"/>
        </w:rPr>
        <w:t xml:space="preserve"> </w:t>
      </w:r>
      <w:r w:rsidR="0069779B" w:rsidRPr="001811ED">
        <w:rPr>
          <w:rFonts w:ascii="Times New Roman" w:hAnsi="Times New Roman" w:cs="Times New Roman"/>
          <w:bCs/>
          <w:sz w:val="24"/>
          <w:szCs w:val="24"/>
        </w:rPr>
        <w:t>The project</w:t>
      </w:r>
      <w:r w:rsidR="00050C03" w:rsidRPr="001811ED">
        <w:rPr>
          <w:rFonts w:ascii="Times New Roman" w:hAnsi="Times New Roman" w:cs="Times New Roman"/>
          <w:bCs/>
          <w:sz w:val="24"/>
          <w:szCs w:val="24"/>
        </w:rPr>
        <w:t xml:space="preserve"> </w:t>
      </w:r>
      <w:r w:rsidR="005318E9" w:rsidRPr="001811ED">
        <w:rPr>
          <w:rFonts w:ascii="Times New Roman" w:hAnsi="Times New Roman" w:cs="Times New Roman"/>
          <w:bCs/>
          <w:sz w:val="24"/>
          <w:szCs w:val="24"/>
        </w:rPr>
        <w:t xml:space="preserve">is </w:t>
      </w:r>
      <w:r w:rsidR="006E64DD" w:rsidRPr="001811ED">
        <w:rPr>
          <w:rFonts w:ascii="Times New Roman" w:hAnsi="Times New Roman" w:cs="Times New Roman"/>
          <w:bCs/>
          <w:sz w:val="24"/>
          <w:szCs w:val="24"/>
        </w:rPr>
        <w:t xml:space="preserve">experimenting with supported-decision making </w:t>
      </w:r>
      <w:r w:rsidR="00131139" w:rsidRPr="001811ED">
        <w:rPr>
          <w:rFonts w:ascii="Times New Roman" w:hAnsi="Times New Roman" w:cs="Times New Roman"/>
          <w:bCs/>
          <w:sz w:val="24"/>
          <w:szCs w:val="24"/>
        </w:rPr>
        <w:t>in five areas (legal issues, financial issues, acquiring and developing life skills, health care issues and social care issues).</w:t>
      </w:r>
      <w:r w:rsidR="00522BEA" w:rsidRPr="001811ED">
        <w:rPr>
          <w:rStyle w:val="FootnoteReference"/>
          <w:rFonts w:ascii="Times New Roman" w:hAnsi="Times New Roman" w:cs="Times New Roman"/>
          <w:bCs/>
          <w:sz w:val="24"/>
          <w:szCs w:val="24"/>
        </w:rPr>
        <w:footnoteReference w:id="460"/>
      </w:r>
      <w:r w:rsidR="00D57E22" w:rsidRPr="001811ED">
        <w:rPr>
          <w:rFonts w:ascii="Times New Roman" w:hAnsi="Times New Roman" w:cs="Times New Roman"/>
          <w:bCs/>
          <w:sz w:val="24"/>
          <w:szCs w:val="24"/>
        </w:rPr>
        <w:t xml:space="preserve"> The government has </w:t>
      </w:r>
      <w:r w:rsidR="00052B56" w:rsidRPr="001811ED">
        <w:rPr>
          <w:rFonts w:ascii="Times New Roman" w:hAnsi="Times New Roman" w:cs="Times New Roman"/>
          <w:bCs/>
          <w:sz w:val="24"/>
          <w:szCs w:val="24"/>
        </w:rPr>
        <w:t xml:space="preserve">expressed its intention to contemplate </w:t>
      </w:r>
      <w:r w:rsidR="00810A93" w:rsidRPr="001811ED">
        <w:rPr>
          <w:rFonts w:ascii="Times New Roman" w:hAnsi="Times New Roman" w:cs="Times New Roman"/>
          <w:bCs/>
          <w:sz w:val="24"/>
          <w:szCs w:val="24"/>
        </w:rPr>
        <w:t xml:space="preserve">the “next steps” </w:t>
      </w:r>
      <w:r w:rsidR="002802BB" w:rsidRPr="001811ED">
        <w:rPr>
          <w:rFonts w:ascii="Times New Roman" w:hAnsi="Times New Roman" w:cs="Times New Roman"/>
          <w:bCs/>
          <w:sz w:val="24"/>
          <w:szCs w:val="24"/>
        </w:rPr>
        <w:t>regarding supported decision-making upon competition of the pilot project in 2020.</w:t>
      </w:r>
      <w:r w:rsidR="002802BB" w:rsidRPr="001811ED">
        <w:rPr>
          <w:rStyle w:val="FootnoteReference"/>
          <w:rFonts w:ascii="Times New Roman" w:hAnsi="Times New Roman" w:cs="Times New Roman"/>
          <w:bCs/>
          <w:sz w:val="24"/>
          <w:szCs w:val="24"/>
        </w:rPr>
        <w:footnoteReference w:id="461"/>
      </w:r>
    </w:p>
    <w:p w14:paraId="799346B9" w14:textId="002FE7ED" w:rsidR="00DD2A4A" w:rsidRPr="002A28E1" w:rsidRDefault="00DD2A4A" w:rsidP="00432999">
      <w:pPr>
        <w:pStyle w:val="ListParagraph"/>
        <w:ind w:left="0"/>
        <w:jc w:val="both"/>
        <w:rPr>
          <w:rFonts w:ascii="Times New Roman" w:hAnsi="Times New Roman" w:cs="Times New Roman"/>
          <w:sz w:val="24"/>
          <w:szCs w:val="24"/>
        </w:rPr>
      </w:pPr>
    </w:p>
    <w:p w14:paraId="316A8464" w14:textId="4A4CBA08" w:rsidR="00921319" w:rsidRPr="002A28E1" w:rsidRDefault="00921319"/>
    <w:p w14:paraId="55E69660" w14:textId="0A23C5E2" w:rsidR="001E7355" w:rsidRPr="002A28E1" w:rsidRDefault="001E7355"/>
    <w:p w14:paraId="196B1CE3" w14:textId="006E2ECE" w:rsidR="00E60B6D" w:rsidRPr="002A28E1" w:rsidRDefault="00E60B6D">
      <w:r w:rsidRPr="002A28E1">
        <w:br w:type="page"/>
      </w:r>
    </w:p>
    <w:p w14:paraId="37DADAF5" w14:textId="41F08039" w:rsidR="00E56208" w:rsidRPr="002A28E1" w:rsidRDefault="00E60B6D" w:rsidP="00F9439E">
      <w:pPr>
        <w:pStyle w:val="Heading1"/>
      </w:pPr>
      <w:bookmarkStart w:id="55" w:name="_Toc16081760"/>
      <w:r w:rsidRPr="002A28E1">
        <w:lastRenderedPageBreak/>
        <w:t>Croatia</w:t>
      </w:r>
      <w:bookmarkEnd w:id="55"/>
    </w:p>
    <w:p w14:paraId="612B0C9C" w14:textId="6BE4EC72" w:rsidR="00473A84" w:rsidRPr="002A28E1" w:rsidRDefault="00473A84">
      <w:r w:rsidRPr="002A28E1">
        <w:t xml:space="preserve">With the </w:t>
      </w:r>
      <w:r w:rsidR="00183779" w:rsidRPr="002A28E1">
        <w:t xml:space="preserve">adoption of a new Family Act in 2014, </w:t>
      </w:r>
      <w:r w:rsidR="00685517" w:rsidRPr="002A28E1">
        <w:t>Croatia abolished plenary guardianship and</w:t>
      </w:r>
      <w:r w:rsidR="00BE3071" w:rsidRPr="002A28E1">
        <w:t xml:space="preserve"> </w:t>
      </w:r>
      <w:r w:rsidR="0080260B" w:rsidRPr="002A28E1">
        <w:t xml:space="preserve">integrated </w:t>
      </w:r>
      <w:r w:rsidR="00B06082" w:rsidRPr="002A28E1">
        <w:t xml:space="preserve">the broad concept of </w:t>
      </w:r>
      <w:r w:rsidR="0080260B" w:rsidRPr="00500A4D">
        <w:t>supported decision-making into its legislation.</w:t>
      </w:r>
      <w:bookmarkStart w:id="56" w:name="_Ref15300570"/>
      <w:r w:rsidR="00F02496" w:rsidRPr="00500A4D">
        <w:rPr>
          <w:rStyle w:val="FootnoteReference"/>
        </w:rPr>
        <w:footnoteReference w:id="462"/>
      </w:r>
      <w:bookmarkEnd w:id="56"/>
      <w:r w:rsidR="003D6803" w:rsidRPr="00500A4D">
        <w:t xml:space="preserve"> Croatia ratified the CRPD in 2007</w:t>
      </w:r>
      <w:r w:rsidR="000828E2" w:rsidRPr="00500A4D">
        <w:t>.</w:t>
      </w:r>
      <w:r w:rsidR="00F02496" w:rsidRPr="00500A4D">
        <w:rPr>
          <w:rStyle w:val="FootnoteReference"/>
        </w:rPr>
        <w:footnoteReference w:id="463"/>
      </w:r>
      <w:r w:rsidR="000828E2" w:rsidRPr="00500A4D">
        <w:t xml:space="preserve"> </w:t>
      </w:r>
      <w:r w:rsidR="00322B2D" w:rsidRPr="00500A4D">
        <w:t>T</w:t>
      </w:r>
      <w:r w:rsidR="000828E2" w:rsidRPr="00500A4D">
        <w:t xml:space="preserve">he government declared that it was going to undertake a reform of </w:t>
      </w:r>
      <w:r w:rsidR="00524777" w:rsidRPr="00500A4D">
        <w:t xml:space="preserve">Croatian </w:t>
      </w:r>
      <w:r w:rsidR="000828E2" w:rsidRPr="00500A4D">
        <w:t>family law</w:t>
      </w:r>
      <w:r w:rsidR="00016D19" w:rsidRPr="00500A4D">
        <w:t xml:space="preserve"> in 2013.</w:t>
      </w:r>
      <w:r w:rsidR="008E1143" w:rsidRPr="00500A4D">
        <w:rPr>
          <w:rStyle w:val="FootnoteReference"/>
        </w:rPr>
        <w:footnoteReference w:id="464"/>
      </w:r>
      <w:r w:rsidR="00016D19" w:rsidRPr="00500A4D">
        <w:t xml:space="preserve"> Subsequently,</w:t>
      </w:r>
      <w:r w:rsidR="00E6571C" w:rsidRPr="00500A4D">
        <w:t xml:space="preserve"> </w:t>
      </w:r>
      <w:r w:rsidR="00016D19" w:rsidRPr="00500A4D">
        <w:t>t</w:t>
      </w:r>
      <w:r w:rsidR="005C41ED" w:rsidRPr="00500A4D">
        <w:t>he Association for Social Affirmation of People with Psychosocial Disabilities (SHINE)</w:t>
      </w:r>
      <w:r w:rsidR="00236781" w:rsidRPr="00500A4D">
        <w:t>, the Mental</w:t>
      </w:r>
      <w:r w:rsidR="0003417A" w:rsidRPr="00500A4D">
        <w:t xml:space="preserve"> Disability </w:t>
      </w:r>
      <w:r w:rsidR="0079482E" w:rsidRPr="00500A4D">
        <w:t>Advocacy</w:t>
      </w:r>
      <w:r w:rsidR="0003417A" w:rsidRPr="00500A4D">
        <w:t xml:space="preserve"> Centre (MDAC)</w:t>
      </w:r>
      <w:r w:rsidR="00355C0E" w:rsidRPr="00500A4D">
        <w:t>,</w:t>
      </w:r>
      <w:r w:rsidR="00D008FB" w:rsidRPr="00500A4D">
        <w:t xml:space="preserve"> and </w:t>
      </w:r>
      <w:r w:rsidR="00EC1BE0" w:rsidRPr="00500A4D">
        <w:t xml:space="preserve">several other civil society organizations </w:t>
      </w:r>
      <w:r w:rsidR="001C40D7" w:rsidRPr="00500A4D">
        <w:t>engaged</w:t>
      </w:r>
      <w:r w:rsidR="00D97646" w:rsidRPr="00500A4D">
        <w:t xml:space="preserve"> in</w:t>
      </w:r>
      <w:r w:rsidR="00EC1BE0" w:rsidRPr="00500A4D">
        <w:t xml:space="preserve"> public discussions and advised the government to</w:t>
      </w:r>
      <w:r w:rsidR="001E384C" w:rsidRPr="00500A4D">
        <w:t xml:space="preserve"> reform its legislation </w:t>
      </w:r>
      <w:r w:rsidR="00B4436C" w:rsidRPr="00500A4D">
        <w:t xml:space="preserve">in conformity </w:t>
      </w:r>
      <w:r w:rsidR="00F82AD1" w:rsidRPr="00500A4D">
        <w:t>with Article 12 of the CRPD.</w:t>
      </w:r>
      <w:r w:rsidR="00783289" w:rsidRPr="00500A4D">
        <w:rPr>
          <w:rStyle w:val="FootnoteReference"/>
        </w:rPr>
        <w:footnoteReference w:id="465"/>
      </w:r>
    </w:p>
    <w:p w14:paraId="5E3F1AB2" w14:textId="35F00731" w:rsidR="00783289" w:rsidRPr="002A28E1" w:rsidRDefault="00783289"/>
    <w:p w14:paraId="1EBF27A8" w14:textId="7A18FC62" w:rsidR="00F668A2" w:rsidRPr="002A28E1" w:rsidRDefault="00477012" w:rsidP="00F668A2">
      <w:r w:rsidRPr="002A28E1">
        <w:t>The resulting 2014 Family Act</w:t>
      </w:r>
      <w:r w:rsidR="00A16736" w:rsidRPr="002A28E1">
        <w:t xml:space="preserve"> </w:t>
      </w:r>
      <w:r w:rsidR="006F6336" w:rsidRPr="002A28E1">
        <w:t xml:space="preserve">eliminated </w:t>
      </w:r>
      <w:r w:rsidR="009C62A4" w:rsidRPr="002A28E1">
        <w:t xml:space="preserve">full guardianship </w:t>
      </w:r>
      <w:r w:rsidR="00EC715B" w:rsidRPr="002A28E1">
        <w:t xml:space="preserve">and </w:t>
      </w:r>
      <w:r w:rsidR="007B0FE2" w:rsidRPr="002A28E1">
        <w:t xml:space="preserve">the </w:t>
      </w:r>
      <w:r w:rsidR="00EC715B" w:rsidRPr="002A28E1">
        <w:t xml:space="preserve">complete </w:t>
      </w:r>
      <w:r w:rsidR="008C09D9" w:rsidRPr="002A28E1">
        <w:t>deprivation</w:t>
      </w:r>
      <w:r w:rsidR="00EC715B" w:rsidRPr="002A28E1">
        <w:t xml:space="preserve"> of legal capacity.</w:t>
      </w:r>
      <w:r w:rsidR="00726813">
        <w:rPr>
          <w:rStyle w:val="FootnoteReference"/>
        </w:rPr>
        <w:footnoteReference w:id="466"/>
      </w:r>
      <w:r w:rsidR="00AD63D2" w:rsidRPr="002A28E1">
        <w:t xml:space="preserve"> </w:t>
      </w:r>
      <w:r w:rsidR="008C09D9" w:rsidRPr="002A28E1">
        <w:t xml:space="preserve">The </w:t>
      </w:r>
      <w:r w:rsidR="002313BB" w:rsidRPr="002A28E1">
        <w:t xml:space="preserve">law </w:t>
      </w:r>
      <w:r w:rsidR="00834EFC" w:rsidRPr="002A28E1">
        <w:t xml:space="preserve">demands that </w:t>
      </w:r>
      <w:r w:rsidR="00B96EE2" w:rsidRPr="002A28E1">
        <w:t xml:space="preserve">courts review all </w:t>
      </w:r>
      <w:r w:rsidR="00D9717E" w:rsidRPr="002A28E1">
        <w:t xml:space="preserve">existing guardianships </w:t>
      </w:r>
      <w:r w:rsidR="00E3673D" w:rsidRPr="002A28E1">
        <w:t>within five years</w:t>
      </w:r>
      <w:r w:rsidR="001D73DD" w:rsidRPr="002A28E1">
        <w:t xml:space="preserve"> in order to </w:t>
      </w:r>
      <w:r w:rsidR="00C806AE" w:rsidRPr="002A28E1">
        <w:t>restore partial or complete legal capacit</w:t>
      </w:r>
      <w:r w:rsidR="003608A6" w:rsidRPr="002A28E1">
        <w:t>y</w:t>
      </w:r>
      <w:r w:rsidR="00BD669F" w:rsidRPr="002A28E1">
        <w:t xml:space="preserve"> to the concerned individuals</w:t>
      </w:r>
      <w:r w:rsidR="003608A6" w:rsidRPr="002A28E1">
        <w:t>.</w:t>
      </w:r>
      <w:r w:rsidR="004E6038">
        <w:rPr>
          <w:rStyle w:val="FootnoteReference"/>
        </w:rPr>
        <w:footnoteReference w:id="467"/>
      </w:r>
      <w:r w:rsidR="008C6036" w:rsidRPr="002A28E1">
        <w:t xml:space="preserve"> Nevertheless, </w:t>
      </w:r>
      <w:r w:rsidR="00F26118" w:rsidRPr="002A28E1">
        <w:t>the</w:t>
      </w:r>
      <w:r w:rsidR="009B0B90" w:rsidRPr="002A28E1">
        <w:t xml:space="preserve"> </w:t>
      </w:r>
      <w:r w:rsidR="00742CAA" w:rsidRPr="002A28E1">
        <w:t xml:space="preserve">new </w:t>
      </w:r>
      <w:r w:rsidR="009B0B90" w:rsidRPr="002A28E1">
        <w:t xml:space="preserve">law still allows </w:t>
      </w:r>
      <w:proofErr w:type="gramStart"/>
      <w:r w:rsidR="009B0B90" w:rsidRPr="002A28E1">
        <w:t>for Croatian</w:t>
      </w:r>
      <w:proofErr w:type="gramEnd"/>
      <w:r w:rsidR="009B0B90" w:rsidRPr="002A28E1">
        <w:t xml:space="preserve"> courts to restrict legal capacity </w:t>
      </w:r>
      <w:r w:rsidR="00F12CB8" w:rsidRPr="002A28E1">
        <w:t xml:space="preserve">and impose partial guardianship </w:t>
      </w:r>
      <w:r w:rsidR="00523083" w:rsidRPr="002A28E1">
        <w:t xml:space="preserve">to “ensure the protection of the rights and interests in an area where a person’s </w:t>
      </w:r>
      <w:r w:rsidR="00FA7146" w:rsidRPr="002A28E1">
        <w:t xml:space="preserve">legal capacity has been </w:t>
      </w:r>
      <w:r w:rsidR="00DA6E8D" w:rsidRPr="002A28E1">
        <w:t>limited by a court decision.”</w:t>
      </w:r>
      <w:r w:rsidR="00DA6E8D" w:rsidRPr="002A28E1">
        <w:rPr>
          <w:rStyle w:val="FootnoteReference"/>
        </w:rPr>
        <w:footnoteReference w:id="468"/>
      </w:r>
      <w:r w:rsidR="009A1D2B" w:rsidRPr="002A28E1">
        <w:t xml:space="preserve"> Restrictions on legal capacity</w:t>
      </w:r>
      <w:r w:rsidR="005A523B" w:rsidRPr="002A28E1">
        <w:t xml:space="preserve"> in a given area</w:t>
      </w:r>
      <w:r w:rsidR="009A1D2B" w:rsidRPr="002A28E1">
        <w:t xml:space="preserve"> </w:t>
      </w:r>
      <w:r w:rsidR="002B7AE1" w:rsidRPr="002A28E1">
        <w:t xml:space="preserve">rely on </w:t>
      </w:r>
      <w:r w:rsidR="00AD6075" w:rsidRPr="002A28E1">
        <w:t>a medical ex</w:t>
      </w:r>
      <w:r w:rsidR="00A93694" w:rsidRPr="002A28E1">
        <w:t xml:space="preserve">pert’s </w:t>
      </w:r>
      <w:r w:rsidR="008D55D3" w:rsidRPr="002A28E1">
        <w:t>evaluation of the given person’s health condition</w:t>
      </w:r>
      <w:r w:rsidR="00CF6A1D" w:rsidRPr="002A28E1">
        <w:t xml:space="preserve"> and “the impact the health condition</w:t>
      </w:r>
      <w:r w:rsidR="00CB543D" w:rsidRPr="002A28E1">
        <w:t xml:space="preserve"> has on the ability of the person concerned to protect or enda</w:t>
      </w:r>
      <w:r w:rsidR="00D415E8" w:rsidRPr="002A28E1">
        <w:t>n</w:t>
      </w:r>
      <w:r w:rsidR="00CB543D" w:rsidRPr="002A28E1">
        <w:t xml:space="preserve">ger their rights and interests </w:t>
      </w:r>
      <w:r w:rsidR="00E43DA4" w:rsidRPr="002A28E1">
        <w:t>of others.”</w:t>
      </w:r>
      <w:r w:rsidR="00E43DA4" w:rsidRPr="002A28E1">
        <w:rPr>
          <w:rStyle w:val="FootnoteReference"/>
        </w:rPr>
        <w:footnoteReference w:id="469"/>
      </w:r>
      <w:r w:rsidR="00AA5D8B" w:rsidRPr="002A28E1">
        <w:t xml:space="preserve"> </w:t>
      </w:r>
      <w:r w:rsidR="00C843F4" w:rsidRPr="002A28E1">
        <w:t xml:space="preserve">The Act stipulates that </w:t>
      </w:r>
      <w:r w:rsidR="000955D6" w:rsidRPr="002A28E1">
        <w:t xml:space="preserve">persons </w:t>
      </w:r>
      <w:proofErr w:type="gramStart"/>
      <w:r w:rsidR="00AC0E67" w:rsidRPr="002A28E1">
        <w:t xml:space="preserve">can </w:t>
      </w:r>
      <w:r w:rsidR="006551A0" w:rsidRPr="002A28E1">
        <w:t>be deprived</w:t>
      </w:r>
      <w:proofErr w:type="gramEnd"/>
      <w:r w:rsidR="006551A0" w:rsidRPr="002A28E1">
        <w:t xml:space="preserve"> of legal capacity in</w:t>
      </w:r>
      <w:r w:rsidR="0056123B" w:rsidRPr="002A28E1">
        <w:t xml:space="preserve"> actions relating to</w:t>
      </w:r>
      <w:r w:rsidR="006551A0" w:rsidRPr="002A28E1">
        <w:t xml:space="preserve"> “personal matters”</w:t>
      </w:r>
      <w:r w:rsidR="00151BB9" w:rsidRPr="002A28E1">
        <w:t xml:space="preserve"> or “property.”</w:t>
      </w:r>
      <w:r w:rsidR="00C7472E" w:rsidRPr="002A28E1">
        <w:rPr>
          <w:rStyle w:val="FootnoteReference"/>
        </w:rPr>
        <w:footnoteReference w:id="470"/>
      </w:r>
      <w:r w:rsidR="00C7472E" w:rsidRPr="002A28E1">
        <w:t xml:space="preserve"> The </w:t>
      </w:r>
      <w:r w:rsidR="00717B56" w:rsidRPr="002A28E1">
        <w:t xml:space="preserve">Act </w:t>
      </w:r>
      <w:r w:rsidR="00B45CAD" w:rsidRPr="002A28E1">
        <w:t>lists</w:t>
      </w:r>
      <w:r w:rsidR="00A2767D" w:rsidRPr="002A28E1">
        <w:t xml:space="preserve"> </w:t>
      </w:r>
      <w:r w:rsidR="00BE2932" w:rsidRPr="002A28E1">
        <w:t>legal actions</w:t>
      </w:r>
      <w:r w:rsidR="00D607E1" w:rsidRPr="002A28E1">
        <w:t xml:space="preserve"> pertaining to </w:t>
      </w:r>
      <w:r w:rsidR="0064093A" w:rsidRPr="002A28E1">
        <w:t xml:space="preserve">name </w:t>
      </w:r>
      <w:r w:rsidR="00D607E1" w:rsidRPr="002A28E1">
        <w:t>change</w:t>
      </w:r>
      <w:r w:rsidR="000C06E0" w:rsidRPr="002A28E1">
        <w:t>s</w:t>
      </w:r>
      <w:r w:rsidR="00D607E1" w:rsidRPr="002A28E1">
        <w:t xml:space="preserve">, </w:t>
      </w:r>
      <w:r w:rsidR="0064093A" w:rsidRPr="002A28E1">
        <w:t>marriage, pare</w:t>
      </w:r>
      <w:r w:rsidR="00696E30" w:rsidRPr="002A28E1">
        <w:t>nthood</w:t>
      </w:r>
      <w:r w:rsidR="0023510C" w:rsidRPr="002A28E1">
        <w:t xml:space="preserve"> decisions on health, place of residence </w:t>
      </w:r>
      <w:r w:rsidR="0090785C" w:rsidRPr="002A28E1">
        <w:t>and employment</w:t>
      </w:r>
      <w:r w:rsidR="00475909" w:rsidRPr="002A28E1">
        <w:t xml:space="preserve"> as </w:t>
      </w:r>
      <w:r w:rsidR="00836521" w:rsidRPr="002A28E1">
        <w:t>examples of “personal matters,”</w:t>
      </w:r>
      <w:r w:rsidR="00A3309B" w:rsidRPr="002A28E1">
        <w:t xml:space="preserve"> and specifies that “property” </w:t>
      </w:r>
      <w:proofErr w:type="gramStart"/>
      <w:r w:rsidR="00A3309B" w:rsidRPr="002A28E1">
        <w:t>relates</w:t>
      </w:r>
      <w:proofErr w:type="gramEnd"/>
      <w:r w:rsidR="00A3309B" w:rsidRPr="002A28E1">
        <w:t xml:space="preserve"> to the management of property, salary or other regular income.</w:t>
      </w:r>
      <w:r w:rsidR="0014744C" w:rsidRPr="002A28E1">
        <w:rPr>
          <w:rStyle w:val="FootnoteReference"/>
        </w:rPr>
        <w:footnoteReference w:id="471"/>
      </w:r>
      <w:r w:rsidR="00F668A2" w:rsidRPr="002A28E1">
        <w:t xml:space="preserve"> Although the Family Act encourages guardians to embrace the wishes of the concerned person, it states that personal preferences </w:t>
      </w:r>
      <w:proofErr w:type="gramStart"/>
      <w:r w:rsidR="00F668A2" w:rsidRPr="002A28E1">
        <w:t>shall be overridden</w:t>
      </w:r>
      <w:proofErr w:type="gramEnd"/>
      <w:r w:rsidR="00F668A2" w:rsidRPr="002A28E1">
        <w:t xml:space="preserve"> when the guardian views them as inconsistent with the person’s “best interests” (with the “best interests” evaluated from the guardian’s perspective).</w:t>
      </w:r>
      <w:r w:rsidR="00F668A2" w:rsidRPr="002A28E1">
        <w:rPr>
          <w:rStyle w:val="FootnoteReference"/>
        </w:rPr>
        <w:footnoteReference w:id="472"/>
      </w:r>
    </w:p>
    <w:p w14:paraId="64B8144F" w14:textId="04F0179C" w:rsidR="00422EF0" w:rsidRPr="002A28E1" w:rsidRDefault="00422EF0"/>
    <w:p w14:paraId="3AAB8214" w14:textId="44FEF481" w:rsidR="008F4589" w:rsidRPr="002A28E1" w:rsidRDefault="00306C28">
      <w:r w:rsidRPr="002A28E1">
        <w:t xml:space="preserve">The Family Act </w:t>
      </w:r>
      <w:proofErr w:type="gramStart"/>
      <w:r w:rsidR="008703DD">
        <w:t>asserts</w:t>
      </w:r>
      <w:r w:rsidR="00A1108F" w:rsidRPr="002A28E1">
        <w:t xml:space="preserve"> that</w:t>
      </w:r>
      <w:proofErr w:type="gramEnd"/>
      <w:r w:rsidR="00A1108F" w:rsidRPr="002A28E1">
        <w:t xml:space="preserve"> “protection of persons with disabilities, if possible, should be secured by other means and measures… before a decision on deprivation of legal capacity and guardianship is made.”</w:t>
      </w:r>
      <w:r w:rsidR="00062FFC" w:rsidRPr="002A28E1">
        <w:rPr>
          <w:rStyle w:val="FootnoteReference"/>
        </w:rPr>
        <w:footnoteReference w:id="473"/>
      </w:r>
      <w:r w:rsidR="002B2200" w:rsidRPr="002A28E1">
        <w:t xml:space="preserve"> The law </w:t>
      </w:r>
      <w:proofErr w:type="gramStart"/>
      <w:r w:rsidR="002B2200" w:rsidRPr="002A28E1">
        <w:t xml:space="preserve">does not, however, </w:t>
      </w:r>
      <w:r w:rsidR="00483EA4" w:rsidRPr="002A28E1">
        <w:t>describe</w:t>
      </w:r>
      <w:proofErr w:type="gramEnd"/>
      <w:r w:rsidR="00483EA4" w:rsidRPr="002A28E1">
        <w:t xml:space="preserve"> </w:t>
      </w:r>
      <w:r w:rsidR="00C739FC" w:rsidRPr="002A28E1">
        <w:t>what</w:t>
      </w:r>
      <w:r w:rsidR="00483EA4" w:rsidRPr="002A28E1">
        <w:t xml:space="preserve"> alternative</w:t>
      </w:r>
      <w:r w:rsidR="002B2200" w:rsidRPr="002A28E1">
        <w:t xml:space="preserve"> </w:t>
      </w:r>
      <w:r w:rsidR="00483EA4" w:rsidRPr="002A28E1">
        <w:t>protective measures</w:t>
      </w:r>
      <w:r w:rsidR="004E3993" w:rsidRPr="002A28E1">
        <w:t xml:space="preserve"> </w:t>
      </w:r>
      <w:r w:rsidR="00524959" w:rsidRPr="002A28E1">
        <w:t>sh</w:t>
      </w:r>
      <w:r w:rsidR="004E3993" w:rsidRPr="002A28E1">
        <w:t>ould be resorted to.</w:t>
      </w:r>
      <w:r w:rsidR="00E35100" w:rsidRPr="002A28E1">
        <w:rPr>
          <w:rStyle w:val="FootnoteReference"/>
        </w:rPr>
        <w:footnoteReference w:id="474"/>
      </w:r>
      <w:r w:rsidR="00FA218F" w:rsidRPr="002A28E1">
        <w:t xml:space="preserve"> </w:t>
      </w:r>
    </w:p>
    <w:p w14:paraId="761F1653" w14:textId="77777777" w:rsidR="008F4589" w:rsidRPr="002A28E1" w:rsidRDefault="008F4589"/>
    <w:p w14:paraId="7F59D525" w14:textId="60AA08C3" w:rsidR="00D7101C" w:rsidRPr="002A28E1" w:rsidRDefault="00D7101C">
      <w:r w:rsidRPr="002A28E1">
        <w:lastRenderedPageBreak/>
        <w:t xml:space="preserve">The new Family Act </w:t>
      </w:r>
      <w:r w:rsidR="004D19D0" w:rsidRPr="002A28E1">
        <w:t xml:space="preserve">does introduce </w:t>
      </w:r>
      <w:r w:rsidRPr="002A28E1">
        <w:t>the notion of supported</w:t>
      </w:r>
      <w:r w:rsidR="00E453E1" w:rsidRPr="002A28E1">
        <w:t xml:space="preserve"> decision-making for persons with disabilities, </w:t>
      </w:r>
      <w:proofErr w:type="gramStart"/>
      <w:r w:rsidR="00E453E1" w:rsidRPr="002A28E1">
        <w:t>affirming that</w:t>
      </w:r>
      <w:proofErr w:type="gramEnd"/>
      <w:r w:rsidR="00E453E1" w:rsidRPr="002A28E1">
        <w:t xml:space="preserve"> “there is a need to encourage and support people deprived of legal capacity </w:t>
      </w:r>
      <w:r w:rsidR="00D91E2B" w:rsidRPr="002A28E1">
        <w:t>in their enjoyment of the right to community participation and independent decision-making.”</w:t>
      </w:r>
      <w:r w:rsidR="00335201" w:rsidRPr="002A28E1">
        <w:rPr>
          <w:rStyle w:val="FootnoteReference"/>
        </w:rPr>
        <w:footnoteReference w:id="475"/>
      </w:r>
      <w:r w:rsidR="00B15DB1" w:rsidRPr="002A28E1">
        <w:t xml:space="preserve"> </w:t>
      </w:r>
    </w:p>
    <w:p w14:paraId="51647FE6" w14:textId="178B84CE" w:rsidR="007C1707" w:rsidRPr="002A28E1" w:rsidRDefault="007C1707"/>
    <w:p w14:paraId="671890C5" w14:textId="5649C096" w:rsidR="008F4589" w:rsidRPr="003241FE" w:rsidRDefault="007606D7">
      <w:r w:rsidRPr="002A28E1">
        <w:t>The Family Act</w:t>
      </w:r>
      <w:r w:rsidR="009E16C1" w:rsidRPr="002A28E1">
        <w:t xml:space="preserve"> contravenes Article 12</w:t>
      </w:r>
      <w:r w:rsidR="00DA573B" w:rsidRPr="002A28E1">
        <w:t xml:space="preserve"> of the CRPD</w:t>
      </w:r>
      <w:r w:rsidR="009E16C1" w:rsidRPr="002A28E1">
        <w:t xml:space="preserve"> in that it</w:t>
      </w:r>
      <w:r w:rsidRPr="002A28E1">
        <w:t xml:space="preserve"> </w:t>
      </w:r>
      <w:r w:rsidR="00804A62" w:rsidRPr="002A28E1">
        <w:t xml:space="preserve">does not recognise full legal capacity for all </w:t>
      </w:r>
      <w:r w:rsidR="00804A62" w:rsidRPr="003241FE">
        <w:t>persons with disabilities. It problematically allows for partial restrictions of legal capacity based on an assessment of a person’s mental capacity</w:t>
      </w:r>
      <w:r w:rsidR="00095939" w:rsidRPr="003241FE">
        <w:t xml:space="preserve"> and their diagnosis of a certain “health condition”</w:t>
      </w:r>
      <w:r w:rsidRPr="003241FE">
        <w:t>.</w:t>
      </w:r>
      <w:r w:rsidRPr="003241FE">
        <w:rPr>
          <w:rStyle w:val="FootnoteReference"/>
        </w:rPr>
        <w:footnoteReference w:id="476"/>
      </w:r>
      <w:r w:rsidR="000827C1" w:rsidRPr="003241FE">
        <w:t xml:space="preserve"> Moreover, t</w:t>
      </w:r>
      <w:r w:rsidR="007C1707" w:rsidRPr="003241FE">
        <w:t>he Family Act’s retention of the institution of guardianship violat</w:t>
      </w:r>
      <w:r w:rsidR="00534501" w:rsidRPr="003241FE">
        <w:t xml:space="preserve">es </w:t>
      </w:r>
      <w:r w:rsidR="007C1707" w:rsidRPr="003241FE">
        <w:t xml:space="preserve">Article 12 </w:t>
      </w:r>
      <w:r w:rsidR="006819B0" w:rsidRPr="003241FE">
        <w:t xml:space="preserve">of the </w:t>
      </w:r>
      <w:r w:rsidR="007C1707" w:rsidRPr="003241FE">
        <w:t xml:space="preserve">CPRD. </w:t>
      </w:r>
      <w:r w:rsidR="00764B89" w:rsidRPr="003241FE">
        <w:t>T</w:t>
      </w:r>
      <w:r w:rsidR="00DF28C0" w:rsidRPr="003241FE">
        <w:t>he Committee on the Rights of Pe</w:t>
      </w:r>
      <w:r w:rsidR="00F152FD" w:rsidRPr="003241FE">
        <w:t>rsons</w:t>
      </w:r>
      <w:r w:rsidR="00DF28C0" w:rsidRPr="003241FE">
        <w:t xml:space="preserve"> with Disabilities </w:t>
      </w:r>
      <w:r w:rsidR="00AF669E" w:rsidRPr="003241FE">
        <w:t xml:space="preserve">has </w:t>
      </w:r>
      <w:r w:rsidR="00DF28C0" w:rsidRPr="003241FE">
        <w:t>urged Croatia to eliminate substitute decision-making.</w:t>
      </w:r>
      <w:r w:rsidR="00DF28C0" w:rsidRPr="003241FE">
        <w:rPr>
          <w:rStyle w:val="FootnoteReference"/>
        </w:rPr>
        <w:footnoteReference w:id="477"/>
      </w:r>
      <w:r w:rsidR="00DF28C0" w:rsidRPr="003241FE">
        <w:t xml:space="preserve"> </w:t>
      </w:r>
      <w:r w:rsidR="00AC6C57" w:rsidRPr="003241FE">
        <w:t xml:space="preserve">The fact that the modified legislation </w:t>
      </w:r>
      <w:proofErr w:type="gramStart"/>
      <w:r w:rsidR="00AC6C57" w:rsidRPr="003241FE">
        <w:t>is based</w:t>
      </w:r>
      <w:proofErr w:type="gramEnd"/>
      <w:r w:rsidR="00AC6C57" w:rsidRPr="003241FE">
        <w:t xml:space="preserve"> on the </w:t>
      </w:r>
      <w:r w:rsidR="00A73EAD" w:rsidRPr="003241FE">
        <w:t xml:space="preserve">“best interests” </w:t>
      </w:r>
      <w:r w:rsidR="00AC6C57" w:rsidRPr="003241FE">
        <w:t xml:space="preserve">paradigm rather than </w:t>
      </w:r>
      <w:r w:rsidR="00DE5E15" w:rsidRPr="003241FE">
        <w:t xml:space="preserve">the </w:t>
      </w:r>
      <w:r w:rsidR="004230FE" w:rsidRPr="003241FE">
        <w:t>“will and preferences”</w:t>
      </w:r>
      <w:r w:rsidR="00720AAA" w:rsidRPr="003241FE">
        <w:t xml:space="preserve"> model</w:t>
      </w:r>
      <w:r w:rsidR="004230FE" w:rsidRPr="003241FE">
        <w:t xml:space="preserve"> is also problematic from the point of view of Article 12.</w:t>
      </w:r>
      <w:r w:rsidR="004230FE" w:rsidRPr="003241FE">
        <w:rPr>
          <w:rStyle w:val="FootnoteReference"/>
        </w:rPr>
        <w:footnoteReference w:id="478"/>
      </w:r>
      <w:r w:rsidR="005D4D74" w:rsidRPr="003241FE">
        <w:t xml:space="preserve"> </w:t>
      </w:r>
    </w:p>
    <w:p w14:paraId="48D4F336" w14:textId="77777777" w:rsidR="008F4589" w:rsidRPr="003241FE" w:rsidRDefault="008F4589"/>
    <w:p w14:paraId="531355E8" w14:textId="4CC92532" w:rsidR="00F339E4" w:rsidRPr="003241FE" w:rsidRDefault="007A5341" w:rsidP="00F668A2">
      <w:r w:rsidRPr="003241FE">
        <w:t xml:space="preserve">In 2015, the UN Committee </w:t>
      </w:r>
      <w:r w:rsidR="007424D3" w:rsidRPr="003241FE">
        <w:t xml:space="preserve">suggested that Croatia </w:t>
      </w:r>
      <w:r w:rsidR="00784879" w:rsidRPr="003241FE">
        <w:t>“introduce legislation to provide a wide range of measures that respect the autonomy, will and preferences of persons</w:t>
      </w:r>
      <w:r w:rsidR="00760335" w:rsidRPr="003241FE">
        <w:t xml:space="preserve"> </w:t>
      </w:r>
      <w:r w:rsidR="00784879" w:rsidRPr="003241FE">
        <w:t>with disabilities, including their rights to give and withdraw from their individual informed consent for medical treatment, to access justice, to vote, to marry, to full parental rights and to work.</w:t>
      </w:r>
      <w:r w:rsidR="0064152D" w:rsidRPr="003241FE">
        <w:t>”</w:t>
      </w:r>
      <w:r w:rsidR="009E7B57" w:rsidRPr="003241FE">
        <w:rPr>
          <w:rStyle w:val="FootnoteReference"/>
        </w:rPr>
        <w:footnoteReference w:id="479"/>
      </w:r>
      <w:r w:rsidR="00784A9B" w:rsidRPr="003241FE">
        <w:t xml:space="preserve"> The Committee also recommended</w:t>
      </w:r>
      <w:r w:rsidR="00784A9B" w:rsidRPr="002A28E1">
        <w:t xml:space="preserve"> that Croatia </w:t>
      </w:r>
      <w:r w:rsidR="00FD028B" w:rsidRPr="002A28E1">
        <w:t xml:space="preserve">put in place </w:t>
      </w:r>
      <w:r w:rsidR="00382C18" w:rsidRPr="002A28E1">
        <w:t>supported decision-making</w:t>
      </w:r>
      <w:r w:rsidR="001D50A3" w:rsidRPr="002A28E1">
        <w:t xml:space="preserve"> </w:t>
      </w:r>
      <w:proofErr w:type="gramStart"/>
      <w:r w:rsidR="001D50A3" w:rsidRPr="002A28E1">
        <w:t>in line with the Convention</w:t>
      </w:r>
      <w:r w:rsidR="00D6590C" w:rsidRPr="002A28E1">
        <w:t xml:space="preserve"> </w:t>
      </w:r>
      <w:r w:rsidR="00D6590C" w:rsidRPr="003241FE">
        <w:t xml:space="preserve">and to train social workers, legal professionals and public authorities on the </w:t>
      </w:r>
      <w:r w:rsidR="0030152C" w:rsidRPr="003241FE">
        <w:t xml:space="preserve">rights contained in </w:t>
      </w:r>
      <w:r w:rsidR="00F156B1" w:rsidRPr="003241FE">
        <w:t xml:space="preserve">the </w:t>
      </w:r>
      <w:r w:rsidR="002A271E" w:rsidRPr="003241FE">
        <w:t xml:space="preserve">Convention </w:t>
      </w:r>
      <w:r w:rsidR="009133AC" w:rsidRPr="003241FE">
        <w:t xml:space="preserve">in order to achieve this </w:t>
      </w:r>
      <w:r w:rsidR="009A32BA" w:rsidRPr="003241FE">
        <w:t>aim</w:t>
      </w:r>
      <w:proofErr w:type="gramEnd"/>
      <w:r w:rsidR="009A32BA" w:rsidRPr="003241FE">
        <w:t>.</w:t>
      </w:r>
      <w:r w:rsidR="0049039A" w:rsidRPr="003241FE">
        <w:rPr>
          <w:rStyle w:val="FootnoteReference"/>
        </w:rPr>
        <w:footnoteReference w:id="480"/>
      </w:r>
      <w:r w:rsidR="004603DC" w:rsidRPr="003241FE">
        <w:t xml:space="preserve"> The fact that Croatia has recognized supported decision</w:t>
      </w:r>
      <w:r w:rsidR="006D53AB" w:rsidRPr="003241FE">
        <w:t>-</w:t>
      </w:r>
      <w:r w:rsidR="004603DC" w:rsidRPr="003241FE">
        <w:t>making</w:t>
      </w:r>
      <w:r w:rsidR="00241513" w:rsidRPr="003241FE">
        <w:t xml:space="preserve"> in its national legislation is arguably a step </w:t>
      </w:r>
      <w:r w:rsidR="003558AB" w:rsidRPr="003241FE">
        <w:t xml:space="preserve">towards </w:t>
      </w:r>
      <w:r w:rsidR="00477CBA" w:rsidRPr="003241FE">
        <w:t>meeting the requirements of Article 12 of the CRPD, but</w:t>
      </w:r>
      <w:r w:rsidR="00F30B73" w:rsidRPr="003241FE">
        <w:t xml:space="preserve"> the concept of supported decision-making </w:t>
      </w:r>
      <w:proofErr w:type="gramStart"/>
      <w:r w:rsidR="00F30B73" w:rsidRPr="003241FE">
        <w:t>is not fleshed</w:t>
      </w:r>
      <w:proofErr w:type="gramEnd"/>
      <w:r w:rsidR="00F30B73" w:rsidRPr="003241FE">
        <w:t xml:space="preserve"> out in the legislation.</w:t>
      </w:r>
      <w:r w:rsidR="00225723" w:rsidRPr="003241FE">
        <w:t xml:space="preserve"> The legislation does not define support or how it </w:t>
      </w:r>
      <w:proofErr w:type="gramStart"/>
      <w:r w:rsidR="00225723" w:rsidRPr="003241FE">
        <w:t xml:space="preserve">would be </w:t>
      </w:r>
      <w:r w:rsidR="00FF193A" w:rsidRPr="003241FE">
        <w:t>applied</w:t>
      </w:r>
      <w:proofErr w:type="gramEnd"/>
      <w:r w:rsidR="00FF193A" w:rsidRPr="003241FE">
        <w:t xml:space="preserve"> in practice</w:t>
      </w:r>
      <w:r w:rsidR="00225723" w:rsidRPr="003241FE">
        <w:t xml:space="preserve"> in Croatia.</w:t>
      </w:r>
      <w:r w:rsidR="006C6FF5" w:rsidRPr="003241FE">
        <w:t xml:space="preserve"> The law </w:t>
      </w:r>
      <w:r w:rsidR="00F01783" w:rsidRPr="003241FE">
        <w:t>does</w:t>
      </w:r>
      <w:r w:rsidR="006C6FF5" w:rsidRPr="003241FE">
        <w:t xml:space="preserve"> not present a framework for supported decision</w:t>
      </w:r>
      <w:r w:rsidR="00BA6BC2" w:rsidRPr="003241FE">
        <w:t xml:space="preserve">-making </w:t>
      </w:r>
      <w:r w:rsidR="00FD7106" w:rsidRPr="003241FE">
        <w:t xml:space="preserve">to </w:t>
      </w:r>
      <w:proofErr w:type="gramStart"/>
      <w:r w:rsidR="00FD7106" w:rsidRPr="003241FE">
        <w:t>be overseen</w:t>
      </w:r>
      <w:proofErr w:type="gramEnd"/>
      <w:r w:rsidR="00FD7106" w:rsidRPr="003241FE">
        <w:t xml:space="preserve"> by a specific body or the court</w:t>
      </w:r>
      <w:r w:rsidR="00E87E30" w:rsidRPr="003241FE">
        <w:t>.</w:t>
      </w:r>
      <w:r w:rsidR="00CB67F9" w:rsidRPr="003241FE">
        <w:rPr>
          <w:rStyle w:val="FootnoteReference"/>
        </w:rPr>
        <w:footnoteReference w:id="481"/>
      </w:r>
      <w:r w:rsidR="007407F2" w:rsidRPr="003241FE">
        <w:t xml:space="preserve"> </w:t>
      </w:r>
      <w:r w:rsidR="00A10E34" w:rsidRPr="003241FE">
        <w:t>The</w:t>
      </w:r>
      <w:r w:rsidR="00344EFB" w:rsidRPr="003241FE">
        <w:t xml:space="preserve"> law does not </w:t>
      </w:r>
      <w:r w:rsidR="00A957E7" w:rsidRPr="003241FE">
        <w:t>include</w:t>
      </w:r>
      <w:r w:rsidR="00A10E34" w:rsidRPr="003241FE">
        <w:t xml:space="preserve"> safeguards against abuse in the supported decision-making process. </w:t>
      </w:r>
      <w:r w:rsidR="007407F2" w:rsidRPr="003241FE">
        <w:t xml:space="preserve">Moreover, the law also </w:t>
      </w:r>
      <w:r w:rsidR="00CD0C5C" w:rsidRPr="003241FE">
        <w:t>limits the availability of supported decision-making to “people d</w:t>
      </w:r>
      <w:r w:rsidR="001C75EA" w:rsidRPr="003241FE">
        <w:t>e</w:t>
      </w:r>
      <w:r w:rsidR="00CD0C5C" w:rsidRPr="003241FE">
        <w:t>prived of legal capacity.”</w:t>
      </w:r>
      <w:r w:rsidR="00190F01" w:rsidRPr="003241FE">
        <w:rPr>
          <w:rStyle w:val="FootnoteReference"/>
        </w:rPr>
        <w:footnoteReference w:id="482"/>
      </w:r>
      <w:r w:rsidR="00F71533" w:rsidRPr="003241FE">
        <w:t xml:space="preserve"> Th</w:t>
      </w:r>
      <w:r w:rsidR="008D24DE" w:rsidRPr="003241FE">
        <w:t>is goes against the ethos of Article 12, as</w:t>
      </w:r>
      <w:r w:rsidR="005C6C2C" w:rsidRPr="003241FE">
        <w:t xml:space="preserve"> the</w:t>
      </w:r>
      <w:r w:rsidR="00F71533" w:rsidRPr="003241FE">
        <w:t xml:space="preserve"> very goal of Article 12 is to help people to exercise their </w:t>
      </w:r>
      <w:r w:rsidR="00EA60E5" w:rsidRPr="003241FE">
        <w:t>legal capacity</w:t>
      </w:r>
      <w:r w:rsidR="00F71533" w:rsidRPr="003241FE">
        <w:t xml:space="preserve"> </w:t>
      </w:r>
      <w:r w:rsidR="00FE249F" w:rsidRPr="003241FE">
        <w:t xml:space="preserve">and </w:t>
      </w:r>
      <w:proofErr w:type="gramStart"/>
      <w:r w:rsidR="00F22974" w:rsidRPr="003241FE">
        <w:t xml:space="preserve">to </w:t>
      </w:r>
      <w:r w:rsidR="00AA0614" w:rsidRPr="003241FE">
        <w:t xml:space="preserve">meaningfully </w:t>
      </w:r>
      <w:r w:rsidR="00C075C5" w:rsidRPr="003241FE">
        <w:t>empower</w:t>
      </w:r>
      <w:proofErr w:type="gramEnd"/>
      <w:r w:rsidR="00C075C5" w:rsidRPr="003241FE">
        <w:t xml:space="preserve"> them in the decision-making process.</w:t>
      </w:r>
      <w:r w:rsidR="002B4197" w:rsidRPr="003241FE">
        <w:t xml:space="preserve"> </w:t>
      </w:r>
      <w:r w:rsidR="00F668A2" w:rsidRPr="003241FE">
        <w:t xml:space="preserve">The Croatian legislator has </w:t>
      </w:r>
      <w:r w:rsidR="002B4197" w:rsidRPr="003241FE">
        <w:t>thus</w:t>
      </w:r>
      <w:r w:rsidR="00602651" w:rsidRPr="003241FE">
        <w:t xml:space="preserve"> </w:t>
      </w:r>
      <w:r w:rsidR="00F668A2" w:rsidRPr="003241FE">
        <w:t>not presented supported decision-making as an alternative to the deprivation of legal capacity.</w:t>
      </w:r>
      <w:r w:rsidR="00F668A2" w:rsidRPr="003241FE">
        <w:rPr>
          <w:rStyle w:val="FootnoteReference"/>
        </w:rPr>
        <w:footnoteReference w:id="483"/>
      </w:r>
      <w:r w:rsidR="00F668A2" w:rsidRPr="003241FE">
        <w:t xml:space="preserve"> </w:t>
      </w:r>
    </w:p>
    <w:p w14:paraId="7977B47F" w14:textId="00547230" w:rsidR="008601BA" w:rsidRPr="003241FE" w:rsidRDefault="008601BA" w:rsidP="00F668A2"/>
    <w:p w14:paraId="42AD4D44" w14:textId="2AAE28DC" w:rsidR="008601BA" w:rsidRPr="002A28E1" w:rsidRDefault="008601BA" w:rsidP="00F668A2">
      <w:r w:rsidRPr="003241FE">
        <w:t xml:space="preserve">The legislation is also silent as to who should provide support to persons with disabilities (i.e. who should “encourage and support people deprived of legal capacity in their enjoyment of the </w:t>
      </w:r>
      <w:r w:rsidRPr="009F19C3">
        <w:lastRenderedPageBreak/>
        <w:t>right to community participation and independent decision-making”).</w:t>
      </w:r>
      <w:r w:rsidR="00CD4674" w:rsidRPr="009F19C3">
        <w:rPr>
          <w:rStyle w:val="FootnoteReference"/>
        </w:rPr>
        <w:footnoteReference w:id="484"/>
      </w:r>
      <w:r w:rsidRPr="009F19C3">
        <w:t xml:space="preserve"> </w:t>
      </w:r>
      <w:r w:rsidR="004F36E0" w:rsidRPr="009F19C3">
        <w:t xml:space="preserve">Human Rights Watch maintains that the </w:t>
      </w:r>
      <w:r w:rsidR="00B6221E" w:rsidRPr="009F19C3">
        <w:t>ambiguous</w:t>
      </w:r>
      <w:r w:rsidR="004F79C1" w:rsidRPr="009F19C3">
        <w:t xml:space="preserve"> wording of this provision</w:t>
      </w:r>
      <w:r w:rsidR="00194CE1" w:rsidRPr="009F19C3">
        <w:t xml:space="preserve"> </w:t>
      </w:r>
      <w:proofErr w:type="gramStart"/>
      <w:r w:rsidR="00194CE1" w:rsidRPr="009F19C3">
        <w:t>may have been intended</w:t>
      </w:r>
      <w:proofErr w:type="gramEnd"/>
      <w:r w:rsidR="00194CE1" w:rsidRPr="009F19C3">
        <w:t xml:space="preserve"> to limit the provision of support to the institution of guardianship.</w:t>
      </w:r>
      <w:r w:rsidR="00194CE1" w:rsidRPr="009F19C3">
        <w:rPr>
          <w:rStyle w:val="FootnoteReference"/>
        </w:rPr>
        <w:footnoteReference w:id="485"/>
      </w:r>
      <w:r w:rsidR="00194CE1" w:rsidRPr="009F19C3">
        <w:t xml:space="preserve"> </w:t>
      </w:r>
      <w:r w:rsidR="00CD4674" w:rsidRPr="009F19C3">
        <w:t>“</w:t>
      </w:r>
      <w:r w:rsidR="002C6109" w:rsidRPr="009F19C3">
        <w:t>Support”</w:t>
      </w:r>
      <w:r w:rsidR="00194CE1" w:rsidRPr="009F19C3">
        <w:t xml:space="preserve"> provided by the guardian </w:t>
      </w:r>
      <w:r w:rsidR="005E68A6" w:rsidRPr="009F19C3">
        <w:t>within a substitute decision-</w:t>
      </w:r>
      <w:r w:rsidR="00DB6435" w:rsidRPr="009F19C3">
        <w:t>making</w:t>
      </w:r>
      <w:r w:rsidR="005E68A6" w:rsidRPr="009F19C3">
        <w:t xml:space="preserve"> framework is</w:t>
      </w:r>
      <w:r w:rsidR="00DB6435" w:rsidRPr="009F19C3">
        <w:t xml:space="preserve"> certainly not the type of supported decision-making scheme contemplated by Article 12.</w:t>
      </w:r>
    </w:p>
    <w:p w14:paraId="2F927C41" w14:textId="21B58B2D" w:rsidR="008B0831" w:rsidRPr="002A28E1" w:rsidRDefault="008B0831"/>
    <w:p w14:paraId="5E614C1D" w14:textId="0BE8C1FE" w:rsidR="00C843F4" w:rsidRPr="002A28E1" w:rsidRDefault="004031D0" w:rsidP="00C843F4">
      <w:proofErr w:type="gramStart"/>
      <w:r w:rsidRPr="002A28E1">
        <w:t xml:space="preserve">In short, although </w:t>
      </w:r>
      <w:r w:rsidR="00E5621A" w:rsidRPr="002A28E1">
        <w:t xml:space="preserve">the notion of support appears in Croatia’s legislation, this seems to be more of an aspirational statement </w:t>
      </w:r>
      <w:r w:rsidR="00CF67B9">
        <w:t>about the desirability of providing support to persons with disabilities</w:t>
      </w:r>
      <w:r w:rsidR="00AD41BC">
        <w:t>,</w:t>
      </w:r>
      <w:r w:rsidR="00CF67B9">
        <w:t xml:space="preserve"> rather </w:t>
      </w:r>
      <w:r w:rsidR="00E5621A" w:rsidRPr="002A28E1">
        <w:t>than a provision</w:t>
      </w:r>
      <w:r w:rsidR="00447163" w:rsidRPr="002A28E1">
        <w:t xml:space="preserve"> with teeth that will lead to secure access to supported decision-making on the ground.</w:t>
      </w:r>
      <w:proofErr w:type="gramEnd"/>
    </w:p>
    <w:p w14:paraId="1EB857B2" w14:textId="2108FBD1" w:rsidR="00C843F4" w:rsidRPr="002A28E1" w:rsidRDefault="00C843F4" w:rsidP="00C843F4"/>
    <w:p w14:paraId="70B14495" w14:textId="5BA10927" w:rsidR="00C843F4" w:rsidRPr="002A28E1" w:rsidRDefault="00C843F4" w:rsidP="00C843F4"/>
    <w:p w14:paraId="4BE91547" w14:textId="47E22527" w:rsidR="00C843F4" w:rsidRPr="002A28E1" w:rsidRDefault="00C843F4">
      <w:r w:rsidRPr="002A28E1">
        <w:br w:type="page"/>
      </w:r>
    </w:p>
    <w:p w14:paraId="30FB7DD0" w14:textId="2E422CEA" w:rsidR="00AF4C0F" w:rsidRPr="002A28E1" w:rsidRDefault="00827591" w:rsidP="00162C99">
      <w:pPr>
        <w:pStyle w:val="Heading1"/>
      </w:pPr>
      <w:bookmarkStart w:id="57" w:name="_Toc16081761"/>
      <w:r w:rsidRPr="002A28E1">
        <w:lastRenderedPageBreak/>
        <w:t>Lithuania</w:t>
      </w:r>
      <w:bookmarkEnd w:id="57"/>
    </w:p>
    <w:p w14:paraId="5FB79479" w14:textId="64F7C09D" w:rsidR="009F08AE" w:rsidRPr="002A28E1" w:rsidRDefault="009277C8">
      <w:r w:rsidRPr="002A28E1">
        <w:t xml:space="preserve">The Lithuanian </w:t>
      </w:r>
      <w:r w:rsidR="00851976" w:rsidRPr="002A28E1">
        <w:t xml:space="preserve">Parliament </w:t>
      </w:r>
      <w:r w:rsidR="00AF7D91" w:rsidRPr="002A28E1">
        <w:t xml:space="preserve">passed amendments </w:t>
      </w:r>
      <w:r w:rsidR="004D28B9" w:rsidRPr="002A28E1">
        <w:t xml:space="preserve">to its Civil Code </w:t>
      </w:r>
      <w:r w:rsidR="00850213" w:rsidRPr="002A28E1">
        <w:t>in 2015</w:t>
      </w:r>
      <w:r w:rsidR="0068032D" w:rsidRPr="002A28E1">
        <w:t xml:space="preserve">, which </w:t>
      </w:r>
      <w:r w:rsidR="00BD20DD" w:rsidRPr="002A28E1">
        <w:t>introduced</w:t>
      </w:r>
      <w:r w:rsidR="002D4E71" w:rsidRPr="002A28E1">
        <w:t xml:space="preserve"> supported decision-making</w:t>
      </w:r>
      <w:r w:rsidR="0003210E" w:rsidRPr="002A28E1">
        <w:t xml:space="preserve">, </w:t>
      </w:r>
      <w:r w:rsidR="00884AF1" w:rsidRPr="002A28E1">
        <w:t xml:space="preserve">while </w:t>
      </w:r>
      <w:r w:rsidR="0000663C" w:rsidRPr="002A28E1">
        <w:t xml:space="preserve">concurrently </w:t>
      </w:r>
      <w:r w:rsidR="001049C3" w:rsidRPr="002A28E1">
        <w:t>retaining plenary guardianship.</w:t>
      </w:r>
      <w:bookmarkStart w:id="58" w:name="_Ref15300999"/>
      <w:r w:rsidR="00457C81">
        <w:rPr>
          <w:rStyle w:val="FootnoteReference"/>
        </w:rPr>
        <w:footnoteReference w:id="486"/>
      </w:r>
      <w:bookmarkEnd w:id="58"/>
      <w:r w:rsidR="00293CFD" w:rsidRPr="002A28E1">
        <w:t xml:space="preserve"> These amendments entered into effect in 2016.</w:t>
      </w:r>
      <w:r w:rsidR="00457C81">
        <w:rPr>
          <w:rStyle w:val="FootnoteReference"/>
        </w:rPr>
        <w:footnoteReference w:id="487"/>
      </w:r>
    </w:p>
    <w:p w14:paraId="7C032B5B" w14:textId="20A34EDA" w:rsidR="00484856" w:rsidRPr="002A28E1" w:rsidRDefault="00484856">
      <w:pPr>
        <w:rPr>
          <w:b/>
          <w:sz w:val="32"/>
          <w:szCs w:val="32"/>
        </w:rPr>
      </w:pPr>
    </w:p>
    <w:p w14:paraId="3414C05C" w14:textId="39C62716" w:rsidR="00484856" w:rsidRPr="002A28E1" w:rsidRDefault="00574327">
      <w:r w:rsidRPr="002A28E1">
        <w:t>Lithuania ratified the UN CRPD in 2010.</w:t>
      </w:r>
      <w:r w:rsidR="00457C81">
        <w:rPr>
          <w:rStyle w:val="FootnoteReference"/>
        </w:rPr>
        <w:footnoteReference w:id="488"/>
      </w:r>
      <w:r w:rsidRPr="002A28E1">
        <w:t xml:space="preserve"> </w:t>
      </w:r>
      <w:r w:rsidR="00784061" w:rsidRPr="002A28E1">
        <w:t xml:space="preserve">The Lithuanian Disability Forum has been </w:t>
      </w:r>
      <w:r w:rsidR="00495AEF" w:rsidRPr="002A28E1">
        <w:t xml:space="preserve">a key civil society actor engaged in the </w:t>
      </w:r>
      <w:proofErr w:type="gramStart"/>
      <w:r w:rsidR="00495AEF" w:rsidRPr="002A28E1">
        <w:t>Lithuanian law reform process</w:t>
      </w:r>
      <w:proofErr w:type="gramEnd"/>
      <w:r w:rsidR="00495AEF" w:rsidRPr="002A28E1">
        <w:t xml:space="preserve">. </w:t>
      </w:r>
      <w:r w:rsidR="00016AF8" w:rsidRPr="002A28E1">
        <w:t>Over the past decade, t</w:t>
      </w:r>
      <w:r w:rsidR="00BC69B5" w:rsidRPr="002A28E1">
        <w:t xml:space="preserve">he Lithuanian Disability Reform </w:t>
      </w:r>
      <w:r w:rsidR="00A82442" w:rsidRPr="002A28E1">
        <w:t>has</w:t>
      </w:r>
      <w:r w:rsidR="00E4017E" w:rsidRPr="002A28E1">
        <w:t xml:space="preserve"> monitor</w:t>
      </w:r>
      <w:r w:rsidR="000A438F" w:rsidRPr="002A28E1">
        <w:t>ed</w:t>
      </w:r>
      <w:r w:rsidR="00E4017E" w:rsidRPr="002A28E1">
        <w:t xml:space="preserve"> the government’s implementation of the CRPD and</w:t>
      </w:r>
      <w:r w:rsidR="008B4B1C" w:rsidRPr="002A28E1">
        <w:t xml:space="preserve"> has</w:t>
      </w:r>
      <w:r w:rsidR="00E4017E" w:rsidRPr="002A28E1">
        <w:t xml:space="preserve"> </w:t>
      </w:r>
      <w:r w:rsidR="009E6173" w:rsidRPr="002A28E1">
        <w:t>provid</w:t>
      </w:r>
      <w:r w:rsidR="009F421F" w:rsidRPr="002A28E1">
        <w:t>ed</w:t>
      </w:r>
      <w:r w:rsidR="009E6173" w:rsidRPr="002A28E1">
        <w:t xml:space="preserve"> advice as to how th</w:t>
      </w:r>
      <w:r w:rsidR="009B1101" w:rsidRPr="002A28E1">
        <w:t xml:space="preserve">e country’s legislation </w:t>
      </w:r>
      <w:proofErr w:type="gramStart"/>
      <w:r w:rsidR="009B1101" w:rsidRPr="002A28E1">
        <w:t>could be reformed</w:t>
      </w:r>
      <w:proofErr w:type="gramEnd"/>
      <w:r w:rsidR="009B1101" w:rsidRPr="002A28E1">
        <w:t xml:space="preserve"> to comply with the CRPD.</w:t>
      </w:r>
      <w:bookmarkStart w:id="59" w:name="_Ref15315615"/>
      <w:r w:rsidR="002D6582">
        <w:rPr>
          <w:rStyle w:val="FootnoteReference"/>
        </w:rPr>
        <w:footnoteReference w:id="489"/>
      </w:r>
      <w:bookmarkEnd w:id="59"/>
      <w:r w:rsidR="00A82442" w:rsidRPr="002A28E1">
        <w:t xml:space="preserve"> </w:t>
      </w:r>
      <w:r w:rsidR="002136F4" w:rsidRPr="002A28E1">
        <w:t xml:space="preserve">The Lithuanian Disability </w:t>
      </w:r>
      <w:r w:rsidR="00ED5D9F" w:rsidRPr="002A28E1">
        <w:t>Forum</w:t>
      </w:r>
      <w:r w:rsidR="002136F4" w:rsidRPr="002A28E1">
        <w:t xml:space="preserve"> </w:t>
      </w:r>
      <w:r w:rsidR="007F7228" w:rsidRPr="002A28E1">
        <w:t xml:space="preserve">strongly </w:t>
      </w:r>
      <w:r w:rsidR="00E4017E" w:rsidRPr="002A28E1">
        <w:t xml:space="preserve">advocated </w:t>
      </w:r>
      <w:r w:rsidR="00B255EB" w:rsidRPr="002A28E1">
        <w:t xml:space="preserve">for legal capacity legislation reform and </w:t>
      </w:r>
      <w:r w:rsidR="00C0044C">
        <w:t xml:space="preserve">the </w:t>
      </w:r>
      <w:r w:rsidR="00B255EB" w:rsidRPr="002A28E1">
        <w:t>intro</w:t>
      </w:r>
      <w:r w:rsidR="00210DD0" w:rsidRPr="002A28E1">
        <w:t>d</w:t>
      </w:r>
      <w:r w:rsidR="00B255EB" w:rsidRPr="002A28E1">
        <w:t>uction of supported</w:t>
      </w:r>
      <w:r w:rsidR="00210DD0" w:rsidRPr="002A28E1">
        <w:t xml:space="preserve"> decision-making </w:t>
      </w:r>
      <w:r w:rsidR="000A7A33" w:rsidRPr="002A28E1">
        <w:t>in Lithuania.</w:t>
      </w:r>
      <w:r w:rsidR="002D6582">
        <w:rPr>
          <w:rStyle w:val="FootnoteReference"/>
        </w:rPr>
        <w:footnoteReference w:id="490"/>
      </w:r>
      <w:r w:rsidR="000A7A33" w:rsidRPr="002A28E1">
        <w:t xml:space="preserve"> </w:t>
      </w:r>
      <w:r w:rsidR="00ED5D9F" w:rsidRPr="002A28E1">
        <w:t>Beginning in 2012, the Lithuanian Disability Forum</w:t>
      </w:r>
      <w:r w:rsidR="00E309F8" w:rsidRPr="002A28E1">
        <w:t xml:space="preserve"> </w:t>
      </w:r>
      <w:r w:rsidR="00516DDD" w:rsidRPr="002A28E1">
        <w:t xml:space="preserve">participated </w:t>
      </w:r>
      <w:r w:rsidR="00E77B79" w:rsidRPr="002A28E1">
        <w:t xml:space="preserve">in </w:t>
      </w:r>
      <w:r w:rsidR="009A0D6B" w:rsidRPr="002A28E1">
        <w:t xml:space="preserve">a working group </w:t>
      </w:r>
      <w:r w:rsidR="002536F3" w:rsidRPr="002A28E1">
        <w:t xml:space="preserve">to </w:t>
      </w:r>
      <w:r w:rsidR="00523B30" w:rsidRPr="002A28E1">
        <w:t xml:space="preserve">draft </w:t>
      </w:r>
      <w:r w:rsidR="001619B7" w:rsidRPr="002A28E1">
        <w:t>amended provisions</w:t>
      </w:r>
      <w:r w:rsidR="00E31838" w:rsidRPr="002A28E1">
        <w:t xml:space="preserve"> on legal capacity in the Civil Code and Code of Procedure</w:t>
      </w:r>
      <w:r w:rsidR="00981077" w:rsidRPr="002A28E1">
        <w:t>.</w:t>
      </w:r>
      <w:r w:rsidR="0036588B">
        <w:rPr>
          <w:rStyle w:val="FootnoteReference"/>
        </w:rPr>
        <w:footnoteReference w:id="491"/>
      </w:r>
      <w:r w:rsidR="00981077" w:rsidRPr="002A28E1">
        <w:t xml:space="preserve"> </w:t>
      </w:r>
    </w:p>
    <w:p w14:paraId="79B09210" w14:textId="05E067ED" w:rsidR="00E942F7" w:rsidRPr="002A28E1" w:rsidRDefault="00E942F7"/>
    <w:p w14:paraId="0CFFA92C" w14:textId="7F225CF1" w:rsidR="00E942F7" w:rsidRDefault="00E942F7">
      <w:r w:rsidRPr="002A28E1">
        <w:t>In addition to the advocacy work of the Lithuanian Disability Forum, a 2012 ruling by the European Court of Human Rights</w:t>
      </w:r>
      <w:r w:rsidR="000B1E31" w:rsidRPr="002A28E1">
        <w:t xml:space="preserve"> against Lithuania</w:t>
      </w:r>
      <w:r w:rsidR="000B1E31" w:rsidRPr="002A28E1">
        <w:rPr>
          <w:rStyle w:val="FootnoteReference"/>
        </w:rPr>
        <w:footnoteReference w:id="492"/>
      </w:r>
      <w:r w:rsidR="00C37912" w:rsidRPr="002A28E1">
        <w:t xml:space="preserve"> </w:t>
      </w:r>
      <w:proofErr w:type="gramStart"/>
      <w:r w:rsidR="00C37912" w:rsidRPr="002A28E1">
        <w:t xml:space="preserve">is also </w:t>
      </w:r>
      <w:r w:rsidR="00E078DF" w:rsidRPr="002A28E1">
        <w:t>considered</w:t>
      </w:r>
      <w:proofErr w:type="gramEnd"/>
      <w:r w:rsidR="00BF429A" w:rsidRPr="002A28E1">
        <w:t xml:space="preserve"> to have been</w:t>
      </w:r>
      <w:r w:rsidR="00C37912" w:rsidRPr="002A28E1">
        <w:t xml:space="preserve"> </w:t>
      </w:r>
      <w:r w:rsidR="001E1C5F" w:rsidRPr="002A28E1">
        <w:t>an impetus</w:t>
      </w:r>
      <w:r w:rsidR="003908BE" w:rsidRPr="002A28E1">
        <w:t xml:space="preserve"> </w:t>
      </w:r>
      <w:r w:rsidR="00CB71C8" w:rsidRPr="002A28E1">
        <w:t>for</w:t>
      </w:r>
      <w:r w:rsidR="00923142" w:rsidRPr="002A28E1">
        <w:t xml:space="preserve"> Lithuania’s legislative reform.</w:t>
      </w:r>
      <w:r w:rsidR="000D4464" w:rsidRPr="002A28E1">
        <w:rPr>
          <w:rStyle w:val="FootnoteReference"/>
        </w:rPr>
        <w:footnoteReference w:id="493"/>
      </w:r>
      <w:r w:rsidR="001E1C5F" w:rsidRPr="002A28E1">
        <w:t xml:space="preserve"> </w:t>
      </w:r>
      <w:r w:rsidR="00FC3FAD" w:rsidRPr="002A28E1">
        <w:t>This case</w:t>
      </w:r>
      <w:r w:rsidR="00AB1591" w:rsidRPr="002A28E1">
        <w:t xml:space="preserve"> was brought by</w:t>
      </w:r>
      <w:r w:rsidR="0081717B" w:rsidRPr="002A28E1">
        <w:t xml:space="preserve"> the</w:t>
      </w:r>
      <w:r w:rsidR="00A65EDF" w:rsidRPr="002A28E1">
        <w:t xml:space="preserve"> Human Rights Monitoring Institution </w:t>
      </w:r>
      <w:r w:rsidR="002C4D27" w:rsidRPr="002A28E1">
        <w:t xml:space="preserve">(a Lithuanian </w:t>
      </w:r>
      <w:r w:rsidR="003A5759" w:rsidRPr="002A28E1">
        <w:t>NGO)</w:t>
      </w:r>
      <w:r w:rsidR="00085CF2" w:rsidRPr="002A28E1">
        <w:t xml:space="preserve"> </w:t>
      </w:r>
      <w:r w:rsidR="00FD6C87" w:rsidRPr="002A28E1">
        <w:t xml:space="preserve">and </w:t>
      </w:r>
      <w:proofErr w:type="spellStart"/>
      <w:r w:rsidR="00C05656" w:rsidRPr="002A28E1">
        <w:t>Interights</w:t>
      </w:r>
      <w:proofErr w:type="spellEnd"/>
      <w:r w:rsidR="00C05656" w:rsidRPr="002A28E1">
        <w:t xml:space="preserve"> </w:t>
      </w:r>
      <w:r w:rsidR="00363491" w:rsidRPr="002A28E1">
        <w:t xml:space="preserve">(a </w:t>
      </w:r>
      <w:r w:rsidR="0095719F" w:rsidRPr="002A28E1">
        <w:t>British NGO)</w:t>
      </w:r>
      <w:r w:rsidR="00BD7ECD" w:rsidRPr="002A28E1">
        <w:t xml:space="preserve"> on behalf of an individual </w:t>
      </w:r>
      <w:r w:rsidR="008E2F0C" w:rsidRPr="002A28E1">
        <w:t>who had been stripped of</w:t>
      </w:r>
      <w:r w:rsidR="00BD7ECD" w:rsidRPr="002A28E1">
        <w:t xml:space="preserve"> </w:t>
      </w:r>
      <w:r w:rsidR="00EF6BF6" w:rsidRPr="002A28E1">
        <w:t>legal capacity</w:t>
      </w:r>
      <w:r w:rsidR="008E2F0C" w:rsidRPr="002A28E1">
        <w:t xml:space="preserve">, </w:t>
      </w:r>
      <w:r w:rsidR="00AB612C" w:rsidRPr="002A28E1">
        <w:t>put</w:t>
      </w:r>
      <w:r w:rsidR="008E2F0C" w:rsidRPr="002A28E1">
        <w:t xml:space="preserve"> under guardianship, and </w:t>
      </w:r>
      <w:r w:rsidR="00F70D23" w:rsidRPr="002A28E1">
        <w:t xml:space="preserve">placed </w:t>
      </w:r>
      <w:r w:rsidR="007C59C7" w:rsidRPr="002A28E1">
        <w:t xml:space="preserve">in </w:t>
      </w:r>
      <w:r w:rsidR="003F22B2" w:rsidRPr="002A28E1">
        <w:t>a care home, without participat</w:t>
      </w:r>
      <w:r w:rsidR="003D182C" w:rsidRPr="002A28E1">
        <w:t>ing in</w:t>
      </w:r>
      <w:r w:rsidR="000C6546" w:rsidRPr="002A28E1">
        <w:t xml:space="preserve"> any</w:t>
      </w:r>
      <w:r w:rsidR="00C30DCE" w:rsidRPr="002A28E1">
        <w:t xml:space="preserve"> of the decisions pertaining to her legal capacity or her placement </w:t>
      </w:r>
      <w:r w:rsidR="00AD141B" w:rsidRPr="002A28E1">
        <w:t xml:space="preserve">in a </w:t>
      </w:r>
      <w:r w:rsidR="008E6853">
        <w:t>facility</w:t>
      </w:r>
      <w:r w:rsidR="00AD141B" w:rsidRPr="002A28E1">
        <w:t>.</w:t>
      </w:r>
      <w:r w:rsidR="00267BC1" w:rsidRPr="002A28E1">
        <w:rPr>
          <w:rStyle w:val="FootnoteReference"/>
        </w:rPr>
        <w:footnoteReference w:id="494"/>
      </w:r>
      <w:r w:rsidR="006229DF" w:rsidRPr="002A28E1">
        <w:t xml:space="preserve"> The Court found</w:t>
      </w:r>
      <w:r w:rsidR="00757D7B" w:rsidRPr="002A28E1">
        <w:t xml:space="preserve"> that</w:t>
      </w:r>
      <w:r w:rsidR="00857BA6" w:rsidRPr="002A28E1">
        <w:t xml:space="preserve"> </w:t>
      </w:r>
      <w:r w:rsidR="00757D7B" w:rsidRPr="002A28E1">
        <w:t>A</w:t>
      </w:r>
      <w:r w:rsidR="00857BA6" w:rsidRPr="002A28E1">
        <w:t xml:space="preserve">rticle 5(4) </w:t>
      </w:r>
      <w:r w:rsidR="00E32D4F" w:rsidRPr="002A28E1">
        <w:t xml:space="preserve">of </w:t>
      </w:r>
      <w:r w:rsidR="00270E1F" w:rsidRPr="002A28E1">
        <w:t>the ECHR had been breached</w:t>
      </w:r>
      <w:r w:rsidR="00757D7B" w:rsidRPr="002A28E1">
        <w:t xml:space="preserve">, </w:t>
      </w:r>
      <w:proofErr w:type="gramStart"/>
      <w:r w:rsidR="00757D7B" w:rsidRPr="002A28E1">
        <w:t>due to the fact that</w:t>
      </w:r>
      <w:proofErr w:type="gramEnd"/>
      <w:r w:rsidR="00757D7B" w:rsidRPr="002A28E1">
        <w:t xml:space="preserve"> the applicant had no </w:t>
      </w:r>
      <w:r w:rsidR="00237DE6" w:rsidRPr="002A28E1">
        <w:t xml:space="preserve">possible </w:t>
      </w:r>
      <w:r w:rsidR="00757D7B" w:rsidRPr="002A28E1">
        <w:t>way to have her detention reviewed</w:t>
      </w:r>
      <w:r w:rsidR="00270E1F" w:rsidRPr="002A28E1">
        <w:t>.</w:t>
      </w:r>
      <w:r w:rsidR="00CD3747">
        <w:rPr>
          <w:rStyle w:val="FootnoteReference"/>
        </w:rPr>
        <w:footnoteReference w:id="495"/>
      </w:r>
      <w:r w:rsidR="00270E1F" w:rsidRPr="002A28E1">
        <w:t xml:space="preserve"> The Court also </w:t>
      </w:r>
      <w:r w:rsidR="00C454AA" w:rsidRPr="002A28E1">
        <w:t xml:space="preserve">held that </w:t>
      </w:r>
      <w:r w:rsidR="00BE5EC8" w:rsidRPr="002A28E1">
        <w:t xml:space="preserve">Article 6(1) of the ECHR </w:t>
      </w:r>
      <w:proofErr w:type="gramStart"/>
      <w:r w:rsidR="00BE5EC8" w:rsidRPr="002A28E1">
        <w:t xml:space="preserve">had </w:t>
      </w:r>
      <w:r w:rsidR="00A16641" w:rsidRPr="002A28E1">
        <w:t xml:space="preserve">been </w:t>
      </w:r>
      <w:r w:rsidR="003C6FC2" w:rsidRPr="002A28E1">
        <w:t>infringed</w:t>
      </w:r>
      <w:proofErr w:type="gramEnd"/>
      <w:r w:rsidR="002476DF" w:rsidRPr="002A28E1">
        <w:t xml:space="preserve"> given the </w:t>
      </w:r>
      <w:r w:rsidR="004624CD" w:rsidRPr="002A28E1">
        <w:t>way</w:t>
      </w:r>
      <w:r w:rsidR="002476DF" w:rsidRPr="002A28E1">
        <w:t xml:space="preserve"> in which </w:t>
      </w:r>
      <w:r w:rsidR="00D77965" w:rsidRPr="002A28E1">
        <w:t xml:space="preserve">the guardianship </w:t>
      </w:r>
      <w:r w:rsidR="00E14155" w:rsidRPr="002A28E1">
        <w:t xml:space="preserve">proceedings </w:t>
      </w:r>
      <w:r w:rsidR="0041340C" w:rsidRPr="002A28E1">
        <w:t xml:space="preserve">had been </w:t>
      </w:r>
      <w:r w:rsidR="00D34293" w:rsidRPr="002A28E1">
        <w:t>carried out.</w:t>
      </w:r>
      <w:r w:rsidR="003D288A" w:rsidRPr="002A28E1">
        <w:rPr>
          <w:rStyle w:val="FootnoteReference"/>
        </w:rPr>
        <w:footnoteReference w:id="496"/>
      </w:r>
      <w:r w:rsidR="007C2A04" w:rsidRPr="002A28E1">
        <w:t xml:space="preserve"> </w:t>
      </w:r>
      <w:r w:rsidR="002D6A4C" w:rsidRPr="002A28E1">
        <w:t xml:space="preserve">The applicant’s </w:t>
      </w:r>
      <w:r w:rsidR="00CA1A27" w:rsidRPr="002A28E1">
        <w:t xml:space="preserve">legal capacity </w:t>
      </w:r>
      <w:proofErr w:type="gramStart"/>
      <w:r w:rsidR="00CA1A27" w:rsidRPr="002A28E1">
        <w:t xml:space="preserve">was </w:t>
      </w:r>
      <w:r w:rsidR="00456882" w:rsidRPr="002A28E1">
        <w:t>afterwards</w:t>
      </w:r>
      <w:r w:rsidR="004A1554" w:rsidRPr="002A28E1">
        <w:t xml:space="preserve"> </w:t>
      </w:r>
      <w:r w:rsidR="00AC5C78" w:rsidRPr="002A28E1">
        <w:t>restored</w:t>
      </w:r>
      <w:proofErr w:type="gramEnd"/>
      <w:r w:rsidR="00AC5C78" w:rsidRPr="002A28E1">
        <w:t xml:space="preserve"> </w:t>
      </w:r>
      <w:r w:rsidR="00447A4B" w:rsidRPr="002A28E1">
        <w:t xml:space="preserve">by </w:t>
      </w:r>
      <w:r w:rsidR="004641A9" w:rsidRPr="002A28E1">
        <w:t>a</w:t>
      </w:r>
      <w:r w:rsidR="00447A4B" w:rsidRPr="002A28E1">
        <w:t xml:space="preserve"> </w:t>
      </w:r>
      <w:r w:rsidR="00243527" w:rsidRPr="002A28E1">
        <w:t xml:space="preserve">Lithuanian </w:t>
      </w:r>
      <w:r w:rsidR="00447A4B" w:rsidRPr="002A28E1">
        <w:t>district court.</w:t>
      </w:r>
      <w:r w:rsidR="00CB399F" w:rsidRPr="002A28E1">
        <w:rPr>
          <w:rStyle w:val="FootnoteReference"/>
        </w:rPr>
        <w:footnoteReference w:id="497"/>
      </w:r>
    </w:p>
    <w:p w14:paraId="64547871" w14:textId="55A69C46" w:rsidR="009209A4" w:rsidRDefault="009209A4"/>
    <w:p w14:paraId="0E8F3EB5" w14:textId="26F85C15" w:rsidR="00E96B99" w:rsidRPr="002A28E1" w:rsidRDefault="00E96B99" w:rsidP="00E96B99">
      <w:r>
        <w:t xml:space="preserve">Under the amended Lithuanian Civil Code, the court </w:t>
      </w:r>
      <w:proofErr w:type="gramStart"/>
      <w:r>
        <w:t>is authorized</w:t>
      </w:r>
      <w:proofErr w:type="gramEnd"/>
      <w:r>
        <w:t xml:space="preserve"> to declare someone to be legally incapacitated in a given area if they are unable to understand their actions in that sphere due to a “mental disorder.”</w:t>
      </w:r>
      <w:r>
        <w:rPr>
          <w:rStyle w:val="FootnoteReference"/>
        </w:rPr>
        <w:footnoteReference w:id="498"/>
      </w:r>
      <w:r>
        <w:t xml:space="preserve"> </w:t>
      </w:r>
      <w:r w:rsidRPr="002A28E1">
        <w:t xml:space="preserve"> </w:t>
      </w:r>
      <w:r>
        <w:t xml:space="preserve">The person </w:t>
      </w:r>
      <w:proofErr w:type="gramStart"/>
      <w:r>
        <w:t>is placed</w:t>
      </w:r>
      <w:proofErr w:type="gramEnd"/>
      <w:r>
        <w:t xml:space="preserve"> under guardianship for the area(s) in which </w:t>
      </w:r>
      <w:r>
        <w:lastRenderedPageBreak/>
        <w:t>they are deemed incapacitated.</w:t>
      </w:r>
      <w:r>
        <w:rPr>
          <w:rStyle w:val="FootnoteReference"/>
        </w:rPr>
        <w:footnoteReference w:id="499"/>
      </w:r>
      <w:r>
        <w:t xml:space="preserve"> In the areas where capacity </w:t>
      </w:r>
      <w:proofErr w:type="gramStart"/>
      <w:r>
        <w:t xml:space="preserve">has been </w:t>
      </w:r>
      <w:r w:rsidR="00377DB1">
        <w:t>removed</w:t>
      </w:r>
      <w:proofErr w:type="gramEnd"/>
      <w:r>
        <w:t>, guardians have the right to enter into all necessary transactions on behalf of the person concerned, in the person’s interests.</w:t>
      </w:r>
      <w:r>
        <w:rPr>
          <w:rStyle w:val="FootnoteReference"/>
        </w:rPr>
        <w:footnoteReference w:id="500"/>
      </w:r>
      <w:r>
        <w:t xml:space="preserve"> The Court must specify in the exact areas in which a person </w:t>
      </w:r>
      <w:proofErr w:type="gramStart"/>
      <w:r>
        <w:t>is declared</w:t>
      </w:r>
      <w:proofErr w:type="gramEnd"/>
      <w:r>
        <w:t xml:space="preserve"> incapacitated.</w:t>
      </w:r>
      <w:r>
        <w:rPr>
          <w:rStyle w:val="FootnoteReference"/>
        </w:rPr>
        <w:footnoteReference w:id="501"/>
      </w:r>
      <w:r>
        <w:t xml:space="preserve">  </w:t>
      </w:r>
      <w:r w:rsidRPr="002A28E1">
        <w:t xml:space="preserve">Although the court is now obliged to pinpoint the exact areas in which a person </w:t>
      </w:r>
      <w:proofErr w:type="gramStart"/>
      <w:r w:rsidRPr="002A28E1">
        <w:t>will be deprived</w:t>
      </w:r>
      <w:proofErr w:type="gramEnd"/>
      <w:r w:rsidRPr="002A28E1">
        <w:t xml:space="preserve"> of legal capacity, there is no bar on deeming someone incapable in all areas of life.</w:t>
      </w:r>
      <w:r w:rsidR="003F64B9">
        <w:rPr>
          <w:rStyle w:val="FootnoteReference"/>
        </w:rPr>
        <w:footnoteReference w:id="502"/>
      </w:r>
      <w:r w:rsidRPr="002A28E1">
        <w:t xml:space="preserve"> Thus, with this new legislation, there exists a possibility for the imposition of “</w:t>
      </w:r>
      <w:r w:rsidRPr="002A28E1">
        <w:rPr>
          <w:i/>
        </w:rPr>
        <w:t xml:space="preserve">de facto </w:t>
      </w:r>
      <w:r w:rsidRPr="002A28E1">
        <w:t>full legal incapacity.”</w:t>
      </w:r>
      <w:r w:rsidRPr="002A28E1">
        <w:rPr>
          <w:rStyle w:val="FootnoteReference"/>
        </w:rPr>
        <w:footnoteReference w:id="503"/>
      </w:r>
      <w:r w:rsidRPr="002A28E1">
        <w:t xml:space="preserve"> In fact, the Ministry of Justice has recognized that it would be theoretically possible to declare a person legally incapable in all areas of life under Lithuanian law.</w:t>
      </w:r>
      <w:bookmarkStart w:id="60" w:name="_Ref15315462"/>
      <w:r w:rsidRPr="002A28E1">
        <w:rPr>
          <w:rStyle w:val="FootnoteReference"/>
        </w:rPr>
        <w:footnoteReference w:id="504"/>
      </w:r>
      <w:bookmarkEnd w:id="60"/>
      <w:r w:rsidRPr="002A28E1">
        <w:t xml:space="preserve"> The law establishes that all previous court decisions imposing legal incapacity </w:t>
      </w:r>
      <w:proofErr w:type="gramStart"/>
      <w:r w:rsidRPr="002A28E1">
        <w:t>will be reviewed</w:t>
      </w:r>
      <w:proofErr w:type="gramEnd"/>
      <w:r w:rsidRPr="002A28E1">
        <w:t xml:space="preserve"> within two years.</w:t>
      </w:r>
      <w:r w:rsidR="00392F64">
        <w:rPr>
          <w:rStyle w:val="FootnoteReference"/>
        </w:rPr>
        <w:footnoteReference w:id="505"/>
      </w:r>
    </w:p>
    <w:p w14:paraId="28655E54" w14:textId="77777777" w:rsidR="00E96B99" w:rsidRDefault="00E96B99" w:rsidP="00E96B99"/>
    <w:p w14:paraId="53E0754F" w14:textId="77777777" w:rsidR="00E96B99" w:rsidRPr="002A28E1" w:rsidRDefault="00E96B99" w:rsidP="00E96B99">
      <w:r>
        <w:t xml:space="preserve">The new Civil Code also allows for “limitations” of legal capacity in a particular area where a person is “partially unable to understand their </w:t>
      </w:r>
      <w:r w:rsidRPr="00433888">
        <w:t>actions due to a mental disorder.”</w:t>
      </w:r>
      <w:r w:rsidRPr="00433888">
        <w:rPr>
          <w:rStyle w:val="FootnoteReference"/>
        </w:rPr>
        <w:footnoteReference w:id="506"/>
      </w:r>
      <w:r w:rsidRPr="00433888">
        <w:t xml:space="preserve"> When a person’s capacity is limited in this fashion in a particular area, they must make decisions jointly with a “caretaker,” who is tasked with “assisting” them in the decision-making process.</w:t>
      </w:r>
      <w:r w:rsidRPr="00433888">
        <w:rPr>
          <w:rStyle w:val="FootnoteReference"/>
        </w:rPr>
        <w:footnoteReference w:id="507"/>
      </w:r>
      <w:r w:rsidRPr="00433888">
        <w:t xml:space="preserve"> The caretaker’s consent </w:t>
      </w:r>
      <w:proofErr w:type="gramStart"/>
      <w:r w:rsidRPr="00433888">
        <w:t>is needed</w:t>
      </w:r>
      <w:proofErr w:type="gramEnd"/>
      <w:r w:rsidRPr="00433888">
        <w:t xml:space="preserve"> for agreements to be valid.</w:t>
      </w:r>
      <w:r w:rsidRPr="00433888">
        <w:rPr>
          <w:rStyle w:val="FootnoteReference"/>
        </w:rPr>
        <w:footnoteReference w:id="508"/>
      </w:r>
      <w:r w:rsidRPr="00433888">
        <w:t xml:space="preserve"> The caretaker must also protect the person’s rights and legitimate interests against abuse by third parties.</w:t>
      </w:r>
      <w:r w:rsidRPr="00433888">
        <w:rPr>
          <w:rStyle w:val="FootnoteReference"/>
        </w:rPr>
        <w:footnoteReference w:id="509"/>
      </w:r>
    </w:p>
    <w:p w14:paraId="73C603DE" w14:textId="77777777" w:rsidR="00E96B99" w:rsidRDefault="00E96B99"/>
    <w:p w14:paraId="73A95587" w14:textId="6ECD3C4F" w:rsidR="009209A4" w:rsidRPr="00172D24" w:rsidRDefault="00AB3C8D" w:rsidP="009209A4">
      <w:r w:rsidRPr="00172D24">
        <w:t>Critically, t</w:t>
      </w:r>
      <w:r w:rsidR="002C5F56" w:rsidRPr="00172D24">
        <w:t xml:space="preserve">he amended Code </w:t>
      </w:r>
      <w:r w:rsidR="003039EE" w:rsidRPr="00172D24">
        <w:t>allows</w:t>
      </w:r>
      <w:r w:rsidR="002C5F56" w:rsidRPr="00172D24">
        <w:t xml:space="preserve"> for </w:t>
      </w:r>
      <w:r w:rsidR="007B4F0C" w:rsidRPr="00172D24">
        <w:t xml:space="preserve">the creation of </w:t>
      </w:r>
      <w:r w:rsidR="009209A4" w:rsidRPr="00172D24">
        <w:t>supported decision</w:t>
      </w:r>
      <w:r w:rsidR="00AB2AF6" w:rsidRPr="00172D24">
        <w:t>-making</w:t>
      </w:r>
      <w:r w:rsidR="00F659E6" w:rsidRPr="00172D24">
        <w:t xml:space="preserve"> contracts</w:t>
      </w:r>
      <w:r w:rsidR="009209A4" w:rsidRPr="00172D24">
        <w:t>.</w:t>
      </w:r>
      <w:r w:rsidR="009209A4" w:rsidRPr="00172D24">
        <w:rPr>
          <w:rStyle w:val="FootnoteReference"/>
        </w:rPr>
        <w:footnoteReference w:id="510"/>
      </w:r>
      <w:r w:rsidR="009209A4" w:rsidRPr="00172D24">
        <w:t xml:space="preserve"> Under such arrangements, </w:t>
      </w:r>
      <w:r w:rsidR="004B12BA" w:rsidRPr="00172D24">
        <w:t>a</w:t>
      </w:r>
      <w:r w:rsidR="009209A4" w:rsidRPr="00172D24">
        <w:t xml:space="preserve"> person who is </w:t>
      </w:r>
      <w:proofErr w:type="gramStart"/>
      <w:r w:rsidR="009209A4" w:rsidRPr="00172D24">
        <w:t>experiencing difficulties</w:t>
      </w:r>
      <w:proofErr w:type="gramEnd"/>
      <w:r w:rsidR="009209A4" w:rsidRPr="00172D24">
        <w:t xml:space="preserve"> in decision-making makes an agreement with a trusted individual, who agrees to help them in the decision-making process.</w:t>
      </w:r>
      <w:r w:rsidR="00AB2AF6" w:rsidRPr="00172D24">
        <w:t xml:space="preserve"> Persons whom have been declared to be incapacitated in a given area as well as those who have been deemed to </w:t>
      </w:r>
      <w:proofErr w:type="gramStart"/>
      <w:r w:rsidR="00AB2AF6" w:rsidRPr="00172D24">
        <w:t>have limited</w:t>
      </w:r>
      <w:proofErr w:type="gramEnd"/>
      <w:r w:rsidR="00AB2AF6" w:rsidRPr="00172D24">
        <w:t xml:space="preserve"> legal capacity in a given area may enter into </w:t>
      </w:r>
      <w:r w:rsidR="008846DB" w:rsidRPr="00172D24">
        <w:t xml:space="preserve">supported decision-making </w:t>
      </w:r>
      <w:r w:rsidR="00AB2AF6" w:rsidRPr="00172D24">
        <w:t>contracts</w:t>
      </w:r>
      <w:r w:rsidR="00172D24">
        <w:t xml:space="preserve"> in areas in which they </w:t>
      </w:r>
      <w:r w:rsidR="0051408B">
        <w:t>are capable</w:t>
      </w:r>
      <w:r w:rsidR="008846DB" w:rsidRPr="00172D24">
        <w:t>.</w:t>
      </w:r>
      <w:r w:rsidR="008846DB" w:rsidRPr="00172D24">
        <w:rPr>
          <w:rStyle w:val="FootnoteReference"/>
        </w:rPr>
        <w:footnoteReference w:id="511"/>
      </w:r>
      <w:r w:rsidR="00AB2AF6" w:rsidRPr="00172D24">
        <w:t xml:space="preserve"> </w:t>
      </w:r>
      <w:r w:rsidR="009209A4" w:rsidRPr="00172D24">
        <w:t xml:space="preserve"> Contracts for support measures must be in notarial form and </w:t>
      </w:r>
      <w:proofErr w:type="gramStart"/>
      <w:r w:rsidR="009209A4" w:rsidRPr="00172D24">
        <w:t>must be duly registered</w:t>
      </w:r>
      <w:proofErr w:type="gramEnd"/>
      <w:r w:rsidR="009209A4" w:rsidRPr="00172D24">
        <w:t xml:space="preserve"> in a specialized registry.</w:t>
      </w:r>
      <w:r w:rsidR="009209A4" w:rsidRPr="00172D24">
        <w:rPr>
          <w:rStyle w:val="FootnoteReference"/>
        </w:rPr>
        <w:footnoteReference w:id="512"/>
      </w:r>
      <w:r w:rsidR="009209A4" w:rsidRPr="00172D24">
        <w:t xml:space="preserve"> The amended Code provides for the possibility of voiding supported decision-making contracts in the event of conflicts of interest.</w:t>
      </w:r>
      <w:r w:rsidR="009209A4" w:rsidRPr="00172D24">
        <w:rPr>
          <w:rStyle w:val="FootnoteReference"/>
        </w:rPr>
        <w:footnoteReference w:id="513"/>
      </w:r>
      <w:r w:rsidR="009209A4" w:rsidRPr="00172D24">
        <w:t xml:space="preserve"> Activities of supporters are to </w:t>
      </w:r>
      <w:proofErr w:type="gramStart"/>
      <w:r w:rsidR="009209A4" w:rsidRPr="00172D24">
        <w:t>be monitored</w:t>
      </w:r>
      <w:proofErr w:type="gramEnd"/>
      <w:r w:rsidR="009209A4" w:rsidRPr="00172D24">
        <w:t xml:space="preserve"> by municipal care institutions.</w:t>
      </w:r>
      <w:r w:rsidR="009209A4" w:rsidRPr="00172D24">
        <w:rPr>
          <w:rStyle w:val="FootnoteReference"/>
        </w:rPr>
        <w:footnoteReference w:id="514"/>
      </w:r>
      <w:r w:rsidR="009209A4" w:rsidRPr="00172D24">
        <w:t xml:space="preserve"> Any party to a contract for supported decision-making may apply to a notary in order to file a notice of termination of the agreement.</w:t>
      </w:r>
      <w:r w:rsidR="009209A4" w:rsidRPr="00172D24">
        <w:rPr>
          <w:rStyle w:val="FootnoteReference"/>
        </w:rPr>
        <w:footnoteReference w:id="515"/>
      </w:r>
    </w:p>
    <w:p w14:paraId="42431607" w14:textId="77777777" w:rsidR="009209A4" w:rsidRPr="00172D24" w:rsidRDefault="009209A4" w:rsidP="009209A4"/>
    <w:p w14:paraId="105DA5AB" w14:textId="476F3E7A" w:rsidR="009209A4" w:rsidRPr="002A28E1" w:rsidRDefault="009209A4">
      <w:r w:rsidRPr="00BD3B78">
        <w:lastRenderedPageBreak/>
        <w:t>The new legislation also provides that people may devise advance directives validated by a notary.</w:t>
      </w:r>
      <w:r w:rsidRPr="00BD3B78">
        <w:rPr>
          <w:rStyle w:val="FootnoteReference"/>
        </w:rPr>
        <w:footnoteReference w:id="516"/>
      </w:r>
      <w:r w:rsidRPr="00BD3B78">
        <w:t xml:space="preserve"> With advance directives, a person specifies their will in the event of a future declaration of incapacity or limited capacity.</w:t>
      </w:r>
      <w:r w:rsidRPr="00BD3B78">
        <w:rPr>
          <w:rStyle w:val="FootnoteReference"/>
        </w:rPr>
        <w:footnoteReference w:id="517"/>
      </w:r>
      <w:r w:rsidRPr="00BD3B78">
        <w:t xml:space="preserve"> In such an advance directive, persons may indicate </w:t>
      </w:r>
      <w:proofErr w:type="gramStart"/>
      <w:r w:rsidRPr="00BD3B78">
        <w:t>who</w:t>
      </w:r>
      <w:proofErr w:type="gramEnd"/>
      <w:r w:rsidRPr="00BD3B78">
        <w:t xml:space="preserve"> they wish</w:t>
      </w:r>
      <w:r w:rsidRPr="002A28E1">
        <w:t xml:space="preserve"> to be appointed as their guardian </w:t>
      </w:r>
      <w:r>
        <w:t xml:space="preserve">or caregiver </w:t>
      </w:r>
      <w:r w:rsidRPr="002A28E1">
        <w:t xml:space="preserve">in the event of a future finding of incapacity </w:t>
      </w:r>
      <w:r>
        <w:t>or limited capacity,</w:t>
      </w:r>
      <w:r>
        <w:rPr>
          <w:rStyle w:val="FootnoteReference"/>
        </w:rPr>
        <w:footnoteReference w:id="518"/>
      </w:r>
      <w:r>
        <w:t xml:space="preserve"> </w:t>
      </w:r>
      <w:r w:rsidRPr="002A28E1">
        <w:t>or provide other instructions.</w:t>
      </w:r>
      <w:r w:rsidRPr="002A28E1">
        <w:rPr>
          <w:rStyle w:val="FootnoteReference"/>
        </w:rPr>
        <w:footnoteReference w:id="519"/>
      </w:r>
      <w:r>
        <w:t xml:space="preserve"> Advance directives are to be in notarial form and </w:t>
      </w:r>
      <w:proofErr w:type="gramStart"/>
      <w:r>
        <w:t>must be registered</w:t>
      </w:r>
      <w:proofErr w:type="gramEnd"/>
      <w:r>
        <w:t xml:space="preserve"> in a specific notarial registry.</w:t>
      </w:r>
      <w:r>
        <w:rPr>
          <w:rStyle w:val="FootnoteReference"/>
        </w:rPr>
        <w:footnoteReference w:id="520"/>
      </w:r>
      <w:r>
        <w:t xml:space="preserve"> Advance directives enter into force when a court decision is rendered declaring a person to be </w:t>
      </w:r>
      <w:proofErr w:type="gramStart"/>
      <w:r>
        <w:t>either incapacitated</w:t>
      </w:r>
      <w:proofErr w:type="gramEnd"/>
      <w:r>
        <w:t xml:space="preserve"> in a given area or of limited capacity in a given area.</w:t>
      </w:r>
      <w:r>
        <w:rPr>
          <w:rStyle w:val="FootnoteReference"/>
        </w:rPr>
        <w:footnoteReference w:id="521"/>
      </w:r>
      <w:r>
        <w:t xml:space="preserve"> Instructions in advance directives </w:t>
      </w:r>
      <w:proofErr w:type="gramStart"/>
      <w:r>
        <w:t>must be followed</w:t>
      </w:r>
      <w:proofErr w:type="gramEnd"/>
      <w:r>
        <w:t>, unless there is a change of circumstances that makes it “clear that the order is no longer in the applicant’s best interests.”</w:t>
      </w:r>
      <w:r>
        <w:rPr>
          <w:rStyle w:val="FootnoteReference"/>
        </w:rPr>
        <w:footnoteReference w:id="522"/>
      </w:r>
    </w:p>
    <w:p w14:paraId="70A18B3F" w14:textId="5E33D821" w:rsidR="0003200A" w:rsidRPr="002A28E1" w:rsidRDefault="0003200A">
      <w:pPr>
        <w:rPr>
          <w:b/>
          <w:sz w:val="32"/>
          <w:szCs w:val="32"/>
        </w:rPr>
      </w:pPr>
    </w:p>
    <w:p w14:paraId="3ACF05E7" w14:textId="13512AE2" w:rsidR="00574327" w:rsidRPr="002A28E1" w:rsidRDefault="00690C7C">
      <w:r w:rsidRPr="002A28E1">
        <w:t>With respect to its</w:t>
      </w:r>
      <w:r w:rsidR="00282A33" w:rsidRPr="002A28E1">
        <w:t xml:space="preserve"> </w:t>
      </w:r>
      <w:r w:rsidR="00EB3470" w:rsidRPr="002A28E1">
        <w:t xml:space="preserve">compliance </w:t>
      </w:r>
      <w:r w:rsidR="000B393B" w:rsidRPr="002A28E1">
        <w:t xml:space="preserve">with </w:t>
      </w:r>
      <w:r w:rsidR="00F0716B" w:rsidRPr="002A28E1">
        <w:t xml:space="preserve">Article 12 of the CRPD, </w:t>
      </w:r>
      <w:r w:rsidR="008C3543" w:rsidRPr="002A28E1">
        <w:t xml:space="preserve">several issues are apparent. </w:t>
      </w:r>
      <w:r w:rsidR="005933E9" w:rsidRPr="002A28E1">
        <w:t xml:space="preserve">Lithuanian law does not guarantee legal capacity to persons with disabilities. In fact, it allows </w:t>
      </w:r>
      <w:proofErr w:type="gramStart"/>
      <w:r w:rsidR="005933E9" w:rsidRPr="002A28E1">
        <w:t xml:space="preserve">for </w:t>
      </w:r>
      <w:r w:rsidR="00E30E9F" w:rsidRPr="002A28E1">
        <w:t>people</w:t>
      </w:r>
      <w:proofErr w:type="gramEnd"/>
      <w:r w:rsidR="00E30E9F" w:rsidRPr="002A28E1">
        <w:t xml:space="preserve"> to be stripped of </w:t>
      </w:r>
      <w:r w:rsidR="005933E9" w:rsidRPr="002A28E1">
        <w:t xml:space="preserve">legal capacity </w:t>
      </w:r>
      <w:r w:rsidR="00E30E9F" w:rsidRPr="002A28E1">
        <w:t>in some areas and</w:t>
      </w:r>
      <w:r w:rsidR="004409BB" w:rsidRPr="002A28E1">
        <w:t xml:space="preserve"> even </w:t>
      </w:r>
      <w:r w:rsidR="008F0F1D" w:rsidRPr="002A28E1">
        <w:t xml:space="preserve">permits complete deprivation of </w:t>
      </w:r>
      <w:r w:rsidR="002B5796" w:rsidRPr="002A28E1">
        <w:t xml:space="preserve">legal capacity </w:t>
      </w:r>
      <w:r w:rsidR="006744F4" w:rsidRPr="002A28E1">
        <w:t>in all areas of life.</w:t>
      </w:r>
      <w:r w:rsidR="00873A0D">
        <w:t xml:space="preserve"> </w:t>
      </w:r>
      <w:r w:rsidR="00A25F96">
        <w:t>L</w:t>
      </w:r>
      <w:r w:rsidR="00873A0D">
        <w:t xml:space="preserve">imitations and denials of legal capacity </w:t>
      </w:r>
      <w:r w:rsidR="000F0838">
        <w:t xml:space="preserve">under Lithuanian law </w:t>
      </w:r>
      <w:proofErr w:type="gramStart"/>
      <w:r w:rsidR="00873A0D">
        <w:t>are furthermore premised</w:t>
      </w:r>
      <w:proofErr w:type="gramEnd"/>
      <w:r w:rsidR="00873A0D">
        <w:t xml:space="preserve"> on a diagnosis of a “mental disorder</w:t>
      </w:r>
      <w:r w:rsidR="0025128B">
        <w:t>,</w:t>
      </w:r>
      <w:r w:rsidR="00873A0D">
        <w:t>”</w:t>
      </w:r>
      <w:r w:rsidR="0025128B">
        <w:t xml:space="preserve"> coupled with an assessment of mental capacity.</w:t>
      </w:r>
      <w:r w:rsidR="00873A0D">
        <w:t xml:space="preserve"> </w:t>
      </w:r>
      <w:r w:rsidR="00A23390">
        <w:t>This is not in keeping with Article 12.</w:t>
      </w:r>
      <w:r w:rsidR="00A23390">
        <w:rPr>
          <w:rStyle w:val="FootnoteReference"/>
        </w:rPr>
        <w:footnoteReference w:id="523"/>
      </w:r>
      <w:r w:rsidR="005933E9" w:rsidRPr="002A28E1">
        <w:t xml:space="preserve"> </w:t>
      </w:r>
      <w:proofErr w:type="gramStart"/>
      <w:r w:rsidR="00CA3821" w:rsidRPr="002A28E1">
        <w:t>In</w:t>
      </w:r>
      <w:r w:rsidR="00D92E42" w:rsidRPr="002A28E1">
        <w:t xml:space="preserve"> its Concluding Observations on Lithuania</w:t>
      </w:r>
      <w:r w:rsidR="00990934" w:rsidRPr="002A28E1">
        <w:t xml:space="preserve"> released in May 2016, the CRPD Committee</w:t>
      </w:r>
      <w:r w:rsidR="003758D6" w:rsidRPr="002A28E1">
        <w:t xml:space="preserve"> </w:t>
      </w:r>
      <w:r w:rsidR="001C1298" w:rsidRPr="002A28E1">
        <w:t xml:space="preserve">criticized </w:t>
      </w:r>
      <w:r w:rsidR="00E36F5A" w:rsidRPr="002A28E1">
        <w:t xml:space="preserve">“the legal provisions </w:t>
      </w:r>
      <w:r w:rsidR="00C233A1" w:rsidRPr="002A28E1">
        <w:t xml:space="preserve">permitting the denial </w:t>
      </w:r>
      <w:r w:rsidR="00A0406E" w:rsidRPr="002A28E1">
        <w:t xml:space="preserve">or </w:t>
      </w:r>
      <w:r w:rsidR="003626DD" w:rsidRPr="002A28E1">
        <w:t xml:space="preserve">restriction of the legal capacity of persons with disabilities contrary to article 12 of the Convention, which thereby limit rights of persons with </w:t>
      </w:r>
      <w:r w:rsidR="00A64CC4" w:rsidRPr="002A28E1">
        <w:t>disabilities to give their free and informed consent for treatment, to marry, to found a family and to adopt and raise children.”</w:t>
      </w:r>
      <w:bookmarkStart w:id="61" w:name="_Ref15301149"/>
      <w:r w:rsidR="007C7C7E" w:rsidRPr="002A28E1">
        <w:rPr>
          <w:rStyle w:val="FootnoteReference"/>
        </w:rPr>
        <w:footnoteReference w:id="524"/>
      </w:r>
      <w:bookmarkEnd w:id="61"/>
      <w:proofErr w:type="gramEnd"/>
      <w:r w:rsidR="004D5F84" w:rsidRPr="002A28E1">
        <w:t xml:space="preserve"> Moreover, </w:t>
      </w:r>
      <w:r w:rsidR="00965905" w:rsidRPr="002A28E1">
        <w:t xml:space="preserve">in Lithuania, </w:t>
      </w:r>
      <w:r w:rsidR="004D5F84" w:rsidRPr="002A28E1">
        <w:t xml:space="preserve">there remain in existence constitutional </w:t>
      </w:r>
      <w:proofErr w:type="gramStart"/>
      <w:r w:rsidR="004D5F84" w:rsidRPr="002A28E1">
        <w:t xml:space="preserve">provisions </w:t>
      </w:r>
      <w:r w:rsidR="0019190B" w:rsidRPr="002A28E1">
        <w:t>which</w:t>
      </w:r>
      <w:proofErr w:type="gramEnd"/>
      <w:r w:rsidR="0019190B" w:rsidRPr="002A28E1">
        <w:t xml:space="preserve"> </w:t>
      </w:r>
      <w:r w:rsidR="00ED4B8C" w:rsidRPr="002A28E1">
        <w:t>deny</w:t>
      </w:r>
      <w:r w:rsidR="001A4D12" w:rsidRPr="002A28E1">
        <w:t xml:space="preserve"> </w:t>
      </w:r>
      <w:r w:rsidR="00DF70C1" w:rsidRPr="002A28E1">
        <w:t>people deemed legally incapable</w:t>
      </w:r>
      <w:r w:rsidR="00ED4B8C" w:rsidRPr="002A28E1">
        <w:t xml:space="preserve"> the right to vote and the right to </w:t>
      </w:r>
      <w:r w:rsidR="002F37CC" w:rsidRPr="002A28E1">
        <w:t xml:space="preserve">run for </w:t>
      </w:r>
      <w:r w:rsidR="007C3441" w:rsidRPr="002A28E1">
        <w:t xml:space="preserve">parliamentarian </w:t>
      </w:r>
      <w:r w:rsidR="002F37CC" w:rsidRPr="002A28E1">
        <w:t>elections</w:t>
      </w:r>
      <w:r w:rsidR="00F869C6" w:rsidRPr="002A28E1">
        <w:t>.</w:t>
      </w:r>
      <w:r w:rsidR="00674767" w:rsidRPr="002A28E1">
        <w:rPr>
          <w:rStyle w:val="FootnoteReference"/>
        </w:rPr>
        <w:footnoteReference w:id="525"/>
      </w:r>
      <w:r w:rsidR="002113ED" w:rsidRPr="002A28E1">
        <w:t xml:space="preserve"> </w:t>
      </w:r>
    </w:p>
    <w:p w14:paraId="6406C3F5" w14:textId="4B15A0B8" w:rsidR="00DD06B2" w:rsidRDefault="00DD06B2">
      <w:pPr>
        <w:rPr>
          <w:b/>
          <w:sz w:val="32"/>
          <w:szCs w:val="32"/>
        </w:rPr>
      </w:pPr>
    </w:p>
    <w:p w14:paraId="17C392C1" w14:textId="05C9E5FF" w:rsidR="006E7E54" w:rsidRDefault="006E7E54">
      <w:pPr>
        <w:rPr>
          <w:b/>
          <w:sz w:val="32"/>
          <w:szCs w:val="32"/>
        </w:rPr>
      </w:pPr>
      <w:r>
        <w:t>The</w:t>
      </w:r>
      <w:r w:rsidRPr="002A28E1">
        <w:t xml:space="preserve"> substitute decision-making regime of guardianship that </w:t>
      </w:r>
      <w:proofErr w:type="gramStart"/>
      <w:r w:rsidRPr="002A28E1">
        <w:t>has been maintained</w:t>
      </w:r>
      <w:proofErr w:type="gramEnd"/>
      <w:r>
        <w:t xml:space="preserve"> is also incompatible with Article 12</w:t>
      </w:r>
      <w:r w:rsidRPr="002A28E1">
        <w:t>.</w:t>
      </w:r>
      <w:r>
        <w:t xml:space="preserve"> The position of caretaker outlined in the Lithuanian legislation is also problematic, as the “veto” power possessed by caretakers restricts the exercise of persons’ legal capacity. Moreover, the caretaker </w:t>
      </w:r>
      <w:proofErr w:type="gramStart"/>
      <w:r>
        <w:t>is not explicitly tasked</w:t>
      </w:r>
      <w:proofErr w:type="gramEnd"/>
      <w:r>
        <w:t xml:space="preserve"> with upholding the will and preferences of the person concerned.</w:t>
      </w:r>
    </w:p>
    <w:p w14:paraId="63F863B2" w14:textId="77777777" w:rsidR="006E7E54" w:rsidRPr="002A28E1" w:rsidRDefault="006E7E54">
      <w:pPr>
        <w:rPr>
          <w:b/>
          <w:sz w:val="32"/>
          <w:szCs w:val="32"/>
        </w:rPr>
      </w:pPr>
    </w:p>
    <w:p w14:paraId="2AB9D412" w14:textId="67A35194" w:rsidR="00386F5B" w:rsidRPr="002A28E1" w:rsidRDefault="00386F5B">
      <w:r w:rsidRPr="00BD3B78">
        <w:t>Lithuania has introduced supported decision-making into its legislation, with the corresponding safeguard providing for oversight of support persons by designated municipal institutions.</w:t>
      </w:r>
      <w:r w:rsidR="007C2E6E" w:rsidRPr="00BD3B78">
        <w:rPr>
          <w:rStyle w:val="FootnoteReference"/>
        </w:rPr>
        <w:footnoteReference w:id="526"/>
      </w:r>
      <w:r w:rsidRPr="00BD3B78">
        <w:t xml:space="preserve"> </w:t>
      </w:r>
      <w:r w:rsidR="00D6191B" w:rsidRPr="00BD3B78">
        <w:lastRenderedPageBreak/>
        <w:t>Parties to a supported decision-making contract may also apply to have it terminated,</w:t>
      </w:r>
      <w:r w:rsidR="007329B9" w:rsidRPr="00BD3B78">
        <w:rPr>
          <w:rStyle w:val="FootnoteReference"/>
        </w:rPr>
        <w:footnoteReference w:id="527"/>
      </w:r>
      <w:r w:rsidR="00D6191B" w:rsidRPr="00BD3B78">
        <w:t xml:space="preserve"> but the law does not appear to provide for mechanisms whereby the </w:t>
      </w:r>
      <w:r w:rsidR="000E1096" w:rsidRPr="00BD3B78">
        <w:t xml:space="preserve">actions of a supporter could be challenged </w:t>
      </w:r>
      <w:r w:rsidR="00C8188E" w:rsidRPr="00BD3B78">
        <w:t xml:space="preserve">by third parties </w:t>
      </w:r>
      <w:r w:rsidR="000E1096" w:rsidRPr="00BD3B78">
        <w:t>if there is a suspicion that they are not respecting the will and preferences of the person concerned.</w:t>
      </w:r>
      <w:r w:rsidR="00E6561D" w:rsidRPr="00BD3B78">
        <w:t xml:space="preserve"> In fact, the legislation does not appear to </w:t>
      </w:r>
      <w:proofErr w:type="gramStart"/>
      <w:r w:rsidR="00E6561D" w:rsidRPr="00BD3B78">
        <w:t>make any reference</w:t>
      </w:r>
      <w:proofErr w:type="gramEnd"/>
      <w:r w:rsidR="00E6561D" w:rsidRPr="00BD3B78">
        <w:t xml:space="preserve"> to the “will and preferences” of supported persons.</w:t>
      </w:r>
      <w:r w:rsidR="000E1096" w:rsidRPr="00BD3B78">
        <w:t xml:space="preserve"> </w:t>
      </w:r>
      <w:r w:rsidR="00521E96" w:rsidRPr="00BD3B78">
        <w:t>In addition</w:t>
      </w:r>
      <w:r w:rsidR="00B702B2" w:rsidRPr="00BD3B78">
        <w:t>, t</w:t>
      </w:r>
      <w:r w:rsidR="002237E8" w:rsidRPr="00BD3B78">
        <w:t xml:space="preserve">he legislation does not appear to address what particular form </w:t>
      </w:r>
      <w:r w:rsidR="00CC052B" w:rsidRPr="00BD3B78">
        <w:t>supported decision-making</w:t>
      </w:r>
      <w:r w:rsidR="002237E8" w:rsidRPr="00BD3B78">
        <w:t xml:space="preserve"> of contracts should </w:t>
      </w:r>
      <w:r w:rsidR="00641885" w:rsidRPr="00BD3B78">
        <w:t>take</w:t>
      </w:r>
      <w:r w:rsidR="002237E8" w:rsidRPr="00BD3B78">
        <w:t xml:space="preserve">, nor what exactly </w:t>
      </w:r>
      <w:r w:rsidR="00452649" w:rsidRPr="00BD3B78">
        <w:t xml:space="preserve">acts </w:t>
      </w:r>
      <w:r w:rsidR="00DB0B57" w:rsidRPr="00BD3B78">
        <w:t xml:space="preserve">of assistance </w:t>
      </w:r>
      <w:r w:rsidR="001C4527" w:rsidRPr="00BD3B78">
        <w:t xml:space="preserve">“supported decision-making” </w:t>
      </w:r>
      <w:r w:rsidR="001833A1" w:rsidRPr="00BD3B78">
        <w:t>may</w:t>
      </w:r>
      <w:r w:rsidR="00945202" w:rsidRPr="00BD3B78">
        <w:t xml:space="preserve"> involve</w:t>
      </w:r>
      <w:r w:rsidR="00E124EB" w:rsidRPr="00BD3B78">
        <w:t xml:space="preserve">, </w:t>
      </w:r>
      <w:r w:rsidR="00600057" w:rsidRPr="00BD3B78">
        <w:t>n</w:t>
      </w:r>
      <w:r w:rsidR="00E124EB" w:rsidRPr="00BD3B78">
        <w:t>or what obligations are incumbent upon supporters</w:t>
      </w:r>
      <w:r w:rsidR="007B2607" w:rsidRPr="00BD3B78">
        <w:t>.</w:t>
      </w:r>
      <w:r w:rsidR="00E124EB" w:rsidRPr="00BD3B78">
        <w:t xml:space="preserve"> </w:t>
      </w:r>
      <w:r w:rsidR="008575D5" w:rsidRPr="002A28E1">
        <w:t xml:space="preserve"> </w:t>
      </w:r>
    </w:p>
    <w:p w14:paraId="320E9B99" w14:textId="757419B7" w:rsidR="0085602F" w:rsidRPr="002A28E1" w:rsidRDefault="0085602F"/>
    <w:p w14:paraId="020B7938" w14:textId="0EF19377" w:rsidR="0085602F" w:rsidRPr="002A28E1" w:rsidRDefault="0085602F">
      <w:r w:rsidRPr="002A28E1">
        <w:t xml:space="preserve">While advance directives may provide a means through which </w:t>
      </w:r>
      <w:r w:rsidR="00216411" w:rsidRPr="002A28E1">
        <w:t xml:space="preserve">persons can indicate their will and preferences, </w:t>
      </w:r>
      <w:r w:rsidR="0033517E" w:rsidRPr="002A28E1">
        <w:t>the coming into force of these directives problematically hinges on findings of legal incapacity</w:t>
      </w:r>
      <w:r w:rsidR="00651776">
        <w:t xml:space="preserve"> or limited legal capacity</w:t>
      </w:r>
      <w:r w:rsidR="00443272" w:rsidRPr="002A28E1">
        <w:t>.</w:t>
      </w:r>
      <w:r w:rsidR="008D53BE" w:rsidRPr="002A28E1">
        <w:rPr>
          <w:rStyle w:val="FootnoteReference"/>
        </w:rPr>
        <w:footnoteReference w:id="528"/>
      </w:r>
      <w:r w:rsidR="00D87333" w:rsidRPr="002A28E1">
        <w:t xml:space="preserve"> </w:t>
      </w:r>
      <w:r w:rsidR="00E2607E" w:rsidRPr="002A28E1">
        <w:t>Under Lithuanian law, p</w:t>
      </w:r>
      <w:r w:rsidR="00D87333" w:rsidRPr="002A28E1">
        <w:t xml:space="preserve">ersons are not able to determine the moment at which </w:t>
      </w:r>
      <w:r w:rsidR="002647F4" w:rsidRPr="00BD3B78">
        <w:t>these directives should come into force, which is problematic from the perspective of Article 12.</w:t>
      </w:r>
      <w:r w:rsidR="002647F4" w:rsidRPr="00BD3B78">
        <w:rPr>
          <w:rStyle w:val="FootnoteReference"/>
        </w:rPr>
        <w:footnoteReference w:id="529"/>
      </w:r>
      <w:r w:rsidR="00D11D45" w:rsidRPr="00BD3B78">
        <w:t xml:space="preserve"> </w:t>
      </w:r>
      <w:r w:rsidR="00026B5A" w:rsidRPr="00BD3B78">
        <w:t>Lithuanian advance directives</w:t>
      </w:r>
      <w:r w:rsidR="00410CBD" w:rsidRPr="00BD3B78">
        <w:t xml:space="preserve"> also </w:t>
      </w:r>
      <w:r w:rsidR="00970171" w:rsidRPr="00BD3B78">
        <w:t xml:space="preserve">allow for the appointment of substituted decision-makers </w:t>
      </w:r>
      <w:r w:rsidR="00452F20" w:rsidRPr="00BD3B78">
        <w:t>and not for supportive forms of assistance.</w:t>
      </w:r>
      <w:r w:rsidR="004879F9" w:rsidRPr="00BD3B78">
        <w:rPr>
          <w:rStyle w:val="FootnoteReference"/>
        </w:rPr>
        <w:footnoteReference w:id="530"/>
      </w:r>
      <w:r w:rsidR="009B6889" w:rsidRPr="00BD3B78">
        <w:t xml:space="preserve"> </w:t>
      </w:r>
      <w:r w:rsidR="002F1F6B" w:rsidRPr="00BD3B78">
        <w:t xml:space="preserve">Additionally, </w:t>
      </w:r>
      <w:r w:rsidR="0023667A" w:rsidRPr="00BD3B78">
        <w:t>the law allows</w:t>
      </w:r>
      <w:r w:rsidR="002F1F6B" w:rsidRPr="00BD3B78">
        <w:t xml:space="preserve"> advance directives</w:t>
      </w:r>
      <w:r w:rsidR="009F265E" w:rsidRPr="00BD3B78">
        <w:t xml:space="preserve"> </w:t>
      </w:r>
      <w:r w:rsidR="00C8697F" w:rsidRPr="00BD3B78">
        <w:t>to</w:t>
      </w:r>
      <w:r w:rsidR="009F265E" w:rsidRPr="00BD3B78">
        <w:t xml:space="preserve"> </w:t>
      </w:r>
      <w:proofErr w:type="gramStart"/>
      <w:r w:rsidR="009F265E" w:rsidRPr="00BD3B78">
        <w:t xml:space="preserve">be </w:t>
      </w:r>
      <w:r w:rsidR="00B22FA5" w:rsidRPr="00BD3B78">
        <w:t>disregarded</w:t>
      </w:r>
      <w:proofErr w:type="gramEnd"/>
      <w:r w:rsidR="00B22FA5" w:rsidRPr="00BD3B78">
        <w:t xml:space="preserve"> </w:t>
      </w:r>
      <w:r w:rsidR="00B81861" w:rsidRPr="00BD3B78">
        <w:t xml:space="preserve">if </w:t>
      </w:r>
      <w:r w:rsidR="00B21A4D" w:rsidRPr="00BD3B78">
        <w:t xml:space="preserve">following their provisions </w:t>
      </w:r>
      <w:r w:rsidR="005C74A1" w:rsidRPr="00BD3B78">
        <w:t>would</w:t>
      </w:r>
      <w:r w:rsidR="004F57D7" w:rsidRPr="00BD3B78">
        <w:t xml:space="preserve"> </w:t>
      </w:r>
      <w:r w:rsidR="00DD74AB" w:rsidRPr="00BD3B78">
        <w:t>be detrimental to the person’s “best interest</w:t>
      </w:r>
      <w:r w:rsidR="00F761F9" w:rsidRPr="00BD3B78">
        <w:t>s.</w:t>
      </w:r>
      <w:r w:rsidR="00DD74AB" w:rsidRPr="00BD3B78">
        <w:t>”</w:t>
      </w:r>
      <w:r w:rsidR="008342BC" w:rsidRPr="00BD3B78">
        <w:rPr>
          <w:rStyle w:val="FootnoteReference"/>
        </w:rPr>
        <w:footnoteReference w:id="531"/>
      </w:r>
      <w:r w:rsidR="00F761F9" w:rsidRPr="00BD3B78">
        <w:t xml:space="preserve"> This </w:t>
      </w:r>
      <w:r w:rsidR="00D51566" w:rsidRPr="00BD3B78">
        <w:t>aspect of the law does not</w:t>
      </w:r>
      <w:r w:rsidR="00C44188" w:rsidRPr="00BD3B78">
        <w:t xml:space="preserve"> seem to be in line with Article 12, which puts forward the idea that supports are to further a person’s </w:t>
      </w:r>
      <w:r w:rsidR="0098774A" w:rsidRPr="00BD3B78">
        <w:t xml:space="preserve">will and </w:t>
      </w:r>
      <w:r w:rsidR="00A240DA" w:rsidRPr="00BD3B78">
        <w:t>preferences</w:t>
      </w:r>
      <w:r w:rsidR="0098774A" w:rsidRPr="00BD3B78">
        <w:t>.</w:t>
      </w:r>
      <w:r w:rsidR="009D2A02" w:rsidRPr="00BD3B78">
        <w:t xml:space="preserve"> The Special Rapporteur on the Rights of Persons with Disabilities has highlighted that it is problematic from the point of view of </w:t>
      </w:r>
      <w:r w:rsidR="00780D49" w:rsidRPr="00BD3B78">
        <w:t>Article</w:t>
      </w:r>
      <w:r w:rsidR="009D2A02" w:rsidRPr="00BD3B78">
        <w:t xml:space="preserve"> 12 when advance directives may be over</w:t>
      </w:r>
      <w:r w:rsidR="00670A76" w:rsidRPr="00BD3B78">
        <w:t>turned</w:t>
      </w:r>
      <w:r w:rsidR="009D2A02" w:rsidRPr="00BD3B78">
        <w:t>.</w:t>
      </w:r>
      <w:r w:rsidR="009D2A02" w:rsidRPr="00BD3B78">
        <w:rPr>
          <w:rStyle w:val="FootnoteReference"/>
        </w:rPr>
        <w:footnoteReference w:id="532"/>
      </w:r>
      <w:r w:rsidR="00710D5D" w:rsidRPr="00BD3B78">
        <w:t xml:space="preserve"> </w:t>
      </w:r>
      <w:r w:rsidR="009B6889" w:rsidRPr="00BD3B78">
        <w:t>Thus, it is arguable that the advance directives</w:t>
      </w:r>
      <w:r w:rsidR="00003C32" w:rsidRPr="00BD3B78">
        <w:t xml:space="preserve"> provided for under Lithuanian law</w:t>
      </w:r>
      <w:r w:rsidR="000974B7" w:rsidRPr="00BD3B78">
        <w:t xml:space="preserve"> </w:t>
      </w:r>
      <w:proofErr w:type="gramStart"/>
      <w:r w:rsidR="000974B7" w:rsidRPr="00BD3B78">
        <w:t>could not be classified</w:t>
      </w:r>
      <w:proofErr w:type="gramEnd"/>
      <w:r w:rsidR="000974B7" w:rsidRPr="00BD3B78">
        <w:t xml:space="preserve"> as </w:t>
      </w:r>
      <w:r w:rsidR="00952DAA" w:rsidRPr="00BD3B78">
        <w:t xml:space="preserve">supported decision-making measures </w:t>
      </w:r>
      <w:r w:rsidR="00A90F10" w:rsidRPr="00BD3B78">
        <w:t>using the criteria under Article 12.</w:t>
      </w:r>
    </w:p>
    <w:p w14:paraId="4EA75710" w14:textId="77777777" w:rsidR="007165C0" w:rsidRPr="002A28E1" w:rsidRDefault="007165C0"/>
    <w:p w14:paraId="0048E645" w14:textId="05A18DE5" w:rsidR="002A11D8" w:rsidRPr="002A28E1" w:rsidRDefault="003711CD" w:rsidP="002A11D8">
      <w:r w:rsidRPr="002A28E1">
        <w:t>In short</w:t>
      </w:r>
      <w:r w:rsidR="00BB4C05" w:rsidRPr="002A28E1">
        <w:t>, Lithuania’s reformed legislation on legal capacity falls short of satisfying to the requirements of Article 12.</w:t>
      </w:r>
      <w:r w:rsidR="002A11D8" w:rsidRPr="002A28E1">
        <w:t xml:space="preserve"> The CRPD Committee has urged Lithuania to replace substitute decision-making measures with supported decision-making measures.</w:t>
      </w:r>
      <w:r w:rsidR="002A11D8" w:rsidRPr="002A28E1">
        <w:rPr>
          <w:rStyle w:val="FootnoteReference"/>
        </w:rPr>
        <w:footnoteReference w:id="533"/>
      </w:r>
    </w:p>
    <w:p w14:paraId="1ED9EF08" w14:textId="0DFACE7D" w:rsidR="00BB4C05" w:rsidRPr="002A28E1" w:rsidRDefault="00BB4C05">
      <w:pPr>
        <w:rPr>
          <w:b/>
          <w:sz w:val="32"/>
          <w:szCs w:val="32"/>
        </w:rPr>
      </w:pPr>
    </w:p>
    <w:p w14:paraId="4FFE8F11" w14:textId="73C355A1" w:rsidR="0030033E" w:rsidRPr="002A28E1" w:rsidRDefault="0030033E">
      <w:pPr>
        <w:rPr>
          <w:b/>
          <w:sz w:val="32"/>
          <w:szCs w:val="32"/>
        </w:rPr>
      </w:pPr>
    </w:p>
    <w:p w14:paraId="27B909EF" w14:textId="5653C54D" w:rsidR="0030033E" w:rsidRPr="002A28E1" w:rsidRDefault="0030033E">
      <w:pPr>
        <w:rPr>
          <w:b/>
          <w:sz w:val="32"/>
          <w:szCs w:val="32"/>
        </w:rPr>
      </w:pPr>
    </w:p>
    <w:p w14:paraId="66C4F3B0" w14:textId="2CC5832D" w:rsidR="00A81240" w:rsidRPr="002A28E1" w:rsidRDefault="00A81240">
      <w:pPr>
        <w:rPr>
          <w:b/>
          <w:sz w:val="32"/>
          <w:szCs w:val="32"/>
        </w:rPr>
      </w:pPr>
    </w:p>
    <w:p w14:paraId="30461FD4" w14:textId="0D3FD0A0" w:rsidR="00A81240" w:rsidRPr="002A28E1" w:rsidRDefault="00A81240">
      <w:pPr>
        <w:rPr>
          <w:b/>
          <w:sz w:val="32"/>
          <w:szCs w:val="32"/>
        </w:rPr>
      </w:pPr>
    </w:p>
    <w:p w14:paraId="64333DF9" w14:textId="1CDD6DF9" w:rsidR="00A81240" w:rsidRPr="002A28E1" w:rsidRDefault="00A81240">
      <w:pPr>
        <w:rPr>
          <w:b/>
          <w:sz w:val="32"/>
          <w:szCs w:val="32"/>
        </w:rPr>
      </w:pPr>
    </w:p>
    <w:p w14:paraId="75D0AE3D" w14:textId="61B9509F" w:rsidR="00A81240" w:rsidRPr="002A28E1" w:rsidRDefault="00A81240">
      <w:pPr>
        <w:rPr>
          <w:b/>
          <w:sz w:val="32"/>
          <w:szCs w:val="32"/>
        </w:rPr>
      </w:pPr>
    </w:p>
    <w:p w14:paraId="1D56C459" w14:textId="24B742FB" w:rsidR="00A81240" w:rsidRPr="002A28E1" w:rsidRDefault="00A81240">
      <w:pPr>
        <w:rPr>
          <w:b/>
          <w:sz w:val="32"/>
          <w:szCs w:val="32"/>
        </w:rPr>
      </w:pPr>
    </w:p>
    <w:p w14:paraId="259156F3" w14:textId="53C171DB" w:rsidR="00A81240" w:rsidRPr="002A28E1" w:rsidRDefault="00A81240">
      <w:pPr>
        <w:rPr>
          <w:b/>
          <w:sz w:val="32"/>
          <w:szCs w:val="32"/>
        </w:rPr>
      </w:pPr>
    </w:p>
    <w:p w14:paraId="334D4C10" w14:textId="50BDF5E9" w:rsidR="00560FCB" w:rsidRPr="002A28E1" w:rsidRDefault="00560FCB" w:rsidP="00F53C06">
      <w:pPr>
        <w:pStyle w:val="Heading1"/>
      </w:pPr>
      <w:bookmarkStart w:id="62" w:name="_Toc16081762"/>
      <w:r w:rsidRPr="002A28E1">
        <w:lastRenderedPageBreak/>
        <w:t>Hungary</w:t>
      </w:r>
      <w:bookmarkEnd w:id="62"/>
    </w:p>
    <w:p w14:paraId="6C91A253" w14:textId="06020171" w:rsidR="00162FEC" w:rsidRPr="002A28E1" w:rsidRDefault="004F53C2">
      <w:pPr>
        <w:rPr>
          <w:rFonts w:ascii="times" w:hAnsi="times"/>
        </w:rPr>
      </w:pPr>
      <w:r w:rsidRPr="002A28E1">
        <w:rPr>
          <w:rFonts w:ascii="times" w:hAnsi="times"/>
        </w:rPr>
        <w:t>Hungary</w:t>
      </w:r>
      <w:r w:rsidR="003A5CDD" w:rsidRPr="002A28E1">
        <w:rPr>
          <w:rFonts w:ascii="times" w:hAnsi="times"/>
        </w:rPr>
        <w:t xml:space="preserve"> was the first country in Europe to</w:t>
      </w:r>
      <w:r w:rsidRPr="002A28E1">
        <w:rPr>
          <w:rFonts w:ascii="times" w:hAnsi="times"/>
        </w:rPr>
        <w:t xml:space="preserve"> ratif</w:t>
      </w:r>
      <w:r w:rsidR="003A5CDD" w:rsidRPr="002A28E1">
        <w:rPr>
          <w:rFonts w:ascii="times" w:hAnsi="times"/>
        </w:rPr>
        <w:t>y</w:t>
      </w:r>
      <w:r w:rsidRPr="002A28E1">
        <w:rPr>
          <w:rFonts w:ascii="times" w:hAnsi="times"/>
        </w:rPr>
        <w:t xml:space="preserve"> the CRPD in 2007.</w:t>
      </w:r>
      <w:r w:rsidR="00582E6C" w:rsidRPr="002A28E1">
        <w:rPr>
          <w:rStyle w:val="FootnoteReference"/>
          <w:rFonts w:ascii="times" w:hAnsi="times"/>
        </w:rPr>
        <w:footnoteReference w:id="534"/>
      </w:r>
      <w:r w:rsidR="00846049" w:rsidRPr="002A28E1">
        <w:rPr>
          <w:rFonts w:ascii="times" w:hAnsi="times"/>
        </w:rPr>
        <w:t xml:space="preserve"> Mental Disability Ad</w:t>
      </w:r>
      <w:r w:rsidR="00856F9F" w:rsidRPr="002A28E1">
        <w:rPr>
          <w:rFonts w:ascii="times" w:hAnsi="times"/>
        </w:rPr>
        <w:t>v</w:t>
      </w:r>
      <w:r w:rsidR="00846049" w:rsidRPr="002A28E1">
        <w:rPr>
          <w:rFonts w:ascii="times" w:hAnsi="times"/>
        </w:rPr>
        <w:t>ocacy Centre (MDAC)</w:t>
      </w:r>
      <w:r w:rsidR="00C94C2A" w:rsidRPr="002A28E1">
        <w:rPr>
          <w:rFonts w:ascii="times" w:hAnsi="times"/>
        </w:rPr>
        <w:t xml:space="preserve"> contends that Hungary was also the first country in the world </w:t>
      </w:r>
      <w:r w:rsidR="00832D7A" w:rsidRPr="002A28E1">
        <w:rPr>
          <w:rFonts w:ascii="times" w:hAnsi="times"/>
        </w:rPr>
        <w:t xml:space="preserve">to </w:t>
      </w:r>
      <w:r w:rsidR="00691F13" w:rsidRPr="002A28E1">
        <w:rPr>
          <w:rFonts w:ascii="times" w:hAnsi="times"/>
        </w:rPr>
        <w:t xml:space="preserve">devise </w:t>
      </w:r>
      <w:r w:rsidR="00F07531" w:rsidRPr="00485B2E">
        <w:rPr>
          <w:rFonts w:ascii="times" w:hAnsi="times"/>
        </w:rPr>
        <w:t xml:space="preserve">CRPD-inspired </w:t>
      </w:r>
      <w:r w:rsidR="005F635C" w:rsidRPr="00485B2E">
        <w:rPr>
          <w:rFonts w:ascii="times" w:hAnsi="times"/>
        </w:rPr>
        <w:t>legislation</w:t>
      </w:r>
      <w:r w:rsidR="00FE6E6C" w:rsidRPr="002A28E1">
        <w:rPr>
          <w:rFonts w:ascii="times" w:hAnsi="times"/>
        </w:rPr>
        <w:t xml:space="preserve"> on legal capacity</w:t>
      </w:r>
      <w:r w:rsidR="005F635C" w:rsidRPr="002A28E1">
        <w:rPr>
          <w:rFonts w:ascii="times" w:hAnsi="times"/>
        </w:rPr>
        <w:t>.</w:t>
      </w:r>
      <w:r w:rsidR="00893D26" w:rsidRPr="002A28E1">
        <w:rPr>
          <w:rStyle w:val="FootnoteReference"/>
          <w:rFonts w:ascii="times" w:hAnsi="times"/>
        </w:rPr>
        <w:footnoteReference w:id="535"/>
      </w:r>
      <w:r w:rsidR="00F4397E" w:rsidRPr="002A28E1">
        <w:rPr>
          <w:rFonts w:ascii="times" w:hAnsi="times"/>
        </w:rPr>
        <w:t xml:space="preserve"> </w:t>
      </w:r>
      <w:r w:rsidR="00F70AC5" w:rsidRPr="002A28E1">
        <w:rPr>
          <w:rFonts w:ascii="times" w:hAnsi="times"/>
        </w:rPr>
        <w:t xml:space="preserve">In 2009, the Hungarian </w:t>
      </w:r>
      <w:r w:rsidR="00E518DC" w:rsidRPr="002A28E1">
        <w:rPr>
          <w:rFonts w:ascii="times" w:hAnsi="times"/>
        </w:rPr>
        <w:t>P</w:t>
      </w:r>
      <w:r w:rsidR="00F70AC5" w:rsidRPr="002A28E1">
        <w:rPr>
          <w:rFonts w:ascii="times" w:hAnsi="times"/>
        </w:rPr>
        <w:t xml:space="preserve">arliament </w:t>
      </w:r>
      <w:r w:rsidR="000B3184" w:rsidRPr="002A28E1">
        <w:rPr>
          <w:rFonts w:ascii="times" w:hAnsi="times"/>
        </w:rPr>
        <w:t xml:space="preserve">voted to </w:t>
      </w:r>
      <w:r w:rsidR="00797A08" w:rsidRPr="002A28E1">
        <w:rPr>
          <w:rFonts w:ascii="times" w:hAnsi="times"/>
        </w:rPr>
        <w:t xml:space="preserve">enact a new Civil </w:t>
      </w:r>
      <w:proofErr w:type="gramStart"/>
      <w:r w:rsidR="00797A08" w:rsidRPr="002A28E1">
        <w:rPr>
          <w:rFonts w:ascii="times" w:hAnsi="times"/>
        </w:rPr>
        <w:t xml:space="preserve">Code </w:t>
      </w:r>
      <w:r w:rsidR="00797A08" w:rsidRPr="000B17AA">
        <w:rPr>
          <w:rFonts w:ascii="times" w:hAnsi="times"/>
        </w:rPr>
        <w:t>which</w:t>
      </w:r>
      <w:proofErr w:type="gramEnd"/>
      <w:r w:rsidR="00797A08" w:rsidRPr="000B17AA">
        <w:rPr>
          <w:rFonts w:ascii="times" w:hAnsi="times"/>
        </w:rPr>
        <w:t xml:space="preserve"> </w:t>
      </w:r>
      <w:r w:rsidR="00EC4903" w:rsidRPr="000B17AA">
        <w:rPr>
          <w:rFonts w:ascii="times" w:hAnsi="times"/>
        </w:rPr>
        <w:t xml:space="preserve">would have </w:t>
      </w:r>
      <w:r w:rsidR="00C42C48" w:rsidRPr="000B17AA">
        <w:rPr>
          <w:rFonts w:ascii="times" w:hAnsi="times"/>
        </w:rPr>
        <w:t>eliminated plenary guardianship</w:t>
      </w:r>
      <w:r w:rsidR="00D374A4" w:rsidRPr="000B17AA">
        <w:rPr>
          <w:rFonts w:ascii="times" w:hAnsi="times"/>
        </w:rPr>
        <w:t xml:space="preserve"> and provided for supported</w:t>
      </w:r>
      <w:r w:rsidR="002972F0" w:rsidRPr="000B17AA">
        <w:rPr>
          <w:rFonts w:ascii="times" w:hAnsi="times"/>
        </w:rPr>
        <w:t>-decision making</w:t>
      </w:r>
      <w:r w:rsidR="001D5D3B" w:rsidRPr="000B17AA">
        <w:rPr>
          <w:rFonts w:ascii="times" w:hAnsi="times"/>
        </w:rPr>
        <w:t>.</w:t>
      </w:r>
      <w:r w:rsidR="005A38EB" w:rsidRPr="000B17AA">
        <w:rPr>
          <w:rStyle w:val="FootnoteReference"/>
          <w:rFonts w:ascii="times" w:hAnsi="times"/>
        </w:rPr>
        <w:footnoteReference w:id="536"/>
      </w:r>
      <w:r w:rsidR="001D5D3B" w:rsidRPr="000B17AA">
        <w:rPr>
          <w:rFonts w:ascii="times" w:hAnsi="times"/>
        </w:rPr>
        <w:t xml:space="preserve"> </w:t>
      </w:r>
      <w:r w:rsidR="00325677" w:rsidRPr="000B17AA">
        <w:rPr>
          <w:rFonts w:ascii="times" w:hAnsi="times"/>
        </w:rPr>
        <w:t>Th</w:t>
      </w:r>
      <w:r w:rsidR="006547FE" w:rsidRPr="000B17AA">
        <w:rPr>
          <w:rFonts w:ascii="times" w:hAnsi="times"/>
        </w:rPr>
        <w:t>is</w:t>
      </w:r>
      <w:r w:rsidR="00325677" w:rsidRPr="000B17AA">
        <w:rPr>
          <w:rFonts w:ascii="times" w:hAnsi="times"/>
        </w:rPr>
        <w:t xml:space="preserve"> </w:t>
      </w:r>
      <w:r w:rsidR="00946231" w:rsidRPr="000B17AA">
        <w:rPr>
          <w:rFonts w:ascii="times" w:hAnsi="times"/>
        </w:rPr>
        <w:t>new Code never entered into force</w:t>
      </w:r>
      <w:r w:rsidR="005D177B" w:rsidRPr="000B17AA">
        <w:rPr>
          <w:rFonts w:ascii="times" w:hAnsi="times"/>
        </w:rPr>
        <w:t>, however,</w:t>
      </w:r>
      <w:r w:rsidR="00FD1CD1" w:rsidRPr="000B17AA">
        <w:rPr>
          <w:rFonts w:ascii="times" w:hAnsi="times"/>
        </w:rPr>
        <w:t xml:space="preserve"> because </w:t>
      </w:r>
      <w:r w:rsidR="00F346AB" w:rsidRPr="000B17AA">
        <w:rPr>
          <w:rFonts w:ascii="times" w:hAnsi="times"/>
        </w:rPr>
        <w:t xml:space="preserve">an opposition member of parliament </w:t>
      </w:r>
      <w:r w:rsidR="00A629F1" w:rsidRPr="000B17AA">
        <w:rPr>
          <w:rFonts w:ascii="times" w:hAnsi="times"/>
        </w:rPr>
        <w:t>successful</w:t>
      </w:r>
      <w:r w:rsidR="003A53CB" w:rsidRPr="000B17AA">
        <w:rPr>
          <w:rFonts w:ascii="times" w:hAnsi="times"/>
        </w:rPr>
        <w:t xml:space="preserve">ly </w:t>
      </w:r>
      <w:r w:rsidR="00A629F1" w:rsidRPr="000B17AA">
        <w:rPr>
          <w:rFonts w:ascii="times" w:hAnsi="times"/>
        </w:rPr>
        <w:t>challenge</w:t>
      </w:r>
      <w:r w:rsidR="00187915" w:rsidRPr="000B17AA">
        <w:rPr>
          <w:rFonts w:ascii="times" w:hAnsi="times"/>
        </w:rPr>
        <w:t>d</w:t>
      </w:r>
      <w:r w:rsidR="00A629F1" w:rsidRPr="000B17AA">
        <w:rPr>
          <w:rFonts w:ascii="times" w:hAnsi="times"/>
        </w:rPr>
        <w:t xml:space="preserve"> the law</w:t>
      </w:r>
      <w:r w:rsidR="00187915" w:rsidRPr="000B17AA">
        <w:rPr>
          <w:rFonts w:ascii="times" w:hAnsi="times"/>
        </w:rPr>
        <w:t xml:space="preserve"> before the Constitutional Court.</w:t>
      </w:r>
      <w:r w:rsidR="009C7440" w:rsidRPr="000B17AA">
        <w:rPr>
          <w:rStyle w:val="FootnoteReference"/>
          <w:rFonts w:ascii="times" w:hAnsi="times"/>
        </w:rPr>
        <w:footnoteReference w:id="537"/>
      </w:r>
      <w:r w:rsidR="00A629F1" w:rsidRPr="000B17AA">
        <w:rPr>
          <w:rFonts w:ascii="times" w:hAnsi="times"/>
        </w:rPr>
        <w:t xml:space="preserve"> </w:t>
      </w:r>
      <w:r w:rsidR="006F57F6" w:rsidRPr="000B17AA">
        <w:rPr>
          <w:rFonts w:ascii="times" w:hAnsi="times"/>
        </w:rPr>
        <w:t xml:space="preserve">Nevertheless, </w:t>
      </w:r>
      <w:r w:rsidR="00F4397E" w:rsidRPr="000B17AA">
        <w:rPr>
          <w:rFonts w:ascii="times" w:hAnsi="times"/>
        </w:rPr>
        <w:t>Hungary</w:t>
      </w:r>
      <w:r w:rsidR="00F8606F" w:rsidRPr="000B17AA">
        <w:rPr>
          <w:rFonts w:ascii="times" w:hAnsi="times"/>
        </w:rPr>
        <w:t xml:space="preserve"> ultimately</w:t>
      </w:r>
      <w:r w:rsidR="00F4397E" w:rsidRPr="000B17AA">
        <w:rPr>
          <w:rFonts w:ascii="times" w:hAnsi="times"/>
        </w:rPr>
        <w:t xml:space="preserve"> enacted changes to its </w:t>
      </w:r>
      <w:r w:rsidR="00C62154" w:rsidRPr="000B17AA">
        <w:rPr>
          <w:rFonts w:ascii="times" w:hAnsi="times"/>
        </w:rPr>
        <w:t xml:space="preserve">law </w:t>
      </w:r>
      <w:r w:rsidR="002A4F28" w:rsidRPr="000B17AA">
        <w:rPr>
          <w:rFonts w:ascii="times" w:hAnsi="times"/>
        </w:rPr>
        <w:t xml:space="preserve">on legal capacity </w:t>
      </w:r>
      <w:r w:rsidR="00F4397E" w:rsidRPr="000B17AA">
        <w:rPr>
          <w:rFonts w:ascii="times" w:hAnsi="times"/>
        </w:rPr>
        <w:t xml:space="preserve">through Act V of 2013 on the New Civil Code, which entered into force in </w:t>
      </w:r>
      <w:r w:rsidR="0079388D" w:rsidRPr="000B17AA">
        <w:rPr>
          <w:rFonts w:ascii="times" w:hAnsi="times"/>
        </w:rPr>
        <w:t>2014</w:t>
      </w:r>
      <w:r w:rsidR="002821E3" w:rsidRPr="000B17AA">
        <w:rPr>
          <w:rFonts w:ascii="times" w:hAnsi="times"/>
        </w:rPr>
        <w:t>.</w:t>
      </w:r>
      <w:bookmarkStart w:id="63" w:name="_Ref15301220"/>
      <w:r w:rsidR="000D2667" w:rsidRPr="000B17AA">
        <w:rPr>
          <w:rStyle w:val="FootnoteReference"/>
          <w:rFonts w:ascii="times" w:hAnsi="times"/>
        </w:rPr>
        <w:footnoteReference w:id="538"/>
      </w:r>
      <w:bookmarkEnd w:id="63"/>
      <w:r w:rsidR="002821E3" w:rsidRPr="000B17AA">
        <w:rPr>
          <w:rFonts w:ascii="times" w:hAnsi="times"/>
        </w:rPr>
        <w:t xml:space="preserve"> </w:t>
      </w:r>
      <w:r w:rsidR="00F711A9" w:rsidRPr="000B17AA">
        <w:rPr>
          <w:rFonts w:ascii="times" w:hAnsi="times"/>
        </w:rPr>
        <w:t xml:space="preserve">Despite </w:t>
      </w:r>
      <w:r w:rsidR="00F52EBE">
        <w:rPr>
          <w:rFonts w:ascii="times" w:hAnsi="times"/>
        </w:rPr>
        <w:t>providing for</w:t>
      </w:r>
      <w:r w:rsidR="00F711A9" w:rsidRPr="000B17AA">
        <w:rPr>
          <w:rFonts w:ascii="times" w:hAnsi="times"/>
        </w:rPr>
        <w:t xml:space="preserve"> </w:t>
      </w:r>
      <w:r w:rsidR="008A74C4" w:rsidRPr="000B17AA">
        <w:rPr>
          <w:rFonts w:ascii="times" w:hAnsi="times"/>
        </w:rPr>
        <w:t>the institution of guardianship and fully restricted</w:t>
      </w:r>
      <w:r w:rsidR="008A74C4" w:rsidRPr="002A28E1">
        <w:rPr>
          <w:rFonts w:ascii="times" w:hAnsi="times"/>
        </w:rPr>
        <w:t xml:space="preserve"> legal capacity,</w:t>
      </w:r>
      <w:r w:rsidR="00F407D1">
        <w:rPr>
          <w:rStyle w:val="FootnoteReference"/>
          <w:rFonts w:ascii="times" w:hAnsi="times"/>
        </w:rPr>
        <w:footnoteReference w:id="539"/>
      </w:r>
      <w:r w:rsidR="008A74C4" w:rsidRPr="002A28E1">
        <w:rPr>
          <w:rFonts w:ascii="times" w:hAnsi="times"/>
        </w:rPr>
        <w:t xml:space="preserve"> </w:t>
      </w:r>
      <w:r w:rsidR="004D30C0" w:rsidRPr="002A28E1">
        <w:rPr>
          <w:rFonts w:ascii="times" w:hAnsi="times"/>
        </w:rPr>
        <w:t>Hungary’s new Civil Code</w:t>
      </w:r>
      <w:r w:rsidR="00FC0A87" w:rsidRPr="002A28E1">
        <w:rPr>
          <w:rFonts w:ascii="times" w:hAnsi="times"/>
        </w:rPr>
        <w:t xml:space="preserve"> </w:t>
      </w:r>
      <w:r w:rsidR="00335526" w:rsidRPr="002A28E1">
        <w:rPr>
          <w:rFonts w:ascii="times" w:hAnsi="times"/>
        </w:rPr>
        <w:t>introduces</w:t>
      </w:r>
      <w:r w:rsidR="00F52387" w:rsidRPr="002A28E1">
        <w:rPr>
          <w:rFonts w:ascii="times" w:hAnsi="times"/>
        </w:rPr>
        <w:t xml:space="preserve"> supported decision-making</w:t>
      </w:r>
      <w:r w:rsidR="005D703B" w:rsidRPr="002A28E1">
        <w:rPr>
          <w:rFonts w:ascii="times" w:hAnsi="times"/>
        </w:rPr>
        <w:t xml:space="preserve"> measures.</w:t>
      </w:r>
      <w:r w:rsidR="00F3088C">
        <w:rPr>
          <w:rStyle w:val="FootnoteReference"/>
          <w:rFonts w:ascii="times" w:hAnsi="times"/>
        </w:rPr>
        <w:footnoteReference w:id="540"/>
      </w:r>
      <w:r w:rsidR="00D45758" w:rsidRPr="002A28E1">
        <w:rPr>
          <w:rFonts w:ascii="times" w:hAnsi="times"/>
        </w:rPr>
        <w:t xml:space="preserve"> Moreover, </w:t>
      </w:r>
      <w:r w:rsidR="002203BC" w:rsidRPr="002A28E1">
        <w:rPr>
          <w:rFonts w:ascii="times" w:hAnsi="times"/>
        </w:rPr>
        <w:t xml:space="preserve">a </w:t>
      </w:r>
      <w:r w:rsidR="006C682F" w:rsidRPr="002A28E1">
        <w:rPr>
          <w:rFonts w:ascii="times" w:hAnsi="times"/>
        </w:rPr>
        <w:t>separate act, Act CLV of 2013 on Supported Decision-Making</w:t>
      </w:r>
      <w:r w:rsidR="006D52A1" w:rsidRPr="002A28E1">
        <w:rPr>
          <w:rFonts w:ascii="times" w:hAnsi="times"/>
        </w:rPr>
        <w:t xml:space="preserve">, </w:t>
      </w:r>
      <w:r w:rsidR="00E06AFF" w:rsidRPr="002A28E1">
        <w:rPr>
          <w:rFonts w:ascii="times" w:hAnsi="times"/>
        </w:rPr>
        <w:t xml:space="preserve">establishes </w:t>
      </w:r>
      <w:r w:rsidR="00053E49" w:rsidRPr="002A28E1">
        <w:rPr>
          <w:rFonts w:ascii="times" w:hAnsi="times"/>
        </w:rPr>
        <w:t>detailed rules for supported decision-making</w:t>
      </w:r>
      <w:r w:rsidR="000F7FA5" w:rsidRPr="002A28E1">
        <w:rPr>
          <w:rFonts w:ascii="times" w:hAnsi="times"/>
        </w:rPr>
        <w:t xml:space="preserve"> in Hungary.</w:t>
      </w:r>
      <w:bookmarkStart w:id="64" w:name="_Ref15301253"/>
      <w:r w:rsidR="000D2667">
        <w:rPr>
          <w:rStyle w:val="FootnoteReference"/>
          <w:rFonts w:ascii="times" w:hAnsi="times"/>
        </w:rPr>
        <w:footnoteReference w:id="541"/>
      </w:r>
      <w:bookmarkEnd w:id="64"/>
    </w:p>
    <w:p w14:paraId="743E4A36" w14:textId="5F1EB59A" w:rsidR="00E943F8" w:rsidRPr="002A28E1" w:rsidRDefault="00E943F8">
      <w:pPr>
        <w:rPr>
          <w:rFonts w:ascii="times" w:hAnsi="times"/>
        </w:rPr>
      </w:pPr>
    </w:p>
    <w:p w14:paraId="3ABCACE4" w14:textId="75604A0F" w:rsidR="00F30455" w:rsidRPr="002A28E1" w:rsidRDefault="00826A44" w:rsidP="007E2F68">
      <w:pPr>
        <w:rPr>
          <w:rFonts w:ascii="times" w:hAnsi="times"/>
        </w:rPr>
      </w:pPr>
      <w:r w:rsidRPr="002A28E1">
        <w:rPr>
          <w:rFonts w:ascii="times" w:hAnsi="times"/>
        </w:rPr>
        <w:t>The Hungarian Disability Caucus</w:t>
      </w:r>
      <w:r w:rsidR="004C0C56" w:rsidRPr="002A28E1">
        <w:rPr>
          <w:rFonts w:ascii="times" w:hAnsi="times"/>
        </w:rPr>
        <w:t xml:space="preserve"> </w:t>
      </w:r>
      <w:r w:rsidR="004C0C56" w:rsidRPr="00374237">
        <w:rPr>
          <w:rFonts w:ascii="times" w:hAnsi="times"/>
        </w:rPr>
        <w:t>(</w:t>
      </w:r>
      <w:r w:rsidRPr="00374237">
        <w:rPr>
          <w:rFonts w:ascii="times" w:hAnsi="times"/>
        </w:rPr>
        <w:t xml:space="preserve">a coalition </w:t>
      </w:r>
      <w:r w:rsidR="00207A61" w:rsidRPr="00374237">
        <w:rPr>
          <w:rFonts w:ascii="times" w:hAnsi="times"/>
        </w:rPr>
        <w:t>of disabled peoples organizations and their allies</w:t>
      </w:r>
      <w:r w:rsidR="004C0C56" w:rsidRPr="00374237">
        <w:rPr>
          <w:rFonts w:ascii="times" w:hAnsi="times"/>
        </w:rPr>
        <w:t>)</w:t>
      </w:r>
      <w:r w:rsidR="004C0C56" w:rsidRPr="002A28E1">
        <w:rPr>
          <w:rFonts w:ascii="times" w:hAnsi="times"/>
        </w:rPr>
        <w:t xml:space="preserve"> </w:t>
      </w:r>
      <w:r w:rsidR="002479FD" w:rsidRPr="002A28E1">
        <w:rPr>
          <w:rFonts w:ascii="times" w:hAnsi="times"/>
        </w:rPr>
        <w:t xml:space="preserve">contends that </w:t>
      </w:r>
      <w:r w:rsidR="00166C92" w:rsidRPr="002A28E1">
        <w:rPr>
          <w:rFonts w:ascii="times" w:hAnsi="times"/>
        </w:rPr>
        <w:t>Hungary’s new Civil Code was “drafted by law professors</w:t>
      </w:r>
      <w:r w:rsidR="00456C20" w:rsidRPr="002A28E1">
        <w:rPr>
          <w:rFonts w:ascii="times" w:hAnsi="times"/>
        </w:rPr>
        <w:t xml:space="preserve"> behind closed doors without any meaningful consultation </w:t>
      </w:r>
      <w:r w:rsidR="002B57E5" w:rsidRPr="002A28E1">
        <w:rPr>
          <w:rFonts w:ascii="times" w:hAnsi="times"/>
        </w:rPr>
        <w:t>with the Hungarian disability movement.</w:t>
      </w:r>
      <w:r w:rsidR="00834076" w:rsidRPr="002A28E1">
        <w:rPr>
          <w:rFonts w:ascii="times" w:hAnsi="times"/>
        </w:rPr>
        <w:t>”</w:t>
      </w:r>
      <w:r w:rsidR="003F0863" w:rsidRPr="002A28E1">
        <w:rPr>
          <w:rStyle w:val="FootnoteReference"/>
          <w:rFonts w:ascii="times" w:hAnsi="times"/>
        </w:rPr>
        <w:footnoteReference w:id="542"/>
      </w:r>
      <w:r w:rsidR="00854199" w:rsidRPr="002A28E1">
        <w:rPr>
          <w:rFonts w:ascii="times" w:hAnsi="times"/>
        </w:rPr>
        <w:t xml:space="preserve"> </w:t>
      </w:r>
      <w:r w:rsidRPr="002A28E1">
        <w:rPr>
          <w:rFonts w:ascii="times" w:hAnsi="times"/>
        </w:rPr>
        <w:t xml:space="preserve"> </w:t>
      </w:r>
      <w:r w:rsidR="000B3497" w:rsidRPr="002A28E1">
        <w:rPr>
          <w:rFonts w:ascii="times" w:hAnsi="times"/>
        </w:rPr>
        <w:t>When a</w:t>
      </w:r>
      <w:r w:rsidR="007E2F68" w:rsidRPr="002A28E1">
        <w:rPr>
          <w:rFonts w:ascii="times" w:hAnsi="times"/>
        </w:rPr>
        <w:t xml:space="preserve"> draft version of the new Civil Code </w:t>
      </w:r>
      <w:proofErr w:type="gramStart"/>
      <w:r w:rsidR="007E2F68" w:rsidRPr="002A28E1">
        <w:rPr>
          <w:rFonts w:ascii="times" w:hAnsi="times"/>
        </w:rPr>
        <w:t xml:space="preserve">was </w:t>
      </w:r>
      <w:r w:rsidR="004F1208" w:rsidRPr="002A28E1">
        <w:rPr>
          <w:rFonts w:ascii="times" w:hAnsi="times"/>
        </w:rPr>
        <w:t>distributed</w:t>
      </w:r>
      <w:proofErr w:type="gramEnd"/>
      <w:r w:rsidR="004F1208" w:rsidRPr="002A28E1">
        <w:rPr>
          <w:rFonts w:ascii="times" w:hAnsi="times"/>
        </w:rPr>
        <w:t xml:space="preserve"> for public consultation in 2012</w:t>
      </w:r>
      <w:r w:rsidR="005A75D3" w:rsidRPr="002A28E1">
        <w:rPr>
          <w:rFonts w:ascii="times" w:hAnsi="times"/>
        </w:rPr>
        <w:t xml:space="preserve">, Hungarian civil society was </w:t>
      </w:r>
      <w:r w:rsidR="00CD2C2A" w:rsidRPr="002A28E1">
        <w:rPr>
          <w:rFonts w:ascii="times" w:hAnsi="times"/>
        </w:rPr>
        <w:t>merely</w:t>
      </w:r>
      <w:r w:rsidR="005A75D3" w:rsidRPr="002A28E1">
        <w:rPr>
          <w:rFonts w:ascii="times" w:hAnsi="times"/>
        </w:rPr>
        <w:t xml:space="preserve"> provided with a period of one month </w:t>
      </w:r>
      <w:r w:rsidR="00AB7A89" w:rsidRPr="002A28E1">
        <w:rPr>
          <w:rFonts w:ascii="times" w:hAnsi="times"/>
        </w:rPr>
        <w:t xml:space="preserve">to submit comments </w:t>
      </w:r>
      <w:r w:rsidR="00A35AF1" w:rsidRPr="002A28E1">
        <w:rPr>
          <w:rFonts w:ascii="times" w:hAnsi="times"/>
        </w:rPr>
        <w:t>on the legislation.</w:t>
      </w:r>
      <w:r w:rsidR="00374237">
        <w:rPr>
          <w:rStyle w:val="FootnoteReference"/>
          <w:rFonts w:ascii="times" w:hAnsi="times"/>
        </w:rPr>
        <w:footnoteReference w:id="543"/>
      </w:r>
      <w:r w:rsidR="00A35AF1" w:rsidRPr="002A28E1">
        <w:rPr>
          <w:rFonts w:ascii="times" w:hAnsi="times"/>
        </w:rPr>
        <w:t xml:space="preserve"> </w:t>
      </w:r>
      <w:r w:rsidR="00042E09" w:rsidRPr="002A28E1">
        <w:rPr>
          <w:rFonts w:ascii="times" w:hAnsi="times"/>
        </w:rPr>
        <w:t xml:space="preserve">According to the Hungarian Disability Caucus, </w:t>
      </w:r>
      <w:r w:rsidR="00A10847" w:rsidRPr="002A28E1">
        <w:rPr>
          <w:rFonts w:ascii="times" w:hAnsi="times"/>
        </w:rPr>
        <w:t>a single</w:t>
      </w:r>
      <w:r w:rsidR="00042E09" w:rsidRPr="002A28E1">
        <w:rPr>
          <w:rFonts w:ascii="times" w:hAnsi="times"/>
        </w:rPr>
        <w:t xml:space="preserve"> month </w:t>
      </w:r>
      <w:r w:rsidR="00A10847" w:rsidRPr="002A28E1">
        <w:rPr>
          <w:rFonts w:ascii="times" w:hAnsi="times"/>
        </w:rPr>
        <w:t>“was insufficient for such an extensive new piece of legislation incorporating several conceptual changes.”</w:t>
      </w:r>
      <w:r w:rsidR="00180463" w:rsidRPr="002A28E1">
        <w:rPr>
          <w:rStyle w:val="FootnoteReference"/>
          <w:rFonts w:ascii="times" w:hAnsi="times"/>
        </w:rPr>
        <w:footnoteReference w:id="544"/>
      </w:r>
      <w:r w:rsidR="00A10847" w:rsidRPr="002A28E1">
        <w:rPr>
          <w:rFonts w:ascii="times" w:hAnsi="times"/>
        </w:rPr>
        <w:t xml:space="preserve"> </w:t>
      </w:r>
    </w:p>
    <w:p w14:paraId="348FDF2C" w14:textId="77777777" w:rsidR="00F30455" w:rsidRPr="002A28E1" w:rsidRDefault="00F30455" w:rsidP="007E2F68">
      <w:pPr>
        <w:rPr>
          <w:rFonts w:ascii="times" w:hAnsi="times"/>
        </w:rPr>
      </w:pPr>
    </w:p>
    <w:p w14:paraId="3B387590" w14:textId="06B12B5D" w:rsidR="00945CAA" w:rsidRPr="002A28E1" w:rsidRDefault="00E87DD4" w:rsidP="007E2F68">
      <w:pPr>
        <w:rPr>
          <w:rFonts w:ascii="times" w:hAnsi="times"/>
        </w:rPr>
      </w:pPr>
      <w:r w:rsidRPr="002A28E1">
        <w:rPr>
          <w:rFonts w:ascii="times" w:hAnsi="times"/>
        </w:rPr>
        <w:t>C</w:t>
      </w:r>
      <w:r w:rsidR="00250112" w:rsidRPr="002A28E1">
        <w:rPr>
          <w:rFonts w:ascii="times" w:hAnsi="times"/>
        </w:rPr>
        <w:t xml:space="preserve">ivil society organizations like the Hungarian Autistic Society (AOSZ) </w:t>
      </w:r>
      <w:r w:rsidR="00191B03" w:rsidRPr="002A28E1">
        <w:rPr>
          <w:rFonts w:ascii="times" w:hAnsi="times"/>
        </w:rPr>
        <w:t>expressed</w:t>
      </w:r>
      <w:r w:rsidR="0033400C" w:rsidRPr="002A28E1">
        <w:rPr>
          <w:rFonts w:ascii="times" w:hAnsi="times"/>
        </w:rPr>
        <w:t xml:space="preserve"> </w:t>
      </w:r>
      <w:r w:rsidR="001B2887" w:rsidRPr="002A28E1">
        <w:rPr>
          <w:rFonts w:ascii="times" w:hAnsi="times"/>
        </w:rPr>
        <w:t>concerns</w:t>
      </w:r>
      <w:r w:rsidR="00D10131" w:rsidRPr="002A28E1">
        <w:rPr>
          <w:rFonts w:ascii="times" w:hAnsi="times"/>
        </w:rPr>
        <w:t xml:space="preserve"> that</w:t>
      </w:r>
      <w:r w:rsidR="00374056" w:rsidRPr="002A28E1">
        <w:rPr>
          <w:rFonts w:ascii="times" w:hAnsi="times"/>
        </w:rPr>
        <w:t xml:space="preserve"> the </w:t>
      </w:r>
      <w:r w:rsidR="00682404" w:rsidRPr="002A28E1">
        <w:rPr>
          <w:rFonts w:ascii="times" w:hAnsi="times"/>
        </w:rPr>
        <w:t xml:space="preserve">proposed </w:t>
      </w:r>
      <w:r w:rsidR="00682404" w:rsidRPr="00DC7F4B">
        <w:rPr>
          <w:rFonts w:ascii="times" w:hAnsi="times"/>
        </w:rPr>
        <w:t>law</w:t>
      </w:r>
      <w:r w:rsidR="00407E51" w:rsidRPr="00DC7F4B">
        <w:rPr>
          <w:rFonts w:ascii="times" w:hAnsi="times"/>
        </w:rPr>
        <w:t xml:space="preserve"> did not </w:t>
      </w:r>
      <w:r w:rsidR="00B13B68" w:rsidRPr="00DC7F4B">
        <w:rPr>
          <w:rFonts w:ascii="times" w:hAnsi="times"/>
        </w:rPr>
        <w:t xml:space="preserve">sufficiently embrace </w:t>
      </w:r>
      <w:r w:rsidR="00E518DC" w:rsidRPr="00DC7F4B">
        <w:rPr>
          <w:rFonts w:ascii="times" w:hAnsi="times"/>
        </w:rPr>
        <w:t xml:space="preserve">the </w:t>
      </w:r>
      <w:r w:rsidR="00B13B68" w:rsidRPr="00DC7F4B">
        <w:rPr>
          <w:rFonts w:ascii="times" w:hAnsi="times"/>
        </w:rPr>
        <w:t>supported decision-making model</w:t>
      </w:r>
      <w:r w:rsidR="000C5418" w:rsidRPr="00DC7F4B">
        <w:rPr>
          <w:rFonts w:ascii="times" w:hAnsi="times"/>
        </w:rPr>
        <w:t xml:space="preserve">, but </w:t>
      </w:r>
      <w:proofErr w:type="gramStart"/>
      <w:r w:rsidR="000C5418" w:rsidRPr="00DC7F4B">
        <w:rPr>
          <w:rFonts w:ascii="times" w:hAnsi="times"/>
        </w:rPr>
        <w:t>these</w:t>
      </w:r>
      <w:r w:rsidR="000C5418" w:rsidRPr="002A28E1">
        <w:rPr>
          <w:rFonts w:ascii="times" w:hAnsi="times"/>
        </w:rPr>
        <w:t xml:space="preserve"> criticisms were </w:t>
      </w:r>
      <w:r w:rsidR="00045308" w:rsidRPr="002A28E1">
        <w:rPr>
          <w:rFonts w:ascii="times" w:hAnsi="times"/>
        </w:rPr>
        <w:t xml:space="preserve">ultimately </w:t>
      </w:r>
      <w:r w:rsidR="000C5418" w:rsidRPr="002A28E1">
        <w:rPr>
          <w:rFonts w:ascii="times" w:hAnsi="times"/>
        </w:rPr>
        <w:t>disregarded by the Hungarian Parliament</w:t>
      </w:r>
      <w:proofErr w:type="gramEnd"/>
      <w:r w:rsidR="000A7E37" w:rsidRPr="002A28E1">
        <w:rPr>
          <w:rFonts w:ascii="times" w:hAnsi="times"/>
        </w:rPr>
        <w:t>.</w:t>
      </w:r>
      <w:r w:rsidR="000A7E37" w:rsidRPr="002A28E1">
        <w:rPr>
          <w:rStyle w:val="FootnoteReference"/>
          <w:rFonts w:ascii="times" w:hAnsi="times"/>
        </w:rPr>
        <w:footnoteReference w:id="545"/>
      </w:r>
      <w:r w:rsidR="00F30455" w:rsidRPr="002A28E1">
        <w:rPr>
          <w:rFonts w:ascii="times" w:hAnsi="times"/>
        </w:rPr>
        <w:t xml:space="preserve"> </w:t>
      </w:r>
      <w:r w:rsidR="00945CAA" w:rsidRPr="002A28E1">
        <w:rPr>
          <w:rFonts w:ascii="times" w:hAnsi="times"/>
        </w:rPr>
        <w:t xml:space="preserve">The </w:t>
      </w:r>
      <w:r w:rsidR="001C042C" w:rsidRPr="002A28E1">
        <w:rPr>
          <w:rFonts w:ascii="times" w:hAnsi="times"/>
        </w:rPr>
        <w:t>new</w:t>
      </w:r>
      <w:r w:rsidR="00945CAA" w:rsidRPr="002A28E1">
        <w:rPr>
          <w:rFonts w:ascii="times" w:hAnsi="times"/>
        </w:rPr>
        <w:t xml:space="preserve"> Civil Code that</w:t>
      </w:r>
      <w:r w:rsidR="001C042C" w:rsidRPr="002A28E1">
        <w:rPr>
          <w:rFonts w:ascii="times" w:hAnsi="times"/>
        </w:rPr>
        <w:t xml:space="preserve"> </w:t>
      </w:r>
      <w:proofErr w:type="gramStart"/>
      <w:r w:rsidR="001C042C" w:rsidRPr="002A28E1">
        <w:rPr>
          <w:rFonts w:ascii="times" w:hAnsi="times"/>
        </w:rPr>
        <w:lastRenderedPageBreak/>
        <w:t>was enacted</w:t>
      </w:r>
      <w:proofErr w:type="gramEnd"/>
      <w:r w:rsidR="001C042C" w:rsidRPr="002A28E1">
        <w:rPr>
          <w:rFonts w:ascii="times" w:hAnsi="times"/>
        </w:rPr>
        <w:t xml:space="preserve"> </w:t>
      </w:r>
      <w:r w:rsidR="00A644E0" w:rsidRPr="002A28E1">
        <w:rPr>
          <w:rFonts w:ascii="times" w:hAnsi="times"/>
        </w:rPr>
        <w:t xml:space="preserve">allows for the “full limitation of legal capacity,” </w:t>
      </w:r>
      <w:r w:rsidR="00533CB5" w:rsidRPr="002A28E1">
        <w:rPr>
          <w:rFonts w:ascii="times" w:hAnsi="times"/>
        </w:rPr>
        <w:t xml:space="preserve">which, according to the Hungarian </w:t>
      </w:r>
      <w:r w:rsidR="00377B92" w:rsidRPr="002A28E1">
        <w:rPr>
          <w:rFonts w:ascii="times" w:hAnsi="times"/>
        </w:rPr>
        <w:t>Disability</w:t>
      </w:r>
      <w:r w:rsidR="00533CB5" w:rsidRPr="002A28E1">
        <w:rPr>
          <w:rFonts w:ascii="times" w:hAnsi="times"/>
        </w:rPr>
        <w:t xml:space="preserve"> Caucus, </w:t>
      </w:r>
      <w:r w:rsidR="008A2A0A" w:rsidRPr="002A28E1">
        <w:rPr>
          <w:rFonts w:ascii="times" w:hAnsi="times"/>
        </w:rPr>
        <w:t>“maintains plenary guardianship under a different name.”</w:t>
      </w:r>
      <w:r w:rsidR="0058207D" w:rsidRPr="002A28E1">
        <w:rPr>
          <w:rStyle w:val="FootnoteReference"/>
          <w:rFonts w:ascii="times" w:hAnsi="times"/>
        </w:rPr>
        <w:footnoteReference w:id="546"/>
      </w:r>
      <w:r w:rsidR="008D7768">
        <w:rPr>
          <w:rFonts w:ascii="times" w:hAnsi="times"/>
        </w:rPr>
        <w:t xml:space="preserve"> A court may place a person under “guardianship that fully limits their competency in all matters of life” where a person’s “necessary discretionary ability for conducting their affair</w:t>
      </w:r>
      <w:r w:rsidR="00850BEF">
        <w:rPr>
          <w:rFonts w:ascii="times" w:hAnsi="times"/>
        </w:rPr>
        <w:t>s</w:t>
      </w:r>
      <w:r w:rsidR="008D7768">
        <w:rPr>
          <w:rFonts w:ascii="times" w:hAnsi="times"/>
        </w:rPr>
        <w:t xml:space="preserve"> – is owing to their mental disorder – completely lacking.”</w:t>
      </w:r>
      <w:r w:rsidR="00446500">
        <w:rPr>
          <w:rStyle w:val="FootnoteReference"/>
          <w:rFonts w:ascii="times" w:hAnsi="times"/>
        </w:rPr>
        <w:footnoteReference w:id="547"/>
      </w:r>
      <w:r w:rsidR="00A54206" w:rsidRPr="002A28E1">
        <w:rPr>
          <w:rFonts w:ascii="times" w:hAnsi="times"/>
        </w:rPr>
        <w:t xml:space="preserve"> </w:t>
      </w:r>
      <w:r w:rsidR="00BE69D8" w:rsidRPr="002A28E1">
        <w:rPr>
          <w:rFonts w:ascii="times" w:hAnsi="times"/>
        </w:rPr>
        <w:t>In addition to</w:t>
      </w:r>
      <w:r w:rsidR="00A447FE" w:rsidRPr="002A28E1">
        <w:rPr>
          <w:rFonts w:ascii="times" w:hAnsi="times"/>
        </w:rPr>
        <w:t xml:space="preserve"> </w:t>
      </w:r>
      <w:r w:rsidR="00BE69D8" w:rsidRPr="002A28E1">
        <w:rPr>
          <w:rFonts w:ascii="times" w:hAnsi="times"/>
        </w:rPr>
        <w:t xml:space="preserve">complete restrictions on legal capacity, partial restrictions of </w:t>
      </w:r>
      <w:r w:rsidR="00AA7E22" w:rsidRPr="002A28E1">
        <w:rPr>
          <w:rFonts w:ascii="times" w:hAnsi="times"/>
        </w:rPr>
        <w:t xml:space="preserve">legal </w:t>
      </w:r>
      <w:r w:rsidR="00BE69D8" w:rsidRPr="002A28E1">
        <w:rPr>
          <w:rFonts w:ascii="times" w:hAnsi="times"/>
        </w:rPr>
        <w:t>capacity are also possible under the new Code</w:t>
      </w:r>
      <w:r w:rsidR="00BE69D8" w:rsidRPr="00DC7F4B">
        <w:rPr>
          <w:rFonts w:ascii="times" w:hAnsi="times"/>
        </w:rPr>
        <w:t>.</w:t>
      </w:r>
      <w:r w:rsidR="00D10E5E" w:rsidRPr="00DC7F4B">
        <w:rPr>
          <w:rStyle w:val="FootnoteReference"/>
          <w:rFonts w:ascii="times" w:hAnsi="times"/>
        </w:rPr>
        <w:footnoteReference w:id="548"/>
      </w:r>
      <w:r w:rsidR="00BB531A" w:rsidRPr="00DC7F4B">
        <w:rPr>
          <w:rFonts w:ascii="times" w:hAnsi="times"/>
        </w:rPr>
        <w:t xml:space="preserve"> </w:t>
      </w:r>
      <w:r w:rsidR="00FF30D6" w:rsidRPr="00DC7F4B">
        <w:rPr>
          <w:rFonts w:ascii="times" w:hAnsi="times"/>
        </w:rPr>
        <w:t>Persons</w:t>
      </w:r>
      <w:r w:rsidR="00FF30D6" w:rsidRPr="002A28E1">
        <w:rPr>
          <w:rFonts w:ascii="times" w:hAnsi="times"/>
        </w:rPr>
        <w:t xml:space="preserve"> who are deemed to be “of partially limited capacity” </w:t>
      </w:r>
      <w:r w:rsidR="00736D50">
        <w:rPr>
          <w:rFonts w:ascii="times" w:hAnsi="times"/>
        </w:rPr>
        <w:t>if their “necessary discretionary ability for conducting their affairs is – owing to their mental disorder – permanently or persistently diminished.”</w:t>
      </w:r>
      <w:r w:rsidR="00736D50">
        <w:rPr>
          <w:rStyle w:val="FootnoteReference"/>
          <w:rFonts w:ascii="times" w:hAnsi="times"/>
        </w:rPr>
        <w:footnoteReference w:id="549"/>
      </w:r>
      <w:r w:rsidR="00736D50">
        <w:rPr>
          <w:rFonts w:ascii="times" w:hAnsi="times"/>
        </w:rPr>
        <w:t xml:space="preserve"> </w:t>
      </w:r>
      <w:r w:rsidR="00D30050">
        <w:rPr>
          <w:rFonts w:ascii="times" w:hAnsi="times"/>
        </w:rPr>
        <w:t>Persons “of partially limited capacity”</w:t>
      </w:r>
      <w:r w:rsidR="00FB5C29">
        <w:rPr>
          <w:rFonts w:ascii="times" w:hAnsi="times"/>
        </w:rPr>
        <w:t xml:space="preserve"> are </w:t>
      </w:r>
      <w:r w:rsidR="00FF30D6" w:rsidRPr="002A28E1">
        <w:rPr>
          <w:rFonts w:ascii="times" w:hAnsi="times"/>
        </w:rPr>
        <w:t xml:space="preserve">placed under </w:t>
      </w:r>
      <w:r w:rsidR="00FE702C" w:rsidRPr="007219B5">
        <w:rPr>
          <w:rFonts w:ascii="times" w:hAnsi="times"/>
        </w:rPr>
        <w:t>partial guardianship (“conservatorship”)</w:t>
      </w:r>
      <w:r w:rsidR="00FF30D6" w:rsidRPr="007219B5">
        <w:rPr>
          <w:rFonts w:ascii="times" w:hAnsi="times"/>
        </w:rPr>
        <w:t xml:space="preserve">, which restricts their competency </w:t>
      </w:r>
      <w:proofErr w:type="gramStart"/>
      <w:r w:rsidR="00FF30D6" w:rsidRPr="007219B5">
        <w:rPr>
          <w:rFonts w:ascii="times" w:hAnsi="times"/>
        </w:rPr>
        <w:t>with regards to</w:t>
      </w:r>
      <w:proofErr w:type="gramEnd"/>
      <w:r w:rsidR="00FF30D6" w:rsidRPr="007219B5">
        <w:rPr>
          <w:rFonts w:ascii="times" w:hAnsi="times"/>
        </w:rPr>
        <w:t xml:space="preserve"> particular matters specified by the court.</w:t>
      </w:r>
      <w:r w:rsidR="00FF30D6" w:rsidRPr="007219B5">
        <w:rPr>
          <w:rStyle w:val="FootnoteReference"/>
          <w:rFonts w:ascii="times" w:hAnsi="times"/>
        </w:rPr>
        <w:footnoteReference w:id="550"/>
      </w:r>
      <w:r w:rsidR="000D4E04" w:rsidRPr="007219B5">
        <w:rPr>
          <w:rFonts w:ascii="times" w:hAnsi="times"/>
        </w:rPr>
        <w:t xml:space="preserve"> </w:t>
      </w:r>
    </w:p>
    <w:p w14:paraId="638FBCA5" w14:textId="09D5D7D0" w:rsidR="00F25B3C" w:rsidRPr="002A28E1" w:rsidRDefault="00F25B3C" w:rsidP="007E2F68">
      <w:pPr>
        <w:rPr>
          <w:rFonts w:ascii="times" w:hAnsi="times"/>
        </w:rPr>
      </w:pPr>
    </w:p>
    <w:p w14:paraId="0070EF86" w14:textId="701D60FB" w:rsidR="007C26E8" w:rsidRPr="002A28E1" w:rsidRDefault="007C26E8" w:rsidP="007C26E8">
      <w:pPr>
        <w:rPr>
          <w:rFonts w:ascii="times" w:hAnsi="times"/>
          <w:b/>
        </w:rPr>
      </w:pPr>
      <w:r w:rsidRPr="002A28E1">
        <w:rPr>
          <w:rFonts w:ascii="times" w:hAnsi="times"/>
        </w:rPr>
        <w:t>It is worthwhile noting that the new Hungarian Civil Code also creates a new legal institution in the form of an advance legal statement.</w:t>
      </w:r>
      <w:r w:rsidRPr="002A28E1">
        <w:rPr>
          <w:rStyle w:val="FootnoteReference"/>
          <w:rFonts w:ascii="times" w:hAnsi="times"/>
        </w:rPr>
        <w:footnoteReference w:id="551"/>
      </w:r>
      <w:r w:rsidRPr="002A28E1">
        <w:rPr>
          <w:rFonts w:ascii="times" w:hAnsi="times"/>
        </w:rPr>
        <w:t xml:space="preserve"> Through this mechanism, any person with legal capacity may designate a particular person or persons to act as their guardian in the event of any future restriction of their legal capacity.</w:t>
      </w:r>
      <w:r w:rsidRPr="002A28E1">
        <w:rPr>
          <w:rStyle w:val="FootnoteReference"/>
          <w:rFonts w:ascii="times" w:hAnsi="times"/>
        </w:rPr>
        <w:footnoteReference w:id="552"/>
      </w:r>
      <w:r w:rsidRPr="002A28E1">
        <w:rPr>
          <w:rFonts w:ascii="times" w:hAnsi="times"/>
        </w:rPr>
        <w:t xml:space="preserve"> In the advance legal statement, a person may also set out instructions for the guardian to follow </w:t>
      </w:r>
      <w:proofErr w:type="gramStart"/>
      <w:r w:rsidRPr="002A28E1">
        <w:rPr>
          <w:rFonts w:ascii="times" w:hAnsi="times"/>
        </w:rPr>
        <w:t>with regard</w:t>
      </w:r>
      <w:r w:rsidR="00234302" w:rsidRPr="002A28E1">
        <w:rPr>
          <w:rFonts w:ascii="times" w:hAnsi="times"/>
        </w:rPr>
        <w:t>s</w:t>
      </w:r>
      <w:r w:rsidRPr="002A28E1">
        <w:rPr>
          <w:rFonts w:ascii="times" w:hAnsi="times"/>
        </w:rPr>
        <w:t xml:space="preserve"> to</w:t>
      </w:r>
      <w:proofErr w:type="gramEnd"/>
      <w:r w:rsidRPr="002A28E1">
        <w:rPr>
          <w:rFonts w:ascii="times" w:hAnsi="times"/>
        </w:rPr>
        <w:t xml:space="preserve"> their personal and financial affairs.</w:t>
      </w:r>
      <w:r w:rsidRPr="002A28E1">
        <w:rPr>
          <w:rStyle w:val="FootnoteReference"/>
          <w:rFonts w:ascii="times" w:hAnsi="times"/>
        </w:rPr>
        <w:footnoteReference w:id="553"/>
      </w:r>
    </w:p>
    <w:p w14:paraId="6BC50580" w14:textId="77777777" w:rsidR="007C26E8" w:rsidRPr="002A28E1" w:rsidRDefault="007C26E8" w:rsidP="007E2F68">
      <w:pPr>
        <w:rPr>
          <w:rFonts w:ascii="times" w:hAnsi="times"/>
        </w:rPr>
      </w:pPr>
    </w:p>
    <w:p w14:paraId="1D7AA1C7" w14:textId="2F5E9816" w:rsidR="00D62575" w:rsidRPr="002A28E1" w:rsidRDefault="00F84787" w:rsidP="007E2F68">
      <w:pPr>
        <w:rPr>
          <w:rFonts w:ascii="times" w:hAnsi="times"/>
        </w:rPr>
      </w:pPr>
      <w:r w:rsidRPr="002A28E1">
        <w:rPr>
          <w:rFonts w:ascii="times" w:hAnsi="times"/>
        </w:rPr>
        <w:t>Hungary’s new Code provide</w:t>
      </w:r>
      <w:r w:rsidR="002D05A7" w:rsidRPr="002A28E1">
        <w:rPr>
          <w:rFonts w:ascii="times" w:hAnsi="times"/>
        </w:rPr>
        <w:t>s</w:t>
      </w:r>
      <w:r w:rsidRPr="002A28E1">
        <w:rPr>
          <w:rFonts w:ascii="times" w:hAnsi="times"/>
        </w:rPr>
        <w:t xml:space="preserve"> for supported decision-making measures, </w:t>
      </w:r>
      <w:r w:rsidR="00670D16" w:rsidRPr="002A28E1">
        <w:rPr>
          <w:rFonts w:ascii="times" w:hAnsi="times"/>
        </w:rPr>
        <w:t xml:space="preserve">which are </w:t>
      </w:r>
      <w:r w:rsidR="00D12B7E" w:rsidRPr="002A28E1">
        <w:rPr>
          <w:rFonts w:ascii="times" w:hAnsi="times"/>
        </w:rPr>
        <w:t>available to those who “due to a minor decrease in their mental capacity, need help in dealing with some of their affairs</w:t>
      </w:r>
      <w:r w:rsidR="00860865" w:rsidRPr="002A28E1">
        <w:rPr>
          <w:rFonts w:ascii="times" w:hAnsi="times"/>
        </w:rPr>
        <w:t xml:space="preserve"> and in </w:t>
      </w:r>
      <w:r w:rsidR="00860865" w:rsidRPr="007A635E">
        <w:rPr>
          <w:rFonts w:ascii="times" w:hAnsi="times"/>
        </w:rPr>
        <w:t>making decisions.</w:t>
      </w:r>
      <w:r w:rsidR="00863B69" w:rsidRPr="007A635E">
        <w:rPr>
          <w:rFonts w:ascii="times" w:hAnsi="times"/>
        </w:rPr>
        <w:t>”</w:t>
      </w:r>
      <w:r w:rsidR="00863B69" w:rsidRPr="007A635E">
        <w:rPr>
          <w:rStyle w:val="FootnoteReference"/>
          <w:rFonts w:ascii="times" w:hAnsi="times"/>
        </w:rPr>
        <w:footnoteReference w:id="554"/>
      </w:r>
      <w:r w:rsidR="00CF5F47" w:rsidRPr="007A635E">
        <w:rPr>
          <w:rFonts w:ascii="times" w:hAnsi="times"/>
        </w:rPr>
        <w:t xml:space="preserve"> </w:t>
      </w:r>
      <w:proofErr w:type="gramStart"/>
      <w:r w:rsidR="00250EAF" w:rsidRPr="007A635E">
        <w:rPr>
          <w:rFonts w:ascii="times" w:hAnsi="times"/>
        </w:rPr>
        <w:t>Support</w:t>
      </w:r>
      <w:r w:rsidR="007259C6" w:rsidRPr="007A635E">
        <w:rPr>
          <w:rFonts w:ascii="times" w:hAnsi="times"/>
        </w:rPr>
        <w:t xml:space="preserve"> persons</w:t>
      </w:r>
      <w:r w:rsidR="00250EAF" w:rsidRPr="007A635E">
        <w:rPr>
          <w:rFonts w:ascii="times" w:hAnsi="times"/>
        </w:rPr>
        <w:t xml:space="preserve"> are appointed </w:t>
      </w:r>
      <w:r w:rsidR="00717EF1" w:rsidRPr="007A635E">
        <w:rPr>
          <w:rFonts w:ascii="times" w:hAnsi="times"/>
        </w:rPr>
        <w:t xml:space="preserve">by </w:t>
      </w:r>
      <w:r w:rsidR="00552BC8" w:rsidRPr="007A635E">
        <w:rPr>
          <w:rFonts w:ascii="times" w:hAnsi="times"/>
        </w:rPr>
        <w:t>the guardian authority</w:t>
      </w:r>
      <w:r w:rsidR="001F5FB1" w:rsidRPr="007A635E">
        <w:rPr>
          <w:rFonts w:ascii="times" w:hAnsi="times"/>
        </w:rPr>
        <w:t xml:space="preserve">, with the </w:t>
      </w:r>
      <w:r w:rsidR="0014019E" w:rsidRPr="007A635E">
        <w:rPr>
          <w:rFonts w:ascii="times" w:hAnsi="times"/>
        </w:rPr>
        <w:t>agreement of the person concerned</w:t>
      </w:r>
      <w:proofErr w:type="gramEnd"/>
      <w:r w:rsidR="008378F7" w:rsidRPr="007A635E">
        <w:rPr>
          <w:rFonts w:ascii="times" w:hAnsi="times"/>
        </w:rPr>
        <w:t>.</w:t>
      </w:r>
      <w:r w:rsidR="00531BF8" w:rsidRPr="007A635E">
        <w:rPr>
          <w:rStyle w:val="FootnoteReference"/>
          <w:rFonts w:ascii="times" w:hAnsi="times"/>
        </w:rPr>
        <w:footnoteReference w:id="555"/>
      </w:r>
      <w:r w:rsidR="00A97155" w:rsidRPr="007A635E">
        <w:rPr>
          <w:rFonts w:ascii="times" w:hAnsi="times"/>
        </w:rPr>
        <w:t xml:space="preserve"> </w:t>
      </w:r>
      <w:r w:rsidR="006F0C1A" w:rsidRPr="007A635E">
        <w:rPr>
          <w:rFonts w:ascii="times" w:hAnsi="times"/>
        </w:rPr>
        <w:t>Support perso</w:t>
      </w:r>
      <w:r w:rsidR="00AA20A7" w:rsidRPr="007A635E">
        <w:rPr>
          <w:rFonts w:ascii="times" w:hAnsi="times"/>
        </w:rPr>
        <w:t>ns</w:t>
      </w:r>
      <w:r w:rsidR="00A97155" w:rsidRPr="007A635E">
        <w:rPr>
          <w:rFonts w:ascii="times" w:hAnsi="times"/>
        </w:rPr>
        <w:t xml:space="preserve"> </w:t>
      </w:r>
      <w:proofErr w:type="gramStart"/>
      <w:r w:rsidR="00A97155" w:rsidRPr="007A635E">
        <w:rPr>
          <w:rFonts w:ascii="times" w:hAnsi="times"/>
        </w:rPr>
        <w:t xml:space="preserve">may be </w:t>
      </w:r>
      <w:r w:rsidR="00820C14" w:rsidRPr="007A635E">
        <w:rPr>
          <w:rFonts w:ascii="times" w:hAnsi="times"/>
        </w:rPr>
        <w:t>designated</w:t>
      </w:r>
      <w:proofErr w:type="gramEnd"/>
      <w:r w:rsidR="00A97155" w:rsidRPr="007A635E">
        <w:rPr>
          <w:rFonts w:ascii="times" w:hAnsi="times"/>
        </w:rPr>
        <w:t xml:space="preserve"> </w:t>
      </w:r>
      <w:r w:rsidR="007A635E">
        <w:rPr>
          <w:rFonts w:ascii="times" w:hAnsi="times"/>
        </w:rPr>
        <w:t>following</w:t>
      </w:r>
      <w:r w:rsidR="00A97155" w:rsidRPr="007A635E">
        <w:rPr>
          <w:rFonts w:ascii="times" w:hAnsi="times"/>
        </w:rPr>
        <w:t xml:space="preserve"> the request of a person desiring support</w:t>
      </w:r>
      <w:r w:rsidR="00D62575" w:rsidRPr="007A635E">
        <w:rPr>
          <w:rFonts w:ascii="times" w:hAnsi="times"/>
        </w:rPr>
        <w:t xml:space="preserve"> or upon the request of the court</w:t>
      </w:r>
      <w:r w:rsidR="00820C14" w:rsidRPr="007A635E">
        <w:rPr>
          <w:rFonts w:ascii="times" w:hAnsi="times"/>
        </w:rPr>
        <w:t>.</w:t>
      </w:r>
      <w:r w:rsidR="00820C14" w:rsidRPr="007A635E">
        <w:rPr>
          <w:rStyle w:val="FootnoteReference"/>
          <w:rFonts w:ascii="times" w:hAnsi="times"/>
        </w:rPr>
        <w:footnoteReference w:id="556"/>
      </w:r>
      <w:r w:rsidR="00E30430" w:rsidRPr="007A635E">
        <w:rPr>
          <w:rFonts w:ascii="times" w:hAnsi="times"/>
        </w:rPr>
        <w:t xml:space="preserve"> </w:t>
      </w:r>
      <w:proofErr w:type="gramStart"/>
      <w:r w:rsidR="001A2113" w:rsidRPr="007A635E">
        <w:rPr>
          <w:rFonts w:ascii="times" w:hAnsi="times"/>
        </w:rPr>
        <w:t>With regards to</w:t>
      </w:r>
      <w:proofErr w:type="gramEnd"/>
      <w:r w:rsidR="001A2113" w:rsidRPr="007A635E">
        <w:rPr>
          <w:rFonts w:ascii="times" w:hAnsi="times"/>
        </w:rPr>
        <w:t xml:space="preserve"> </w:t>
      </w:r>
      <w:r w:rsidR="00BC597B" w:rsidRPr="007A635E">
        <w:rPr>
          <w:rFonts w:ascii="times" w:hAnsi="times"/>
        </w:rPr>
        <w:t>the latter case</w:t>
      </w:r>
      <w:r w:rsidR="00A95CA7" w:rsidRPr="007A635E">
        <w:rPr>
          <w:rFonts w:ascii="times" w:hAnsi="times"/>
        </w:rPr>
        <w:t xml:space="preserve">, the Code states that in </w:t>
      </w:r>
      <w:r w:rsidR="0065053C" w:rsidRPr="007A635E">
        <w:rPr>
          <w:rFonts w:ascii="times" w:hAnsi="times"/>
        </w:rPr>
        <w:t xml:space="preserve">cases where a person has </w:t>
      </w:r>
      <w:r w:rsidR="00431A0B" w:rsidRPr="007A635E">
        <w:rPr>
          <w:rFonts w:ascii="times" w:hAnsi="times"/>
        </w:rPr>
        <w:t>exhibited</w:t>
      </w:r>
      <w:r w:rsidR="0065053C" w:rsidRPr="007A635E">
        <w:rPr>
          <w:rFonts w:ascii="times" w:hAnsi="times"/>
        </w:rPr>
        <w:t xml:space="preserve"> a</w:t>
      </w:r>
      <w:r w:rsidR="00A95CA7" w:rsidRPr="007A635E">
        <w:rPr>
          <w:rFonts w:ascii="times" w:hAnsi="times"/>
        </w:rPr>
        <w:t xml:space="preserve"> relatively minor loss in discretionary ability</w:t>
      </w:r>
      <w:r w:rsidR="005D7D1D" w:rsidRPr="007A635E">
        <w:rPr>
          <w:rFonts w:ascii="times" w:hAnsi="times"/>
        </w:rPr>
        <w:t>, the court</w:t>
      </w:r>
      <w:r w:rsidR="005D7D1D" w:rsidRPr="002A28E1">
        <w:rPr>
          <w:rFonts w:ascii="times" w:hAnsi="times"/>
        </w:rPr>
        <w:t xml:space="preserve"> may reject an application for placing the person under guardianship and </w:t>
      </w:r>
      <w:r w:rsidR="00275D52" w:rsidRPr="002A28E1">
        <w:rPr>
          <w:rFonts w:ascii="times" w:hAnsi="times"/>
        </w:rPr>
        <w:t xml:space="preserve">may </w:t>
      </w:r>
      <w:r w:rsidR="00E65AE2" w:rsidRPr="002A28E1">
        <w:rPr>
          <w:rFonts w:ascii="times" w:hAnsi="times"/>
        </w:rPr>
        <w:t>recommend</w:t>
      </w:r>
      <w:r w:rsidR="00275D52" w:rsidRPr="002A28E1">
        <w:rPr>
          <w:rFonts w:ascii="times" w:hAnsi="times"/>
        </w:rPr>
        <w:t xml:space="preserve"> to the guardianship authority </w:t>
      </w:r>
      <w:r w:rsidR="00F67897" w:rsidRPr="002A28E1">
        <w:rPr>
          <w:rFonts w:ascii="times" w:hAnsi="times"/>
        </w:rPr>
        <w:t>that a</w:t>
      </w:r>
      <w:r w:rsidR="00CE5A7E" w:rsidRPr="002A28E1">
        <w:rPr>
          <w:rFonts w:ascii="times" w:hAnsi="times"/>
        </w:rPr>
        <w:t xml:space="preserve"> suppo</w:t>
      </w:r>
      <w:r w:rsidR="00587A90" w:rsidRPr="002A28E1">
        <w:rPr>
          <w:rFonts w:ascii="times" w:hAnsi="times"/>
        </w:rPr>
        <w:t>r</w:t>
      </w:r>
      <w:r w:rsidR="00CE5A7E" w:rsidRPr="002A28E1">
        <w:rPr>
          <w:rFonts w:ascii="times" w:hAnsi="times"/>
        </w:rPr>
        <w:t xml:space="preserve">t person </w:t>
      </w:r>
      <w:r w:rsidR="00F67897" w:rsidRPr="002A28E1">
        <w:rPr>
          <w:rFonts w:ascii="times" w:hAnsi="times"/>
        </w:rPr>
        <w:t>be appointed.</w:t>
      </w:r>
      <w:r w:rsidR="00C92591" w:rsidRPr="002A28E1">
        <w:rPr>
          <w:rStyle w:val="FootnoteReference"/>
          <w:rFonts w:ascii="times" w:hAnsi="times"/>
        </w:rPr>
        <w:footnoteReference w:id="557"/>
      </w:r>
      <w:r w:rsidR="00132A06" w:rsidRPr="002A28E1">
        <w:rPr>
          <w:rFonts w:ascii="times" w:hAnsi="times"/>
        </w:rPr>
        <w:t xml:space="preserve"> </w:t>
      </w:r>
      <w:r w:rsidR="00D62575" w:rsidRPr="002A28E1">
        <w:rPr>
          <w:rFonts w:ascii="times" w:hAnsi="times"/>
        </w:rPr>
        <w:t xml:space="preserve">The new Code </w:t>
      </w:r>
      <w:proofErr w:type="gramStart"/>
      <w:r w:rsidR="00D62575" w:rsidRPr="002A28E1">
        <w:rPr>
          <w:rFonts w:ascii="times" w:hAnsi="times"/>
        </w:rPr>
        <w:t>stipulates that</w:t>
      </w:r>
      <w:proofErr w:type="gramEnd"/>
      <w:r w:rsidR="00D62575" w:rsidRPr="002A28E1">
        <w:rPr>
          <w:rFonts w:ascii="times" w:hAnsi="times"/>
        </w:rPr>
        <w:t xml:space="preserve"> “the appointment of an advocate shall not affect the legal competency of a person of legal age.”</w:t>
      </w:r>
      <w:r w:rsidR="00D62575" w:rsidRPr="002A28E1">
        <w:rPr>
          <w:rStyle w:val="FootnoteReference"/>
          <w:rFonts w:ascii="times" w:hAnsi="times"/>
        </w:rPr>
        <w:footnoteReference w:id="558"/>
      </w:r>
    </w:p>
    <w:p w14:paraId="6D5826D1" w14:textId="69D62406" w:rsidR="00EB6831" w:rsidRPr="002A28E1" w:rsidRDefault="00EB6831" w:rsidP="007E2F68">
      <w:pPr>
        <w:rPr>
          <w:rFonts w:ascii="times" w:hAnsi="times"/>
        </w:rPr>
      </w:pPr>
    </w:p>
    <w:p w14:paraId="68DC4543" w14:textId="34DC5D0E" w:rsidR="00E34410" w:rsidRPr="002A28E1" w:rsidRDefault="00EB6831" w:rsidP="007E2F68">
      <w:pPr>
        <w:rPr>
          <w:rFonts w:ascii="times" w:hAnsi="times"/>
        </w:rPr>
      </w:pPr>
      <w:r w:rsidRPr="002A28E1">
        <w:rPr>
          <w:rFonts w:ascii="times" w:hAnsi="times"/>
        </w:rPr>
        <w:t xml:space="preserve">Act CLV of 2013 on Supported Decision-Making </w:t>
      </w:r>
      <w:r w:rsidR="00F242E7" w:rsidRPr="002A28E1">
        <w:rPr>
          <w:rFonts w:ascii="times" w:hAnsi="times"/>
        </w:rPr>
        <w:t xml:space="preserve">establishes </w:t>
      </w:r>
      <w:r w:rsidR="00671865" w:rsidRPr="002A28E1">
        <w:rPr>
          <w:rFonts w:ascii="times" w:hAnsi="times"/>
        </w:rPr>
        <w:t>precise</w:t>
      </w:r>
      <w:r w:rsidR="00F242E7" w:rsidRPr="002A28E1">
        <w:rPr>
          <w:rFonts w:ascii="times" w:hAnsi="times"/>
        </w:rPr>
        <w:t xml:space="preserve"> </w:t>
      </w:r>
      <w:r w:rsidR="007C3B48" w:rsidRPr="002A28E1">
        <w:rPr>
          <w:rFonts w:ascii="times" w:hAnsi="times"/>
        </w:rPr>
        <w:t xml:space="preserve">rules </w:t>
      </w:r>
      <w:r w:rsidR="00F84717" w:rsidRPr="002A28E1">
        <w:rPr>
          <w:rFonts w:ascii="times" w:hAnsi="times"/>
        </w:rPr>
        <w:t xml:space="preserve">pertaining to </w:t>
      </w:r>
      <w:proofErr w:type="gramStart"/>
      <w:r w:rsidR="00F84717" w:rsidRPr="002A28E1">
        <w:rPr>
          <w:rFonts w:ascii="times" w:hAnsi="times"/>
        </w:rPr>
        <w:t>Hungary’s</w:t>
      </w:r>
      <w:proofErr w:type="gramEnd"/>
      <w:r w:rsidR="00F84717" w:rsidRPr="002A28E1">
        <w:rPr>
          <w:rFonts w:ascii="times" w:hAnsi="times"/>
        </w:rPr>
        <w:t xml:space="preserve"> </w:t>
      </w:r>
      <w:r w:rsidR="00F90AB3" w:rsidRPr="002A28E1">
        <w:rPr>
          <w:rFonts w:ascii="times" w:hAnsi="times"/>
        </w:rPr>
        <w:t xml:space="preserve">supported decision-making regime. </w:t>
      </w:r>
      <w:r w:rsidR="00F41126" w:rsidRPr="002A28E1">
        <w:rPr>
          <w:rFonts w:ascii="times" w:hAnsi="times"/>
        </w:rPr>
        <w:t xml:space="preserve">The Act provides that the guardian authority will designate a supporter who has been nominated by the affected person, </w:t>
      </w:r>
      <w:proofErr w:type="gramStart"/>
      <w:r w:rsidR="00F41126" w:rsidRPr="002A28E1">
        <w:rPr>
          <w:rFonts w:ascii="times" w:hAnsi="times"/>
        </w:rPr>
        <w:t>provided that</w:t>
      </w:r>
      <w:proofErr w:type="gramEnd"/>
      <w:r w:rsidR="00F41126" w:rsidRPr="002A28E1">
        <w:rPr>
          <w:rFonts w:ascii="times" w:hAnsi="times"/>
        </w:rPr>
        <w:t xml:space="preserve"> this appointment is in line with the interests of the person requiring support.</w:t>
      </w:r>
      <w:r w:rsidR="00F41126" w:rsidRPr="002A28E1">
        <w:rPr>
          <w:rStyle w:val="FootnoteReference"/>
          <w:rFonts w:ascii="times" w:hAnsi="times"/>
        </w:rPr>
        <w:footnoteReference w:id="559"/>
      </w:r>
      <w:r w:rsidR="00F41126" w:rsidRPr="002A28E1">
        <w:rPr>
          <w:rFonts w:ascii="times" w:hAnsi="times"/>
        </w:rPr>
        <w:t xml:space="preserve"> In the event that the person in need of support does not designate a preferred support person, the Act also allows for </w:t>
      </w:r>
      <w:r w:rsidR="00F41126" w:rsidRPr="002A28E1">
        <w:rPr>
          <w:rFonts w:ascii="times" w:hAnsi="times"/>
        </w:rPr>
        <w:lastRenderedPageBreak/>
        <w:t>the guardianship authority to appoint a “professional” support person,</w:t>
      </w:r>
      <w:r w:rsidR="00F41126" w:rsidRPr="002A28E1">
        <w:rPr>
          <w:rStyle w:val="FootnoteReference"/>
          <w:rFonts w:ascii="times" w:hAnsi="times"/>
        </w:rPr>
        <w:footnoteReference w:id="560"/>
      </w:r>
      <w:r w:rsidR="00F41126" w:rsidRPr="002A28E1">
        <w:rPr>
          <w:rFonts w:ascii="times" w:hAnsi="times"/>
        </w:rPr>
        <w:t xml:space="preserve"> such that persons employed by government-designated bodies, professional caregivers and legal entities catering to persons with mental disabilities may serve as support persons.</w:t>
      </w:r>
      <w:r w:rsidR="00F41126" w:rsidRPr="002A28E1">
        <w:rPr>
          <w:rStyle w:val="FootnoteReference"/>
          <w:rFonts w:ascii="times" w:hAnsi="times"/>
        </w:rPr>
        <w:footnoteReference w:id="561"/>
      </w:r>
      <w:r w:rsidR="00A5688D" w:rsidRPr="002A28E1">
        <w:rPr>
          <w:rFonts w:ascii="times" w:hAnsi="times"/>
        </w:rPr>
        <w:t xml:space="preserve"> </w:t>
      </w:r>
      <w:r w:rsidR="006F0584" w:rsidRPr="002A28E1">
        <w:rPr>
          <w:rFonts w:ascii="times" w:hAnsi="times"/>
        </w:rPr>
        <w:t>T</w:t>
      </w:r>
      <w:r w:rsidR="008F4E37" w:rsidRPr="002A28E1">
        <w:rPr>
          <w:rFonts w:ascii="times" w:hAnsi="times"/>
        </w:rPr>
        <w:t>he Act</w:t>
      </w:r>
      <w:r w:rsidR="006F0584" w:rsidRPr="002A28E1">
        <w:rPr>
          <w:rFonts w:ascii="times" w:hAnsi="times"/>
        </w:rPr>
        <w:t xml:space="preserve"> also</w:t>
      </w:r>
      <w:r w:rsidR="00F90AB3" w:rsidRPr="002A28E1">
        <w:rPr>
          <w:rFonts w:ascii="times" w:hAnsi="times"/>
        </w:rPr>
        <w:t xml:space="preserve"> </w:t>
      </w:r>
      <w:r w:rsidR="00671865" w:rsidRPr="002A28E1">
        <w:rPr>
          <w:rFonts w:ascii="times" w:hAnsi="times"/>
        </w:rPr>
        <w:t>stipulates</w:t>
      </w:r>
      <w:r w:rsidR="00F90AB3" w:rsidRPr="002A28E1">
        <w:rPr>
          <w:rFonts w:ascii="times" w:hAnsi="times"/>
        </w:rPr>
        <w:t xml:space="preserve"> that </w:t>
      </w:r>
      <w:r w:rsidR="00104733" w:rsidRPr="002A28E1">
        <w:rPr>
          <w:rFonts w:ascii="times" w:hAnsi="times"/>
        </w:rPr>
        <w:t xml:space="preserve">prior to the designation of </w:t>
      </w:r>
      <w:r w:rsidR="003A2014" w:rsidRPr="002A28E1">
        <w:rPr>
          <w:rFonts w:ascii="times" w:hAnsi="times"/>
        </w:rPr>
        <w:t xml:space="preserve">a support </w:t>
      </w:r>
      <w:proofErr w:type="gramStart"/>
      <w:r w:rsidR="003A2014" w:rsidRPr="002A28E1">
        <w:rPr>
          <w:rFonts w:ascii="times" w:hAnsi="times"/>
        </w:rPr>
        <w:t>person</w:t>
      </w:r>
      <w:r w:rsidR="00104733" w:rsidRPr="002A28E1">
        <w:rPr>
          <w:rFonts w:ascii="times" w:hAnsi="times"/>
        </w:rPr>
        <w:t>,</w:t>
      </w:r>
      <w:proofErr w:type="gramEnd"/>
      <w:r w:rsidR="00104733" w:rsidRPr="002A28E1">
        <w:rPr>
          <w:rFonts w:ascii="times" w:hAnsi="times"/>
        </w:rPr>
        <w:t xml:space="preserve"> </w:t>
      </w:r>
      <w:r w:rsidR="00F90AB3" w:rsidRPr="002A28E1">
        <w:rPr>
          <w:rFonts w:ascii="times" w:hAnsi="times"/>
        </w:rPr>
        <w:t xml:space="preserve">the guardianship </w:t>
      </w:r>
      <w:r w:rsidR="00F90AB3" w:rsidRPr="00573E5D">
        <w:rPr>
          <w:rFonts w:ascii="times" w:hAnsi="times"/>
        </w:rPr>
        <w:t>authority must hold hearing</w:t>
      </w:r>
      <w:r w:rsidR="006A0C9F" w:rsidRPr="00573E5D">
        <w:rPr>
          <w:rFonts w:ascii="times" w:hAnsi="times"/>
        </w:rPr>
        <w:t>s</w:t>
      </w:r>
      <w:r w:rsidR="00F90AB3" w:rsidRPr="00573E5D">
        <w:rPr>
          <w:rFonts w:ascii="times" w:hAnsi="times"/>
        </w:rPr>
        <w:t xml:space="preserve"> </w:t>
      </w:r>
      <w:r w:rsidR="0096746E" w:rsidRPr="00573E5D">
        <w:rPr>
          <w:rFonts w:ascii="times" w:hAnsi="times"/>
        </w:rPr>
        <w:t xml:space="preserve">in order to interview both </w:t>
      </w:r>
      <w:r w:rsidR="00F90AB3" w:rsidRPr="00573E5D">
        <w:rPr>
          <w:rFonts w:ascii="times" w:hAnsi="times"/>
        </w:rPr>
        <w:t>the person</w:t>
      </w:r>
      <w:r w:rsidR="00671865" w:rsidRPr="00573E5D">
        <w:rPr>
          <w:rFonts w:ascii="times" w:hAnsi="times"/>
        </w:rPr>
        <w:t xml:space="preserve"> </w:t>
      </w:r>
      <w:r w:rsidR="00DF02F7" w:rsidRPr="00573E5D">
        <w:rPr>
          <w:rFonts w:ascii="times" w:hAnsi="times"/>
        </w:rPr>
        <w:t>requiring support</w:t>
      </w:r>
      <w:r w:rsidR="00047F5F" w:rsidRPr="00573E5D">
        <w:rPr>
          <w:rFonts w:ascii="times" w:hAnsi="times"/>
        </w:rPr>
        <w:t xml:space="preserve"> and the </w:t>
      </w:r>
      <w:r w:rsidR="008251F2" w:rsidRPr="00573E5D">
        <w:rPr>
          <w:rFonts w:ascii="times" w:hAnsi="times"/>
        </w:rPr>
        <w:t xml:space="preserve">prospective </w:t>
      </w:r>
      <w:r w:rsidR="00C33494" w:rsidRPr="00573E5D">
        <w:rPr>
          <w:rFonts w:ascii="times" w:hAnsi="times"/>
        </w:rPr>
        <w:t>support person</w:t>
      </w:r>
      <w:r w:rsidR="00F24986" w:rsidRPr="00573E5D">
        <w:rPr>
          <w:rFonts w:ascii="times" w:hAnsi="times"/>
        </w:rPr>
        <w:t>.</w:t>
      </w:r>
      <w:r w:rsidR="008251F2" w:rsidRPr="00573E5D">
        <w:rPr>
          <w:rStyle w:val="FootnoteReference"/>
          <w:rFonts w:ascii="times" w:hAnsi="times"/>
        </w:rPr>
        <w:footnoteReference w:id="562"/>
      </w:r>
      <w:r w:rsidR="002A0A54" w:rsidRPr="00573E5D">
        <w:rPr>
          <w:rFonts w:ascii="times" w:hAnsi="times"/>
        </w:rPr>
        <w:t xml:space="preserve"> The Act specifies that </w:t>
      </w:r>
      <w:r w:rsidR="007A7D56" w:rsidRPr="00573E5D">
        <w:rPr>
          <w:rFonts w:ascii="times" w:hAnsi="times"/>
        </w:rPr>
        <w:t>support persons</w:t>
      </w:r>
      <w:r w:rsidR="002A0A54" w:rsidRPr="00573E5D">
        <w:rPr>
          <w:rFonts w:ascii="times" w:hAnsi="times"/>
        </w:rPr>
        <w:t xml:space="preserve"> </w:t>
      </w:r>
      <w:proofErr w:type="gramStart"/>
      <w:r w:rsidR="002A0A54" w:rsidRPr="00573E5D">
        <w:rPr>
          <w:rFonts w:ascii="times" w:hAnsi="times"/>
        </w:rPr>
        <w:t>are</w:t>
      </w:r>
      <w:proofErr w:type="gramEnd"/>
      <w:r w:rsidR="002A0A54" w:rsidRPr="00573E5D">
        <w:rPr>
          <w:rFonts w:ascii="times" w:hAnsi="times"/>
        </w:rPr>
        <w:t xml:space="preserve"> to be appointed to assist persons either “in general” or in “specific groups of cases.”</w:t>
      </w:r>
      <w:r w:rsidR="002A0A54" w:rsidRPr="00573E5D">
        <w:rPr>
          <w:rStyle w:val="FootnoteReference"/>
          <w:rFonts w:ascii="times" w:hAnsi="times"/>
        </w:rPr>
        <w:footnoteReference w:id="563"/>
      </w:r>
      <w:r w:rsidR="002A0A54" w:rsidRPr="00573E5D">
        <w:rPr>
          <w:rFonts w:ascii="times" w:hAnsi="times"/>
        </w:rPr>
        <w:t xml:space="preserve"> </w:t>
      </w:r>
      <w:r w:rsidR="00C624C1" w:rsidRPr="00573E5D">
        <w:rPr>
          <w:rFonts w:ascii="times" w:hAnsi="times"/>
        </w:rPr>
        <w:t>Supporters</w:t>
      </w:r>
      <w:r w:rsidR="00207E18" w:rsidRPr="00573E5D">
        <w:rPr>
          <w:rFonts w:ascii="times" w:hAnsi="times"/>
        </w:rPr>
        <w:t xml:space="preserve"> are to provide supported persons with information and assistance in </w:t>
      </w:r>
      <w:r w:rsidR="006C0F46" w:rsidRPr="00573E5D">
        <w:rPr>
          <w:rFonts w:ascii="times" w:hAnsi="times"/>
        </w:rPr>
        <w:t>t</w:t>
      </w:r>
      <w:r w:rsidR="00207E18" w:rsidRPr="00573E5D">
        <w:rPr>
          <w:rFonts w:ascii="times" w:hAnsi="times"/>
        </w:rPr>
        <w:t>he decision-making process</w:t>
      </w:r>
      <w:r w:rsidR="00680F12" w:rsidRPr="00573E5D">
        <w:rPr>
          <w:rFonts w:ascii="times" w:hAnsi="times"/>
        </w:rPr>
        <w:t>.</w:t>
      </w:r>
      <w:r w:rsidR="00680F12" w:rsidRPr="00573E5D">
        <w:rPr>
          <w:rStyle w:val="FootnoteReference"/>
          <w:rFonts w:ascii="times" w:hAnsi="times"/>
        </w:rPr>
        <w:footnoteReference w:id="564"/>
      </w:r>
      <w:r w:rsidR="00207E18" w:rsidRPr="00573E5D">
        <w:rPr>
          <w:rFonts w:ascii="times" w:hAnsi="times"/>
        </w:rPr>
        <w:t xml:space="preserve"> </w:t>
      </w:r>
      <w:r w:rsidR="00E9112F" w:rsidRPr="00573E5D">
        <w:rPr>
          <w:rFonts w:ascii="times" w:hAnsi="times"/>
        </w:rPr>
        <w:t xml:space="preserve">The Act also provides that support persons </w:t>
      </w:r>
      <w:proofErr w:type="gramStart"/>
      <w:r w:rsidR="00E9112F" w:rsidRPr="00573E5D">
        <w:rPr>
          <w:rFonts w:ascii="times" w:hAnsi="times"/>
        </w:rPr>
        <w:t>are</w:t>
      </w:r>
      <w:proofErr w:type="gramEnd"/>
      <w:r w:rsidR="00E9112F" w:rsidRPr="00573E5D">
        <w:rPr>
          <w:rFonts w:ascii="times" w:hAnsi="times"/>
        </w:rPr>
        <w:t xml:space="preserve"> to be appointed for an “indefinite period</w:t>
      </w:r>
      <w:r w:rsidR="00025E7C" w:rsidRPr="00573E5D">
        <w:rPr>
          <w:rFonts w:ascii="times" w:hAnsi="times"/>
        </w:rPr>
        <w:t>,</w:t>
      </w:r>
      <w:r w:rsidR="00E9112F" w:rsidRPr="00573E5D">
        <w:rPr>
          <w:rFonts w:ascii="times" w:hAnsi="times"/>
        </w:rPr>
        <w:t>”</w:t>
      </w:r>
      <w:r w:rsidR="00350665" w:rsidRPr="00573E5D">
        <w:rPr>
          <w:rStyle w:val="FootnoteReference"/>
          <w:rFonts w:ascii="times" w:hAnsi="times"/>
        </w:rPr>
        <w:footnoteReference w:id="565"/>
      </w:r>
      <w:r w:rsidR="00025E7C" w:rsidRPr="00573E5D">
        <w:rPr>
          <w:rFonts w:ascii="times" w:hAnsi="times"/>
        </w:rPr>
        <w:t xml:space="preserve"> although </w:t>
      </w:r>
      <w:r w:rsidR="0008301F" w:rsidRPr="00573E5D">
        <w:rPr>
          <w:rFonts w:ascii="times" w:hAnsi="times"/>
        </w:rPr>
        <w:t>the</w:t>
      </w:r>
      <w:r w:rsidR="001A365C" w:rsidRPr="00573E5D">
        <w:rPr>
          <w:rFonts w:ascii="times" w:hAnsi="times"/>
        </w:rPr>
        <w:t xml:space="preserve">ir </w:t>
      </w:r>
      <w:r w:rsidR="00F61C7E" w:rsidRPr="00573E5D">
        <w:rPr>
          <w:rFonts w:ascii="times" w:hAnsi="times"/>
        </w:rPr>
        <w:t>assignment</w:t>
      </w:r>
      <w:r w:rsidR="005B2DBC" w:rsidRPr="00573E5D">
        <w:rPr>
          <w:rFonts w:ascii="times" w:hAnsi="times"/>
        </w:rPr>
        <w:t xml:space="preserve"> </w:t>
      </w:r>
      <w:r w:rsidR="00DC47C6" w:rsidRPr="00573E5D">
        <w:rPr>
          <w:rFonts w:ascii="times" w:hAnsi="times"/>
        </w:rPr>
        <w:t>is subject to</w:t>
      </w:r>
      <w:r w:rsidR="00DC47C6" w:rsidRPr="002A28E1">
        <w:rPr>
          <w:rFonts w:ascii="times" w:hAnsi="times"/>
        </w:rPr>
        <w:t xml:space="preserve"> review every five years</w:t>
      </w:r>
      <w:r w:rsidR="00096186" w:rsidRPr="002A28E1">
        <w:rPr>
          <w:rFonts w:ascii="times" w:hAnsi="times"/>
        </w:rPr>
        <w:t>.</w:t>
      </w:r>
      <w:r w:rsidR="003F7424" w:rsidRPr="002A28E1">
        <w:rPr>
          <w:rStyle w:val="FootnoteReference"/>
          <w:rFonts w:ascii="times" w:hAnsi="times"/>
        </w:rPr>
        <w:footnoteReference w:id="566"/>
      </w:r>
      <w:r w:rsidR="00504297" w:rsidRPr="002A28E1">
        <w:rPr>
          <w:rFonts w:ascii="times" w:hAnsi="times"/>
        </w:rPr>
        <w:t xml:space="preserve"> Under the Act, an </w:t>
      </w:r>
      <w:r w:rsidR="00D26358" w:rsidRPr="002A28E1">
        <w:rPr>
          <w:rFonts w:ascii="times" w:hAnsi="times"/>
        </w:rPr>
        <w:t>“</w:t>
      </w:r>
      <w:r w:rsidR="00504297" w:rsidRPr="002A28E1">
        <w:rPr>
          <w:rFonts w:ascii="times" w:hAnsi="times"/>
        </w:rPr>
        <w:t>extraordinary review</w:t>
      </w:r>
      <w:r w:rsidR="00D26358" w:rsidRPr="002A28E1">
        <w:rPr>
          <w:rFonts w:ascii="times" w:hAnsi="times"/>
        </w:rPr>
        <w:t>”</w:t>
      </w:r>
      <w:r w:rsidR="00504297" w:rsidRPr="002A28E1">
        <w:rPr>
          <w:rFonts w:ascii="times" w:hAnsi="times"/>
        </w:rPr>
        <w:t xml:space="preserve"> </w:t>
      </w:r>
      <w:proofErr w:type="gramStart"/>
      <w:r w:rsidR="00504297" w:rsidRPr="002A28E1">
        <w:rPr>
          <w:rFonts w:ascii="times" w:hAnsi="times"/>
        </w:rPr>
        <w:t xml:space="preserve">may also </w:t>
      </w:r>
      <w:r w:rsidR="00B629F3" w:rsidRPr="002A28E1">
        <w:rPr>
          <w:rFonts w:ascii="times" w:hAnsi="times"/>
        </w:rPr>
        <w:t>be undertaken</w:t>
      </w:r>
      <w:proofErr w:type="gramEnd"/>
      <w:r w:rsidR="00B629F3" w:rsidRPr="002A28E1">
        <w:rPr>
          <w:rFonts w:ascii="times" w:hAnsi="times"/>
        </w:rPr>
        <w:t xml:space="preserve"> upon the request of the supported or the supporting person or </w:t>
      </w:r>
      <w:r w:rsidR="00FE0035" w:rsidRPr="002A28E1">
        <w:rPr>
          <w:rFonts w:ascii="times" w:hAnsi="times"/>
        </w:rPr>
        <w:t xml:space="preserve">should any circumstances </w:t>
      </w:r>
      <w:r w:rsidR="004150EA" w:rsidRPr="002A28E1">
        <w:rPr>
          <w:rFonts w:ascii="times" w:hAnsi="times"/>
        </w:rPr>
        <w:t xml:space="preserve">justifying </w:t>
      </w:r>
      <w:r w:rsidR="0082779E" w:rsidRPr="002A28E1">
        <w:rPr>
          <w:rFonts w:ascii="times" w:hAnsi="times"/>
        </w:rPr>
        <w:t xml:space="preserve">review arise </w:t>
      </w:r>
      <w:r w:rsidR="007D4DC9" w:rsidRPr="002A28E1">
        <w:rPr>
          <w:rFonts w:ascii="times" w:hAnsi="times"/>
        </w:rPr>
        <w:t>(such as placement under guardianship</w:t>
      </w:r>
      <w:r w:rsidR="006525C9" w:rsidRPr="002A28E1">
        <w:rPr>
          <w:rFonts w:ascii="times" w:hAnsi="times"/>
        </w:rPr>
        <w:t xml:space="preserve"> or a report</w:t>
      </w:r>
      <w:r w:rsidR="004938BF" w:rsidRPr="002A28E1">
        <w:rPr>
          <w:rFonts w:ascii="times" w:hAnsi="times"/>
        </w:rPr>
        <w:t xml:space="preserve"> by a relevant authority</w:t>
      </w:r>
      <w:r w:rsidR="006525C9" w:rsidRPr="002A28E1">
        <w:rPr>
          <w:rFonts w:ascii="times" w:hAnsi="times"/>
        </w:rPr>
        <w:t xml:space="preserve"> of a conflict of interest </w:t>
      </w:r>
      <w:r w:rsidR="009B5358" w:rsidRPr="002A28E1">
        <w:rPr>
          <w:rFonts w:ascii="times" w:hAnsi="times"/>
        </w:rPr>
        <w:t>between the supporting and supported person</w:t>
      </w:r>
      <w:r w:rsidR="007D4DC9" w:rsidRPr="002A28E1">
        <w:rPr>
          <w:rFonts w:ascii="times" w:hAnsi="times"/>
        </w:rPr>
        <w:t>).</w:t>
      </w:r>
      <w:r w:rsidR="00B84730" w:rsidRPr="002A28E1">
        <w:rPr>
          <w:rStyle w:val="FootnoteReference"/>
          <w:rFonts w:ascii="times" w:hAnsi="times"/>
        </w:rPr>
        <w:footnoteReference w:id="567"/>
      </w:r>
      <w:r w:rsidR="003269BA" w:rsidRPr="002A28E1">
        <w:rPr>
          <w:rFonts w:ascii="times" w:hAnsi="times"/>
        </w:rPr>
        <w:t xml:space="preserve"> </w:t>
      </w:r>
    </w:p>
    <w:p w14:paraId="61ED2FDE" w14:textId="596B47BD" w:rsidR="007E2F68" w:rsidRPr="002A28E1" w:rsidRDefault="007E2F68" w:rsidP="004479C5">
      <w:pPr>
        <w:snapToGrid w:val="0"/>
        <w:rPr>
          <w:rFonts w:ascii="times" w:hAnsi="times"/>
          <w:b/>
        </w:rPr>
      </w:pPr>
    </w:p>
    <w:p w14:paraId="5620BBB2" w14:textId="7938CABF" w:rsidR="00852084" w:rsidRPr="002A28E1" w:rsidRDefault="0095015E" w:rsidP="004479C5">
      <w:pPr>
        <w:pStyle w:val="NormalWeb"/>
        <w:snapToGrid w:val="0"/>
        <w:spacing w:before="0" w:beforeAutospacing="0" w:after="0" w:afterAutospacing="0"/>
        <w:rPr>
          <w:rFonts w:ascii="times" w:hAnsi="times"/>
        </w:rPr>
      </w:pPr>
      <w:r w:rsidRPr="002A28E1">
        <w:rPr>
          <w:rFonts w:ascii="times" w:hAnsi="times"/>
        </w:rPr>
        <w:t xml:space="preserve">In terms of </w:t>
      </w:r>
      <w:r w:rsidR="00AD7A72" w:rsidRPr="002A28E1">
        <w:rPr>
          <w:rFonts w:ascii="times" w:hAnsi="times"/>
        </w:rPr>
        <w:t>its</w:t>
      </w:r>
      <w:r w:rsidR="0063424D" w:rsidRPr="002A28E1">
        <w:rPr>
          <w:rFonts w:ascii="times" w:hAnsi="times"/>
        </w:rPr>
        <w:t xml:space="preserve"> </w:t>
      </w:r>
      <w:r w:rsidR="0063424D" w:rsidRPr="00F606F0">
        <w:rPr>
          <w:rFonts w:ascii="times" w:hAnsi="times"/>
        </w:rPr>
        <w:t>respect for Article 12</w:t>
      </w:r>
      <w:r w:rsidR="00A73A88" w:rsidRPr="00F606F0">
        <w:rPr>
          <w:rFonts w:ascii="times" w:hAnsi="times"/>
        </w:rPr>
        <w:t xml:space="preserve"> of the CRPD</w:t>
      </w:r>
      <w:r w:rsidR="0063424D" w:rsidRPr="00F606F0">
        <w:rPr>
          <w:rFonts w:ascii="times" w:hAnsi="times"/>
        </w:rPr>
        <w:t xml:space="preserve">, the Hungarian legislative framework </w:t>
      </w:r>
      <w:r w:rsidR="00990C36" w:rsidRPr="00F606F0">
        <w:rPr>
          <w:rFonts w:ascii="times" w:hAnsi="times"/>
        </w:rPr>
        <w:t>does</w:t>
      </w:r>
      <w:r w:rsidR="00976524" w:rsidRPr="00F606F0">
        <w:rPr>
          <w:rFonts w:ascii="times" w:hAnsi="times"/>
        </w:rPr>
        <w:t xml:space="preserve"> not </w:t>
      </w:r>
      <w:r w:rsidR="000D60D7" w:rsidRPr="00F606F0">
        <w:rPr>
          <w:rFonts w:ascii="times" w:hAnsi="times"/>
        </w:rPr>
        <w:t>recognize</w:t>
      </w:r>
      <w:r w:rsidR="00CA2DC2" w:rsidRPr="00F606F0">
        <w:rPr>
          <w:rFonts w:ascii="times" w:hAnsi="times"/>
        </w:rPr>
        <w:t xml:space="preserve"> the </w:t>
      </w:r>
      <w:r w:rsidR="000D60D7" w:rsidRPr="00F606F0">
        <w:rPr>
          <w:rFonts w:ascii="times" w:hAnsi="times"/>
        </w:rPr>
        <w:t xml:space="preserve">full legal capacity of </w:t>
      </w:r>
      <w:r w:rsidR="001B3BC2" w:rsidRPr="00F606F0">
        <w:rPr>
          <w:rFonts w:ascii="times" w:hAnsi="times"/>
        </w:rPr>
        <w:t xml:space="preserve">all </w:t>
      </w:r>
      <w:r w:rsidR="000D60D7" w:rsidRPr="00F606F0">
        <w:rPr>
          <w:rFonts w:ascii="times" w:hAnsi="times"/>
        </w:rPr>
        <w:t>persons with disabilities.</w:t>
      </w:r>
      <w:r w:rsidR="00330DC5" w:rsidRPr="00F606F0">
        <w:rPr>
          <w:rFonts w:ascii="times" w:hAnsi="times"/>
        </w:rPr>
        <w:t xml:space="preserve"> </w:t>
      </w:r>
      <w:r w:rsidR="00A74678" w:rsidRPr="00F606F0">
        <w:rPr>
          <w:rFonts w:ascii="times" w:hAnsi="times"/>
        </w:rPr>
        <w:t>Due to t</w:t>
      </w:r>
      <w:r w:rsidR="008470C2" w:rsidRPr="00F606F0">
        <w:rPr>
          <w:rFonts w:ascii="times" w:hAnsi="times"/>
        </w:rPr>
        <w:t>he continued availability of f</w:t>
      </w:r>
      <w:r w:rsidR="00330DC5" w:rsidRPr="00F606F0">
        <w:rPr>
          <w:rFonts w:ascii="times" w:hAnsi="times"/>
        </w:rPr>
        <w:t xml:space="preserve">ull and partial limitations </w:t>
      </w:r>
      <w:r w:rsidR="00236285" w:rsidRPr="00F606F0">
        <w:rPr>
          <w:rFonts w:ascii="times" w:hAnsi="times"/>
        </w:rPr>
        <w:t>on legal capacity</w:t>
      </w:r>
      <w:r w:rsidR="009C45AA" w:rsidRPr="00F606F0">
        <w:rPr>
          <w:rFonts w:ascii="times" w:hAnsi="times"/>
        </w:rPr>
        <w:t xml:space="preserve"> </w:t>
      </w:r>
      <w:proofErr w:type="gramStart"/>
      <w:r w:rsidR="009C45AA" w:rsidRPr="00F606F0">
        <w:rPr>
          <w:rFonts w:ascii="times" w:hAnsi="times"/>
        </w:rPr>
        <w:t>on the basis of</w:t>
      </w:r>
      <w:proofErr w:type="gramEnd"/>
      <w:r w:rsidR="009C45AA" w:rsidRPr="00F606F0">
        <w:rPr>
          <w:rFonts w:ascii="times" w:hAnsi="times"/>
        </w:rPr>
        <w:t xml:space="preserve"> a person’s disability and mental capacity</w:t>
      </w:r>
      <w:r w:rsidR="000B5B9F" w:rsidRPr="00F606F0">
        <w:rPr>
          <w:rFonts w:ascii="times" w:hAnsi="times"/>
        </w:rPr>
        <w:t>,</w:t>
      </w:r>
      <w:r w:rsidR="00CE1D01" w:rsidRPr="00F606F0">
        <w:rPr>
          <w:rStyle w:val="FootnoteReference"/>
          <w:rFonts w:ascii="times" w:hAnsi="times"/>
        </w:rPr>
        <w:footnoteReference w:id="568"/>
      </w:r>
      <w:r w:rsidR="000B5B9F" w:rsidRPr="00F606F0">
        <w:rPr>
          <w:rFonts w:ascii="times" w:hAnsi="times"/>
        </w:rPr>
        <w:t xml:space="preserve"> Hungary’s legislation </w:t>
      </w:r>
      <w:r w:rsidR="00A74678" w:rsidRPr="00F606F0">
        <w:rPr>
          <w:rFonts w:ascii="times" w:hAnsi="times"/>
        </w:rPr>
        <w:t xml:space="preserve">undoubtedly </w:t>
      </w:r>
      <w:r w:rsidR="000B5B9F" w:rsidRPr="00F606F0">
        <w:rPr>
          <w:rFonts w:ascii="times" w:hAnsi="times"/>
        </w:rPr>
        <w:t xml:space="preserve">violates </w:t>
      </w:r>
      <w:r w:rsidR="004A75AF" w:rsidRPr="00F606F0">
        <w:rPr>
          <w:rFonts w:ascii="times" w:hAnsi="times"/>
        </w:rPr>
        <w:t>Article 12.</w:t>
      </w:r>
      <w:r w:rsidR="00B16422" w:rsidRPr="00F606F0">
        <w:rPr>
          <w:rStyle w:val="FootnoteReference"/>
          <w:rFonts w:ascii="times" w:hAnsi="times"/>
        </w:rPr>
        <w:footnoteReference w:id="569"/>
      </w:r>
      <w:r w:rsidR="00B16422" w:rsidRPr="00F606F0">
        <w:rPr>
          <w:rFonts w:ascii="times" w:hAnsi="times"/>
        </w:rPr>
        <w:t xml:space="preserve"> </w:t>
      </w:r>
      <w:r w:rsidR="00E04288" w:rsidRPr="00F606F0">
        <w:rPr>
          <w:rFonts w:ascii="times" w:hAnsi="times"/>
        </w:rPr>
        <w:t>Moreover, t</w:t>
      </w:r>
      <w:r w:rsidR="00B16422" w:rsidRPr="00F606F0">
        <w:rPr>
          <w:rFonts w:ascii="times" w:hAnsi="times"/>
        </w:rPr>
        <w:t xml:space="preserve">he maintenance of </w:t>
      </w:r>
      <w:r w:rsidR="00036933" w:rsidRPr="00F606F0">
        <w:rPr>
          <w:rFonts w:ascii="times" w:hAnsi="times"/>
        </w:rPr>
        <w:t>substitute decision-making</w:t>
      </w:r>
      <w:r w:rsidR="005C2731" w:rsidRPr="00F606F0">
        <w:rPr>
          <w:rFonts w:ascii="times" w:hAnsi="times"/>
        </w:rPr>
        <w:t xml:space="preserve"> through the institution of guardianship</w:t>
      </w:r>
      <w:r w:rsidR="00710600" w:rsidRPr="00F606F0">
        <w:rPr>
          <w:rFonts w:ascii="times" w:hAnsi="times"/>
        </w:rPr>
        <w:t xml:space="preserve"> is</w:t>
      </w:r>
      <w:r w:rsidR="002A74E0" w:rsidRPr="00F606F0">
        <w:rPr>
          <w:rFonts w:ascii="times" w:hAnsi="times"/>
        </w:rPr>
        <w:t xml:space="preserve"> problematic vis-à-vis Article 12.</w:t>
      </w:r>
      <w:r w:rsidR="004A75AF" w:rsidRPr="00F606F0">
        <w:rPr>
          <w:rFonts w:ascii="times" w:hAnsi="times"/>
        </w:rPr>
        <w:t xml:space="preserve"> </w:t>
      </w:r>
      <w:r w:rsidR="004479C5" w:rsidRPr="00F606F0">
        <w:rPr>
          <w:rFonts w:ascii="times" w:hAnsi="times"/>
        </w:rPr>
        <w:t xml:space="preserve">One may note that </w:t>
      </w:r>
      <w:r w:rsidR="00852084" w:rsidRPr="00F606F0">
        <w:rPr>
          <w:rFonts w:ascii="times" w:hAnsi="times"/>
        </w:rPr>
        <w:t xml:space="preserve">under </w:t>
      </w:r>
      <w:r w:rsidR="006B1D0A" w:rsidRPr="00F606F0">
        <w:rPr>
          <w:rFonts w:ascii="times" w:hAnsi="times"/>
        </w:rPr>
        <w:t xml:space="preserve">Hungarian law, </w:t>
      </w:r>
      <w:r w:rsidR="00937CFA" w:rsidRPr="00F606F0">
        <w:rPr>
          <w:rFonts w:ascii="times" w:hAnsi="times"/>
        </w:rPr>
        <w:t>persons</w:t>
      </w:r>
      <w:r w:rsidR="00852084" w:rsidRPr="00F606F0">
        <w:rPr>
          <w:rFonts w:ascii="times" w:hAnsi="times"/>
        </w:rPr>
        <w:t xml:space="preserve"> with disabilities</w:t>
      </w:r>
      <w:r w:rsidR="004479C5" w:rsidRPr="00F606F0">
        <w:rPr>
          <w:rFonts w:ascii="times" w:hAnsi="times"/>
        </w:rPr>
        <w:t xml:space="preserve"> </w:t>
      </w:r>
      <w:r w:rsidR="006B1D0A" w:rsidRPr="00F606F0">
        <w:rPr>
          <w:rFonts w:ascii="times" w:hAnsi="times"/>
        </w:rPr>
        <w:t>wh</w:t>
      </w:r>
      <w:r w:rsidR="00946979" w:rsidRPr="00F606F0">
        <w:rPr>
          <w:rFonts w:ascii="times" w:hAnsi="times"/>
        </w:rPr>
        <w:t xml:space="preserve">ose legal capacity has been fully restricted </w:t>
      </w:r>
      <w:r w:rsidR="001A1D85" w:rsidRPr="00F606F0">
        <w:rPr>
          <w:rFonts w:ascii="times" w:hAnsi="times"/>
        </w:rPr>
        <w:t>do not have the right to marry,</w:t>
      </w:r>
      <w:r w:rsidR="006C65CD" w:rsidRPr="00F606F0">
        <w:rPr>
          <w:rStyle w:val="FootnoteReference"/>
          <w:rFonts w:ascii="times" w:hAnsi="times"/>
        </w:rPr>
        <w:footnoteReference w:id="570"/>
      </w:r>
      <w:r w:rsidR="001A1D85" w:rsidRPr="00F606F0">
        <w:rPr>
          <w:rFonts w:ascii="times" w:hAnsi="times"/>
        </w:rPr>
        <w:t xml:space="preserve"> </w:t>
      </w:r>
      <w:r w:rsidR="006B773D" w:rsidRPr="00F606F0">
        <w:rPr>
          <w:rFonts w:ascii="times" w:hAnsi="times"/>
        </w:rPr>
        <w:t>make a will,</w:t>
      </w:r>
      <w:r w:rsidR="006C65CD" w:rsidRPr="00F606F0">
        <w:rPr>
          <w:rStyle w:val="FootnoteReference"/>
          <w:rFonts w:ascii="times" w:hAnsi="times"/>
        </w:rPr>
        <w:footnoteReference w:id="571"/>
      </w:r>
      <w:r w:rsidR="006B773D" w:rsidRPr="00F606F0">
        <w:rPr>
          <w:rFonts w:ascii="times" w:hAnsi="times"/>
        </w:rPr>
        <w:t xml:space="preserve"> adopt children,</w:t>
      </w:r>
      <w:r w:rsidR="003C0125" w:rsidRPr="00F606F0">
        <w:rPr>
          <w:rStyle w:val="FootnoteReference"/>
          <w:rFonts w:ascii="times" w:hAnsi="times"/>
        </w:rPr>
        <w:footnoteReference w:id="572"/>
      </w:r>
      <w:r w:rsidR="006B773D" w:rsidRPr="00F606F0">
        <w:rPr>
          <w:rFonts w:ascii="times" w:hAnsi="times"/>
        </w:rPr>
        <w:t xml:space="preserve"> give and withdraw informed consent for medical </w:t>
      </w:r>
      <w:r w:rsidR="003C0125" w:rsidRPr="00F606F0">
        <w:rPr>
          <w:rFonts w:ascii="times" w:hAnsi="times"/>
        </w:rPr>
        <w:t>care</w:t>
      </w:r>
      <w:r w:rsidR="006B773D" w:rsidRPr="00F606F0">
        <w:rPr>
          <w:rFonts w:ascii="times" w:hAnsi="times"/>
        </w:rPr>
        <w:t>,</w:t>
      </w:r>
      <w:r w:rsidR="003C0125" w:rsidRPr="00F606F0">
        <w:rPr>
          <w:rStyle w:val="FootnoteReference"/>
          <w:rFonts w:ascii="times" w:hAnsi="times"/>
        </w:rPr>
        <w:footnoteReference w:id="573"/>
      </w:r>
      <w:r w:rsidR="006B773D" w:rsidRPr="00F606F0">
        <w:rPr>
          <w:rFonts w:ascii="times" w:hAnsi="times"/>
        </w:rPr>
        <w:t xml:space="preserve"> access </w:t>
      </w:r>
      <w:r w:rsidR="00115C49" w:rsidRPr="00F606F0">
        <w:rPr>
          <w:rFonts w:ascii="times" w:hAnsi="times"/>
        </w:rPr>
        <w:t>justice,</w:t>
      </w:r>
      <w:r w:rsidR="003C0125" w:rsidRPr="00F606F0">
        <w:rPr>
          <w:rStyle w:val="FootnoteReference"/>
          <w:rFonts w:ascii="times" w:hAnsi="times"/>
        </w:rPr>
        <w:footnoteReference w:id="574"/>
      </w:r>
      <w:r w:rsidR="00115C49" w:rsidRPr="00F606F0">
        <w:rPr>
          <w:rFonts w:ascii="times" w:hAnsi="times"/>
        </w:rPr>
        <w:t xml:space="preserve"> or select </w:t>
      </w:r>
      <w:r w:rsidR="00AD0FD9" w:rsidRPr="00F606F0">
        <w:rPr>
          <w:rFonts w:ascii="times" w:hAnsi="times"/>
        </w:rPr>
        <w:t>a place to live.</w:t>
      </w:r>
      <w:bookmarkStart w:id="65" w:name="_Ref15301364"/>
      <w:r w:rsidR="003C0125" w:rsidRPr="00F606F0">
        <w:rPr>
          <w:rStyle w:val="FootnoteReference"/>
          <w:rFonts w:ascii="times" w:hAnsi="times"/>
        </w:rPr>
        <w:footnoteReference w:id="575"/>
      </w:r>
      <w:bookmarkEnd w:id="65"/>
      <w:r w:rsidR="00AD0FD9" w:rsidRPr="002A28E1">
        <w:rPr>
          <w:rFonts w:ascii="times" w:hAnsi="times"/>
        </w:rPr>
        <w:t xml:space="preserve"> </w:t>
      </w:r>
    </w:p>
    <w:p w14:paraId="03AC09B6" w14:textId="64652A71" w:rsidR="00C656B9" w:rsidRPr="002A28E1" w:rsidRDefault="00C656B9">
      <w:pPr>
        <w:rPr>
          <w:rFonts w:ascii="times" w:hAnsi="times"/>
        </w:rPr>
      </w:pPr>
    </w:p>
    <w:p w14:paraId="439F3E25" w14:textId="738D9A33" w:rsidR="00A979B4" w:rsidRPr="00573E5D" w:rsidRDefault="00F44B7F" w:rsidP="00A4360D">
      <w:pPr>
        <w:pStyle w:val="NormalWeb"/>
        <w:spacing w:before="0" w:beforeAutospacing="0" w:after="0" w:afterAutospacing="0"/>
        <w:rPr>
          <w:rFonts w:ascii="times" w:hAnsi="times"/>
        </w:rPr>
      </w:pPr>
      <w:r w:rsidRPr="00573E5D">
        <w:rPr>
          <w:rFonts w:ascii="times" w:hAnsi="times"/>
        </w:rPr>
        <w:t>Furthermore</w:t>
      </w:r>
      <w:r w:rsidR="00796BC6" w:rsidRPr="00573E5D">
        <w:rPr>
          <w:rFonts w:ascii="times" w:hAnsi="times"/>
        </w:rPr>
        <w:t xml:space="preserve">, despite the fact that the new Civil Code </w:t>
      </w:r>
      <w:r w:rsidR="004C0531" w:rsidRPr="00573E5D">
        <w:rPr>
          <w:rFonts w:ascii="times" w:hAnsi="times"/>
        </w:rPr>
        <w:t>introduces supported decision-making</w:t>
      </w:r>
      <w:r w:rsidR="00267B8D" w:rsidRPr="00573E5D">
        <w:rPr>
          <w:rFonts w:ascii="times" w:hAnsi="times"/>
        </w:rPr>
        <w:t xml:space="preserve"> measures</w:t>
      </w:r>
      <w:r w:rsidR="00D9078D" w:rsidRPr="00573E5D">
        <w:rPr>
          <w:rFonts w:ascii="times" w:hAnsi="times"/>
        </w:rPr>
        <w:t xml:space="preserve"> as demanded by Article 12,</w:t>
      </w:r>
      <w:r w:rsidR="00B1398E" w:rsidRPr="00573E5D">
        <w:rPr>
          <w:rFonts w:ascii="times" w:hAnsi="times"/>
        </w:rPr>
        <w:t xml:space="preserve"> </w:t>
      </w:r>
      <w:r w:rsidR="00A979B4" w:rsidRPr="00573E5D">
        <w:rPr>
          <w:rFonts w:ascii="times" w:hAnsi="times"/>
        </w:rPr>
        <w:t xml:space="preserve">supported decision-making in Hungary is only available to </w:t>
      </w:r>
      <w:r w:rsidR="00A979B4" w:rsidRPr="00573E5D">
        <w:rPr>
          <w:rFonts w:ascii="times" w:hAnsi="times"/>
        </w:rPr>
        <w:lastRenderedPageBreak/>
        <w:t>people with a “minor decrease in their mental capacity</w:t>
      </w:r>
      <w:r w:rsidR="0025387F" w:rsidRPr="00573E5D">
        <w:rPr>
          <w:rFonts w:ascii="times" w:hAnsi="times"/>
        </w:rPr>
        <w:t>.</w:t>
      </w:r>
      <w:r w:rsidR="00A979B4" w:rsidRPr="00573E5D">
        <w:rPr>
          <w:rFonts w:ascii="times" w:hAnsi="times"/>
        </w:rPr>
        <w:t>”</w:t>
      </w:r>
      <w:r w:rsidR="00A70E36" w:rsidRPr="00573E5D">
        <w:rPr>
          <w:rStyle w:val="FootnoteReference"/>
          <w:rFonts w:ascii="times" w:hAnsi="times"/>
        </w:rPr>
        <w:footnoteReference w:id="576"/>
      </w:r>
      <w:r w:rsidR="0025387F" w:rsidRPr="00573E5D">
        <w:rPr>
          <w:rFonts w:ascii="times" w:hAnsi="times"/>
        </w:rPr>
        <w:t xml:space="preserve"> This </w:t>
      </w:r>
      <w:r w:rsidR="00E94649" w:rsidRPr="00573E5D">
        <w:rPr>
          <w:rFonts w:ascii="times" w:hAnsi="times"/>
        </w:rPr>
        <w:t>undoubtedly</w:t>
      </w:r>
      <w:r w:rsidR="0062273A" w:rsidRPr="00573E5D">
        <w:rPr>
          <w:rFonts w:ascii="times" w:hAnsi="times"/>
        </w:rPr>
        <w:t xml:space="preserve"> </w:t>
      </w:r>
      <w:r w:rsidR="00E94649" w:rsidRPr="00573E5D">
        <w:rPr>
          <w:rFonts w:ascii="times" w:hAnsi="times"/>
        </w:rPr>
        <w:t xml:space="preserve">contradicts Article 12 </w:t>
      </w:r>
      <w:r w:rsidR="00AB6DB0" w:rsidRPr="00573E5D">
        <w:rPr>
          <w:rFonts w:ascii="times" w:hAnsi="times"/>
        </w:rPr>
        <w:t>which envisions</w:t>
      </w:r>
      <w:r w:rsidR="002D5EBB" w:rsidRPr="00573E5D">
        <w:rPr>
          <w:rFonts w:ascii="times" w:hAnsi="times"/>
        </w:rPr>
        <w:t xml:space="preserve"> </w:t>
      </w:r>
      <w:r w:rsidR="00EF2B5C" w:rsidRPr="00573E5D">
        <w:rPr>
          <w:rFonts w:ascii="times" w:hAnsi="times"/>
        </w:rPr>
        <w:t>making</w:t>
      </w:r>
      <w:r w:rsidR="002D5EBB" w:rsidRPr="00573E5D">
        <w:rPr>
          <w:rFonts w:ascii="times" w:hAnsi="times"/>
        </w:rPr>
        <w:t xml:space="preserve"> supports </w:t>
      </w:r>
      <w:r w:rsidR="00EF2B5C" w:rsidRPr="00573E5D">
        <w:rPr>
          <w:rFonts w:ascii="times" w:hAnsi="times"/>
        </w:rPr>
        <w:t xml:space="preserve">available to all persons </w:t>
      </w:r>
      <w:r w:rsidR="00E80773" w:rsidRPr="00573E5D">
        <w:rPr>
          <w:rFonts w:ascii="times" w:hAnsi="times"/>
        </w:rPr>
        <w:t xml:space="preserve">with disabilities, regardless </w:t>
      </w:r>
      <w:proofErr w:type="gramStart"/>
      <w:r w:rsidR="00F606F0">
        <w:rPr>
          <w:rFonts w:ascii="times" w:hAnsi="times"/>
        </w:rPr>
        <w:t xml:space="preserve">a </w:t>
      </w:r>
      <w:r w:rsidR="007406BB">
        <w:rPr>
          <w:rFonts w:ascii="times" w:hAnsi="times"/>
        </w:rPr>
        <w:t>the</w:t>
      </w:r>
      <w:proofErr w:type="gramEnd"/>
      <w:r w:rsidR="00F606F0">
        <w:rPr>
          <w:rFonts w:ascii="times" w:hAnsi="times"/>
        </w:rPr>
        <w:t xml:space="preserve"> level of support required</w:t>
      </w:r>
      <w:r w:rsidR="0051253B" w:rsidRPr="00573E5D">
        <w:rPr>
          <w:rFonts w:ascii="times" w:hAnsi="times"/>
        </w:rPr>
        <w:t>.</w:t>
      </w:r>
      <w:bookmarkStart w:id="66" w:name="_Ref15301464"/>
      <w:r w:rsidR="00B74B10" w:rsidRPr="00573E5D">
        <w:rPr>
          <w:rStyle w:val="FootnoteReference"/>
          <w:rFonts w:ascii="times" w:hAnsi="times"/>
        </w:rPr>
        <w:footnoteReference w:id="577"/>
      </w:r>
      <w:bookmarkEnd w:id="66"/>
      <w:r w:rsidR="00E42039" w:rsidRPr="00573E5D">
        <w:rPr>
          <w:rFonts w:ascii="times" w:hAnsi="times"/>
        </w:rPr>
        <w:t xml:space="preserve"> </w:t>
      </w:r>
      <w:r w:rsidR="003B18AA" w:rsidRPr="00573E5D">
        <w:rPr>
          <w:rFonts w:ascii="times" w:hAnsi="times"/>
        </w:rPr>
        <w:t xml:space="preserve">Furthermore, the </w:t>
      </w:r>
      <w:r w:rsidR="00133328" w:rsidRPr="00573E5D">
        <w:rPr>
          <w:rFonts w:ascii="times" w:hAnsi="times"/>
        </w:rPr>
        <w:t xml:space="preserve">Mental Disability Advocacy Centre (MDAC) maintains that the </w:t>
      </w:r>
      <w:r w:rsidR="00304FE5" w:rsidRPr="00573E5D">
        <w:rPr>
          <w:rFonts w:ascii="times" w:hAnsi="times"/>
        </w:rPr>
        <w:t xml:space="preserve">Hungarian legislative </w:t>
      </w:r>
      <w:r w:rsidR="00133328" w:rsidRPr="00573E5D">
        <w:rPr>
          <w:rFonts w:ascii="times" w:hAnsi="times"/>
        </w:rPr>
        <w:t xml:space="preserve">provision </w:t>
      </w:r>
      <w:r w:rsidR="00634095" w:rsidRPr="00573E5D">
        <w:rPr>
          <w:rFonts w:ascii="times" w:hAnsi="times"/>
        </w:rPr>
        <w:t>limiting supported decision-making to those with</w:t>
      </w:r>
      <w:r w:rsidR="00D66E13" w:rsidRPr="00573E5D">
        <w:rPr>
          <w:rFonts w:ascii="times" w:hAnsi="times"/>
        </w:rPr>
        <w:t xml:space="preserve"> slight reductions in mental capacity</w:t>
      </w:r>
      <w:r w:rsidR="00C76403" w:rsidRPr="00573E5D">
        <w:rPr>
          <w:rFonts w:ascii="times" w:hAnsi="times"/>
        </w:rPr>
        <w:t xml:space="preserve"> is inherently discriminatory, </w:t>
      </w:r>
      <w:r w:rsidR="00944A39" w:rsidRPr="00573E5D">
        <w:rPr>
          <w:rFonts w:ascii="times" w:hAnsi="times"/>
        </w:rPr>
        <w:t>contravening the CRPD</w:t>
      </w:r>
      <w:r w:rsidR="00CF51D1" w:rsidRPr="00573E5D">
        <w:rPr>
          <w:rFonts w:ascii="times" w:hAnsi="times"/>
        </w:rPr>
        <w:t xml:space="preserve">’s prohibition of </w:t>
      </w:r>
      <w:r w:rsidR="008F3DEF" w:rsidRPr="00573E5D">
        <w:rPr>
          <w:rFonts w:ascii="times" w:hAnsi="times"/>
        </w:rPr>
        <w:t>discrimination</w:t>
      </w:r>
      <w:r w:rsidR="00CF51D1" w:rsidRPr="00573E5D">
        <w:rPr>
          <w:rFonts w:ascii="times" w:hAnsi="times"/>
        </w:rPr>
        <w:t xml:space="preserve"> on </w:t>
      </w:r>
      <w:r w:rsidR="009657E1" w:rsidRPr="00573E5D">
        <w:rPr>
          <w:rFonts w:ascii="times" w:hAnsi="times"/>
        </w:rPr>
        <w:t xml:space="preserve">the </w:t>
      </w:r>
      <w:r w:rsidR="0032194B" w:rsidRPr="00573E5D">
        <w:rPr>
          <w:rFonts w:ascii="times" w:hAnsi="times"/>
        </w:rPr>
        <w:t>grounds</w:t>
      </w:r>
      <w:r w:rsidR="009657E1" w:rsidRPr="00573E5D">
        <w:rPr>
          <w:rFonts w:ascii="times" w:hAnsi="times"/>
        </w:rPr>
        <w:t xml:space="preserve"> of disability</w:t>
      </w:r>
      <w:r w:rsidR="00A94C70" w:rsidRPr="00573E5D">
        <w:rPr>
          <w:rFonts w:ascii="times" w:hAnsi="times"/>
        </w:rPr>
        <w:t>.</w:t>
      </w:r>
      <w:r w:rsidR="00FD480F" w:rsidRPr="00573E5D">
        <w:rPr>
          <w:rStyle w:val="FootnoteReference"/>
          <w:rFonts w:ascii="times" w:hAnsi="times"/>
        </w:rPr>
        <w:footnoteReference w:id="578"/>
      </w:r>
    </w:p>
    <w:p w14:paraId="0A2EFCC7" w14:textId="48867D5D" w:rsidR="00A979B4" w:rsidRPr="002A28E1" w:rsidRDefault="00A979B4" w:rsidP="00A4360D">
      <w:pPr>
        <w:pStyle w:val="NormalWeb"/>
        <w:spacing w:before="0" w:beforeAutospacing="0" w:after="0" w:afterAutospacing="0"/>
        <w:rPr>
          <w:rFonts w:ascii="times" w:hAnsi="times"/>
          <w:highlight w:val="darkGray"/>
        </w:rPr>
      </w:pPr>
    </w:p>
    <w:p w14:paraId="160706EC" w14:textId="70FD8CFB" w:rsidR="00501BB4" w:rsidRPr="00915516" w:rsidRDefault="00A9608A" w:rsidP="00A4360D">
      <w:pPr>
        <w:pStyle w:val="NormalWeb"/>
        <w:spacing w:before="0" w:beforeAutospacing="0" w:after="0" w:afterAutospacing="0"/>
        <w:rPr>
          <w:rFonts w:ascii="times" w:hAnsi="times"/>
        </w:rPr>
      </w:pPr>
      <w:r w:rsidRPr="00915516">
        <w:rPr>
          <w:rFonts w:ascii="times" w:hAnsi="times"/>
        </w:rPr>
        <w:t xml:space="preserve">Next, the </w:t>
      </w:r>
      <w:r w:rsidR="00A757EB" w:rsidRPr="00915516">
        <w:rPr>
          <w:rFonts w:ascii="times" w:hAnsi="times"/>
        </w:rPr>
        <w:t xml:space="preserve">actual </w:t>
      </w:r>
      <w:r w:rsidRPr="00915516">
        <w:rPr>
          <w:rFonts w:ascii="times" w:hAnsi="times"/>
        </w:rPr>
        <w:t>support system envisioned by the Hungarian legislation is arguably not in conformity with Article 12</w:t>
      </w:r>
      <w:r w:rsidR="00EB0B16" w:rsidRPr="00915516">
        <w:rPr>
          <w:rFonts w:ascii="times" w:hAnsi="times"/>
        </w:rPr>
        <w:t xml:space="preserve">. </w:t>
      </w:r>
      <w:r w:rsidR="00B32743" w:rsidRPr="00915516">
        <w:rPr>
          <w:rFonts w:ascii="times" w:hAnsi="times"/>
        </w:rPr>
        <w:t>The Mental Disability Advocacy Centre (MDAC) contends that Hungary</w:t>
      </w:r>
      <w:r w:rsidR="00F64D1F" w:rsidRPr="00915516">
        <w:rPr>
          <w:rFonts w:ascii="times" w:hAnsi="times"/>
        </w:rPr>
        <w:t>’s conception of supported decision-making</w:t>
      </w:r>
      <w:r w:rsidR="00B32743" w:rsidRPr="00915516">
        <w:rPr>
          <w:rFonts w:ascii="times" w:hAnsi="times"/>
        </w:rPr>
        <w:t xml:space="preserve"> </w:t>
      </w:r>
      <w:proofErr w:type="gramStart"/>
      <w:r w:rsidR="00F64D1F" w:rsidRPr="00915516">
        <w:rPr>
          <w:rFonts w:ascii="times" w:hAnsi="times"/>
        </w:rPr>
        <w:t>is not grounded</w:t>
      </w:r>
      <w:proofErr w:type="gramEnd"/>
      <w:r w:rsidR="00F64D1F" w:rsidRPr="00915516">
        <w:rPr>
          <w:rFonts w:ascii="times" w:hAnsi="times"/>
        </w:rPr>
        <w:t xml:space="preserve"> in the will and preferences of the person concerned and that supports </w:t>
      </w:r>
      <w:r w:rsidR="00191021" w:rsidRPr="00915516">
        <w:rPr>
          <w:rFonts w:ascii="times" w:hAnsi="times"/>
        </w:rPr>
        <w:t>can</w:t>
      </w:r>
      <w:r w:rsidR="00F64D1F" w:rsidRPr="00915516">
        <w:rPr>
          <w:rFonts w:ascii="times" w:hAnsi="times"/>
        </w:rPr>
        <w:t xml:space="preserve"> in fact</w:t>
      </w:r>
      <w:r w:rsidR="00191021" w:rsidRPr="00915516">
        <w:rPr>
          <w:rFonts w:ascii="times" w:hAnsi="times"/>
        </w:rPr>
        <w:t xml:space="preserve"> be “imposed” </w:t>
      </w:r>
      <w:r w:rsidR="007C451D" w:rsidRPr="00915516">
        <w:rPr>
          <w:rFonts w:ascii="times" w:hAnsi="times"/>
        </w:rPr>
        <w:t>by the guardianship authority</w:t>
      </w:r>
      <w:r w:rsidR="00E5333F" w:rsidRPr="00915516">
        <w:rPr>
          <w:rFonts w:ascii="times" w:hAnsi="times"/>
        </w:rPr>
        <w:t>.</w:t>
      </w:r>
      <w:r w:rsidR="004550FD" w:rsidRPr="00915516">
        <w:rPr>
          <w:rStyle w:val="FootnoteReference"/>
          <w:rFonts w:ascii="times" w:hAnsi="times"/>
        </w:rPr>
        <w:footnoteReference w:id="579"/>
      </w:r>
      <w:r w:rsidR="008F0A35" w:rsidRPr="00915516">
        <w:rPr>
          <w:rFonts w:ascii="times" w:hAnsi="times"/>
        </w:rPr>
        <w:t xml:space="preserve"> </w:t>
      </w:r>
      <w:r w:rsidR="00155642" w:rsidRPr="00915516">
        <w:rPr>
          <w:rFonts w:ascii="times" w:hAnsi="times"/>
        </w:rPr>
        <w:t>Indeed, t</w:t>
      </w:r>
      <w:r w:rsidR="00FB46B8" w:rsidRPr="00915516">
        <w:rPr>
          <w:rFonts w:ascii="times" w:hAnsi="times"/>
        </w:rPr>
        <w:t>he notion of respecting the given person’s “will and preferences” does not seem to feature</w:t>
      </w:r>
      <w:r w:rsidR="00A05578" w:rsidRPr="00915516">
        <w:rPr>
          <w:rFonts w:ascii="times" w:hAnsi="times"/>
        </w:rPr>
        <w:t xml:space="preserve"> explicitly</w:t>
      </w:r>
      <w:r w:rsidR="00FB46B8" w:rsidRPr="00915516">
        <w:rPr>
          <w:rFonts w:ascii="times" w:hAnsi="times"/>
        </w:rPr>
        <w:t xml:space="preserve"> </w:t>
      </w:r>
      <w:r w:rsidR="00FF63D8" w:rsidRPr="00915516">
        <w:rPr>
          <w:rFonts w:ascii="times" w:hAnsi="times"/>
        </w:rPr>
        <w:t xml:space="preserve">in the new Civil Code or in </w:t>
      </w:r>
      <w:r w:rsidR="009843D0" w:rsidRPr="00915516">
        <w:rPr>
          <w:rFonts w:ascii="times" w:hAnsi="times"/>
        </w:rPr>
        <w:t>the</w:t>
      </w:r>
      <w:r w:rsidR="00FF63D8" w:rsidRPr="00915516">
        <w:rPr>
          <w:rFonts w:ascii="times" w:hAnsi="times"/>
        </w:rPr>
        <w:t xml:space="preserve"> accompanying Act on supported decision</w:t>
      </w:r>
      <w:r w:rsidR="00016F0B" w:rsidRPr="00915516">
        <w:rPr>
          <w:rFonts w:ascii="times" w:hAnsi="times"/>
        </w:rPr>
        <w:t>-</w:t>
      </w:r>
      <w:r w:rsidR="00FF63D8" w:rsidRPr="00915516">
        <w:rPr>
          <w:rFonts w:ascii="times" w:hAnsi="times"/>
        </w:rPr>
        <w:t>making</w:t>
      </w:r>
      <w:r w:rsidR="00940136" w:rsidRPr="00915516">
        <w:rPr>
          <w:rFonts w:ascii="times" w:hAnsi="times"/>
        </w:rPr>
        <w:t xml:space="preserve">. </w:t>
      </w:r>
      <w:r w:rsidR="00006D2F" w:rsidRPr="00915516">
        <w:rPr>
          <w:rFonts w:ascii="times" w:hAnsi="times"/>
        </w:rPr>
        <w:t xml:space="preserve">Such a framework </w:t>
      </w:r>
      <w:r w:rsidR="00EC15E1" w:rsidRPr="00915516">
        <w:rPr>
          <w:rFonts w:ascii="times" w:hAnsi="times"/>
        </w:rPr>
        <w:t xml:space="preserve">arguably </w:t>
      </w:r>
      <w:r w:rsidR="00260738" w:rsidRPr="00915516">
        <w:rPr>
          <w:rFonts w:ascii="times" w:hAnsi="times"/>
        </w:rPr>
        <w:t>does not mesh with</w:t>
      </w:r>
      <w:r w:rsidR="00EC15E1" w:rsidRPr="00915516">
        <w:rPr>
          <w:rFonts w:ascii="times" w:hAnsi="times"/>
        </w:rPr>
        <w:t xml:space="preserve"> </w:t>
      </w:r>
      <w:r w:rsidR="004031BF" w:rsidRPr="00915516">
        <w:rPr>
          <w:rFonts w:ascii="times" w:hAnsi="times"/>
        </w:rPr>
        <w:t>Article 12</w:t>
      </w:r>
      <w:r w:rsidR="00A3302D" w:rsidRPr="00915516">
        <w:rPr>
          <w:rFonts w:ascii="times" w:hAnsi="times"/>
        </w:rPr>
        <w:t>,</w:t>
      </w:r>
      <w:r w:rsidR="004031BF" w:rsidRPr="00915516">
        <w:rPr>
          <w:rFonts w:ascii="times" w:hAnsi="times"/>
        </w:rPr>
        <w:t xml:space="preserve"> </w:t>
      </w:r>
      <w:r w:rsidR="008133E3" w:rsidRPr="00915516">
        <w:rPr>
          <w:rFonts w:ascii="times" w:hAnsi="times"/>
        </w:rPr>
        <w:t xml:space="preserve">which is </w:t>
      </w:r>
      <w:r w:rsidR="004E17AF" w:rsidRPr="00915516">
        <w:rPr>
          <w:rFonts w:ascii="times" w:hAnsi="times"/>
        </w:rPr>
        <w:t>grounded in</w:t>
      </w:r>
      <w:r w:rsidR="00EC7AEC" w:rsidRPr="00915516">
        <w:rPr>
          <w:rFonts w:ascii="times" w:hAnsi="times"/>
        </w:rPr>
        <w:t xml:space="preserve"> </w:t>
      </w:r>
      <w:r w:rsidR="00662361" w:rsidRPr="00915516">
        <w:rPr>
          <w:rFonts w:ascii="times" w:hAnsi="times"/>
        </w:rPr>
        <w:t xml:space="preserve">upholding the “will and preferences” of </w:t>
      </w:r>
      <w:r w:rsidR="004E2760" w:rsidRPr="00915516">
        <w:rPr>
          <w:rFonts w:ascii="times" w:hAnsi="times"/>
        </w:rPr>
        <w:t>persons receiving support.</w:t>
      </w:r>
      <w:r w:rsidR="001B2409" w:rsidRPr="00915516">
        <w:rPr>
          <w:rFonts w:ascii="times" w:hAnsi="times"/>
        </w:rPr>
        <w:t xml:space="preserve"> </w:t>
      </w:r>
      <w:r w:rsidR="001A0BBF" w:rsidRPr="00915516">
        <w:rPr>
          <w:rFonts w:ascii="times" w:hAnsi="times"/>
        </w:rPr>
        <w:t>Additionally, one must also question whether the possibility of the appointment of a support person “in general”</w:t>
      </w:r>
      <w:r w:rsidR="001A0BBF" w:rsidRPr="00915516">
        <w:rPr>
          <w:rStyle w:val="FootnoteReference"/>
          <w:rFonts w:ascii="times" w:hAnsi="times"/>
        </w:rPr>
        <w:footnoteReference w:id="580"/>
      </w:r>
      <w:r w:rsidR="00D148D4" w:rsidRPr="00915516">
        <w:rPr>
          <w:rFonts w:ascii="times" w:hAnsi="times"/>
        </w:rPr>
        <w:t xml:space="preserve"> risks potential over-regulation of the lives of persons with disabilities.</w:t>
      </w:r>
      <w:r w:rsidR="001133B8" w:rsidRPr="00915516">
        <w:rPr>
          <w:rStyle w:val="FootnoteReference"/>
          <w:rFonts w:ascii="times" w:hAnsi="times"/>
        </w:rPr>
        <w:footnoteReference w:id="581"/>
      </w:r>
      <w:r w:rsidR="00D148D4" w:rsidRPr="00915516">
        <w:rPr>
          <w:rFonts w:ascii="times" w:hAnsi="times"/>
        </w:rPr>
        <w:t xml:space="preserve"> </w:t>
      </w:r>
    </w:p>
    <w:p w14:paraId="4CD972EF" w14:textId="77777777" w:rsidR="00855145" w:rsidRPr="00915516" w:rsidRDefault="00855145" w:rsidP="00EB0B16">
      <w:pPr>
        <w:rPr>
          <w:rFonts w:ascii="times" w:hAnsi="times"/>
        </w:rPr>
      </w:pPr>
    </w:p>
    <w:p w14:paraId="4A794ACF" w14:textId="52340252" w:rsidR="00CD04D0" w:rsidRPr="002A28E1" w:rsidRDefault="00CD04D0" w:rsidP="00CD04D0">
      <w:pPr>
        <w:rPr>
          <w:rFonts w:ascii="times" w:hAnsi="times"/>
        </w:rPr>
      </w:pPr>
      <w:r w:rsidRPr="00915516">
        <w:rPr>
          <w:rFonts w:ascii="times" w:hAnsi="times"/>
        </w:rPr>
        <w:t>Moreover, some civil society actors</w:t>
      </w:r>
      <w:r w:rsidR="00C220DC" w:rsidRPr="00915516">
        <w:rPr>
          <w:rFonts w:ascii="times" w:hAnsi="times"/>
        </w:rPr>
        <w:t xml:space="preserve"> have </w:t>
      </w:r>
      <w:r w:rsidR="00B34F7D" w:rsidRPr="00915516">
        <w:rPr>
          <w:rFonts w:ascii="times" w:hAnsi="times"/>
        </w:rPr>
        <w:t xml:space="preserve">criticized </w:t>
      </w:r>
      <w:r w:rsidR="001964E6" w:rsidRPr="00915516">
        <w:rPr>
          <w:rFonts w:ascii="times" w:hAnsi="times"/>
        </w:rPr>
        <w:t xml:space="preserve">the fact that </w:t>
      </w:r>
      <w:r w:rsidR="004E3199" w:rsidRPr="00915516">
        <w:rPr>
          <w:rFonts w:ascii="times" w:hAnsi="times"/>
        </w:rPr>
        <w:t xml:space="preserve">supported decision-making in Hungary </w:t>
      </w:r>
      <w:proofErr w:type="gramStart"/>
      <w:r w:rsidR="004E3199" w:rsidRPr="00915516">
        <w:rPr>
          <w:rFonts w:ascii="times" w:hAnsi="times"/>
        </w:rPr>
        <w:t>has been placed</w:t>
      </w:r>
      <w:proofErr w:type="gramEnd"/>
      <w:r w:rsidR="004E3199" w:rsidRPr="00915516">
        <w:rPr>
          <w:rFonts w:ascii="times" w:hAnsi="times"/>
        </w:rPr>
        <w:t xml:space="preserve"> under the purview of the guardianship authority. </w:t>
      </w:r>
      <w:r w:rsidR="00C75A01" w:rsidRPr="00915516">
        <w:rPr>
          <w:rFonts w:ascii="times" w:hAnsi="times"/>
        </w:rPr>
        <w:t xml:space="preserve">The Hungarian Civil Liberties Union </w:t>
      </w:r>
      <w:r w:rsidR="00E24748" w:rsidRPr="00915516">
        <w:rPr>
          <w:rFonts w:ascii="times" w:hAnsi="times"/>
        </w:rPr>
        <w:t xml:space="preserve">(HCLU) </w:t>
      </w:r>
      <w:r w:rsidR="0061216B" w:rsidRPr="00915516">
        <w:rPr>
          <w:rFonts w:ascii="times" w:hAnsi="times"/>
        </w:rPr>
        <w:t xml:space="preserve">deems it </w:t>
      </w:r>
      <w:proofErr w:type="gramStart"/>
      <w:r w:rsidR="00255E8E" w:rsidRPr="00915516">
        <w:rPr>
          <w:rFonts w:ascii="times" w:hAnsi="times"/>
        </w:rPr>
        <w:t xml:space="preserve">to be </w:t>
      </w:r>
      <w:r w:rsidR="0061216B" w:rsidRPr="00915516">
        <w:rPr>
          <w:rFonts w:ascii="times" w:hAnsi="times"/>
        </w:rPr>
        <w:t>problematic</w:t>
      </w:r>
      <w:proofErr w:type="gramEnd"/>
      <w:r w:rsidR="0061216B" w:rsidRPr="00915516">
        <w:rPr>
          <w:rFonts w:ascii="times" w:hAnsi="times"/>
        </w:rPr>
        <w:t xml:space="preserve"> </w:t>
      </w:r>
      <w:r w:rsidR="00900F45" w:rsidRPr="00915516">
        <w:rPr>
          <w:rFonts w:ascii="times" w:hAnsi="times"/>
        </w:rPr>
        <w:t xml:space="preserve">that </w:t>
      </w:r>
      <w:r w:rsidR="00390BC4" w:rsidRPr="00915516">
        <w:rPr>
          <w:rFonts w:ascii="times" w:hAnsi="times"/>
        </w:rPr>
        <w:t>support persons are appointed by the state</w:t>
      </w:r>
      <w:r w:rsidR="005B5B71" w:rsidRPr="00915516">
        <w:rPr>
          <w:rFonts w:ascii="times" w:hAnsi="times"/>
        </w:rPr>
        <w:t xml:space="preserve"> just as guardians are</w:t>
      </w:r>
      <w:r w:rsidR="004E570A" w:rsidRPr="00915516">
        <w:rPr>
          <w:rFonts w:ascii="times" w:hAnsi="times"/>
        </w:rPr>
        <w:t>.</w:t>
      </w:r>
      <w:bookmarkStart w:id="70" w:name="_Ref15301587"/>
      <w:r w:rsidR="00112306" w:rsidRPr="00915516">
        <w:rPr>
          <w:rStyle w:val="FootnoteReference"/>
          <w:rFonts w:ascii="times" w:hAnsi="times"/>
        </w:rPr>
        <w:footnoteReference w:id="582"/>
      </w:r>
      <w:bookmarkEnd w:id="70"/>
      <w:r w:rsidR="004E570A" w:rsidRPr="00915516">
        <w:rPr>
          <w:rFonts w:ascii="times" w:hAnsi="times"/>
        </w:rPr>
        <w:t xml:space="preserve"> </w:t>
      </w:r>
      <w:r w:rsidR="00B0672C" w:rsidRPr="00915516">
        <w:rPr>
          <w:rFonts w:ascii="times" w:hAnsi="times"/>
        </w:rPr>
        <w:t>HCLU</w:t>
      </w:r>
      <w:r w:rsidR="00B2250B" w:rsidRPr="00915516">
        <w:rPr>
          <w:rFonts w:ascii="times" w:hAnsi="times"/>
        </w:rPr>
        <w:t xml:space="preserve"> </w:t>
      </w:r>
      <w:proofErr w:type="gramStart"/>
      <w:r w:rsidR="00B2250B" w:rsidRPr="00915516">
        <w:rPr>
          <w:rFonts w:ascii="times" w:hAnsi="times"/>
        </w:rPr>
        <w:t>affirm</w:t>
      </w:r>
      <w:r w:rsidR="00B0672C" w:rsidRPr="00915516">
        <w:rPr>
          <w:rFonts w:ascii="times" w:hAnsi="times"/>
        </w:rPr>
        <w:t>s</w:t>
      </w:r>
      <w:r w:rsidR="00D8633C" w:rsidRPr="00915516">
        <w:rPr>
          <w:rFonts w:ascii="times" w:hAnsi="times"/>
        </w:rPr>
        <w:t xml:space="preserve"> </w:t>
      </w:r>
      <w:r w:rsidR="00B2250B" w:rsidRPr="00915516">
        <w:rPr>
          <w:rFonts w:ascii="times" w:hAnsi="times"/>
        </w:rPr>
        <w:t>that</w:t>
      </w:r>
      <w:proofErr w:type="gramEnd"/>
      <w:r w:rsidR="00B2250B" w:rsidRPr="00915516">
        <w:rPr>
          <w:rFonts w:ascii="times" w:hAnsi="times"/>
        </w:rPr>
        <w:t xml:space="preserve"> “we can assume the paternalistic approach to supporting disabled people will continue.”</w:t>
      </w:r>
      <w:r w:rsidR="00B2250B" w:rsidRPr="00915516">
        <w:rPr>
          <w:rStyle w:val="FootnoteReference"/>
          <w:rFonts w:ascii="times" w:hAnsi="times"/>
        </w:rPr>
        <w:footnoteReference w:id="583"/>
      </w:r>
      <w:r w:rsidR="00ED1894" w:rsidRPr="00915516">
        <w:rPr>
          <w:rFonts w:ascii="times" w:hAnsi="times"/>
        </w:rPr>
        <w:t xml:space="preserve"> </w:t>
      </w:r>
      <w:r w:rsidR="00CD7CBB" w:rsidRPr="00915516">
        <w:rPr>
          <w:rFonts w:ascii="times" w:hAnsi="times"/>
        </w:rPr>
        <w:t>Additionally</w:t>
      </w:r>
      <w:r w:rsidR="009B77E9" w:rsidRPr="00915516">
        <w:rPr>
          <w:rFonts w:ascii="times" w:hAnsi="times"/>
        </w:rPr>
        <w:t>, the Hungarian Association for People with Intellectual Disabilities</w:t>
      </w:r>
      <w:r w:rsidR="009B77E9" w:rsidRPr="002A28E1">
        <w:rPr>
          <w:rFonts w:ascii="times" w:hAnsi="times"/>
        </w:rPr>
        <w:t xml:space="preserve"> has argued that the guardianship authority’s “rigid, administrative framework” is </w:t>
      </w:r>
      <w:proofErr w:type="gramStart"/>
      <w:r w:rsidR="009B77E9" w:rsidRPr="002A28E1">
        <w:rPr>
          <w:rFonts w:ascii="times" w:hAnsi="times"/>
        </w:rPr>
        <w:t>ill-suited</w:t>
      </w:r>
      <w:proofErr w:type="gramEnd"/>
      <w:r w:rsidR="009B77E9" w:rsidRPr="002A28E1">
        <w:rPr>
          <w:rFonts w:ascii="times" w:hAnsi="times"/>
        </w:rPr>
        <w:t xml:space="preserve"> to the flexibility required for an effective system of supported decision-making.</w:t>
      </w:r>
      <w:r w:rsidR="00045D1B" w:rsidRPr="002A28E1">
        <w:rPr>
          <w:rStyle w:val="FootnoteReference"/>
          <w:rFonts w:ascii="times" w:hAnsi="times"/>
        </w:rPr>
        <w:footnoteReference w:id="584"/>
      </w:r>
    </w:p>
    <w:p w14:paraId="7DA84810" w14:textId="77777777" w:rsidR="00C75A01" w:rsidRPr="002A28E1" w:rsidRDefault="00C75A01" w:rsidP="00CD04D0">
      <w:pPr>
        <w:rPr>
          <w:rFonts w:ascii="times" w:hAnsi="times"/>
        </w:rPr>
      </w:pPr>
    </w:p>
    <w:p w14:paraId="2D8084DF" w14:textId="57C99AFF" w:rsidR="009B77E9" w:rsidRPr="00915516" w:rsidRDefault="009B77E9" w:rsidP="00F22D3D">
      <w:pPr>
        <w:pStyle w:val="Normal1"/>
        <w:spacing w:after="200" w:line="240" w:lineRule="auto"/>
        <w:jc w:val="both"/>
        <w:rPr>
          <w:rFonts w:ascii="times" w:hAnsi="times" w:cs="Times New Roman"/>
          <w:sz w:val="24"/>
          <w:szCs w:val="24"/>
        </w:rPr>
      </w:pPr>
      <w:r w:rsidRPr="002A28E1">
        <w:rPr>
          <w:rFonts w:ascii="times" w:hAnsi="times" w:cs="Times New Roman"/>
          <w:sz w:val="24"/>
          <w:szCs w:val="24"/>
        </w:rPr>
        <w:t>The Hungarian</w:t>
      </w:r>
      <w:r w:rsidR="00033BDD" w:rsidRPr="002A28E1">
        <w:rPr>
          <w:rFonts w:ascii="times" w:hAnsi="times" w:cs="Times New Roman"/>
          <w:sz w:val="24"/>
          <w:szCs w:val="24"/>
        </w:rPr>
        <w:t xml:space="preserve"> </w:t>
      </w:r>
      <w:r w:rsidR="009F675F">
        <w:rPr>
          <w:rFonts w:ascii="times" w:hAnsi="times" w:cs="Times New Roman"/>
          <w:sz w:val="24"/>
          <w:szCs w:val="24"/>
        </w:rPr>
        <w:t>a</w:t>
      </w:r>
      <w:r w:rsidR="00033BDD" w:rsidRPr="002A28E1">
        <w:rPr>
          <w:rFonts w:ascii="times" w:hAnsi="times" w:cs="Times New Roman"/>
          <w:sz w:val="24"/>
          <w:szCs w:val="24"/>
        </w:rPr>
        <w:t xml:space="preserve">ct on supported decision-making </w:t>
      </w:r>
      <w:r w:rsidR="00925309" w:rsidRPr="002A28E1">
        <w:rPr>
          <w:rFonts w:ascii="times" w:hAnsi="times" w:cs="Times New Roman"/>
          <w:sz w:val="24"/>
          <w:szCs w:val="24"/>
        </w:rPr>
        <w:t>entitle</w:t>
      </w:r>
      <w:r w:rsidR="00D158D8" w:rsidRPr="002A28E1">
        <w:rPr>
          <w:rFonts w:ascii="times" w:hAnsi="times" w:cs="Times New Roman"/>
          <w:sz w:val="24"/>
          <w:szCs w:val="24"/>
        </w:rPr>
        <w:t xml:space="preserve">s </w:t>
      </w:r>
      <w:r w:rsidR="00070540" w:rsidRPr="002A28E1">
        <w:rPr>
          <w:rFonts w:ascii="times" w:hAnsi="times" w:cs="Times New Roman"/>
          <w:sz w:val="24"/>
          <w:szCs w:val="24"/>
        </w:rPr>
        <w:t xml:space="preserve">a </w:t>
      </w:r>
      <w:r w:rsidR="008742B9" w:rsidRPr="002A28E1">
        <w:rPr>
          <w:rFonts w:ascii="times" w:hAnsi="times" w:cs="Times New Roman"/>
          <w:sz w:val="24"/>
          <w:szCs w:val="24"/>
        </w:rPr>
        <w:t xml:space="preserve">professional </w:t>
      </w:r>
      <w:r w:rsidR="00070540" w:rsidRPr="002A28E1">
        <w:rPr>
          <w:rFonts w:ascii="times" w:hAnsi="times" w:cs="Times New Roman"/>
          <w:sz w:val="24"/>
          <w:szCs w:val="24"/>
        </w:rPr>
        <w:t>support person</w:t>
      </w:r>
      <w:r w:rsidR="006155D6" w:rsidRPr="002A28E1">
        <w:rPr>
          <w:rFonts w:ascii="times" w:hAnsi="times" w:cs="Times New Roman"/>
          <w:sz w:val="24"/>
          <w:szCs w:val="24"/>
        </w:rPr>
        <w:t xml:space="preserve"> in government service</w:t>
      </w:r>
      <w:r w:rsidR="00932A79" w:rsidRPr="002A28E1">
        <w:rPr>
          <w:rFonts w:ascii="times" w:hAnsi="times" w:cs="Times New Roman"/>
          <w:sz w:val="24"/>
          <w:szCs w:val="24"/>
        </w:rPr>
        <w:t xml:space="preserve"> </w:t>
      </w:r>
      <w:r w:rsidR="00633ED3" w:rsidRPr="002A28E1">
        <w:rPr>
          <w:rFonts w:ascii="times" w:hAnsi="times" w:cs="Times New Roman"/>
          <w:sz w:val="24"/>
          <w:szCs w:val="24"/>
        </w:rPr>
        <w:t xml:space="preserve">to </w:t>
      </w:r>
      <w:r w:rsidR="00E90A64" w:rsidRPr="00651BD4">
        <w:rPr>
          <w:rFonts w:ascii="times" w:hAnsi="times" w:cs="Times New Roman"/>
          <w:sz w:val="24"/>
          <w:szCs w:val="24"/>
        </w:rPr>
        <w:t>assist</w:t>
      </w:r>
      <w:r w:rsidR="00C25039" w:rsidRPr="00651BD4">
        <w:rPr>
          <w:rFonts w:ascii="times" w:hAnsi="times" w:cs="Times New Roman"/>
          <w:sz w:val="24"/>
          <w:szCs w:val="24"/>
        </w:rPr>
        <w:t xml:space="preserve"> </w:t>
      </w:r>
      <w:r w:rsidR="00AA31D0" w:rsidRPr="00651BD4">
        <w:rPr>
          <w:rFonts w:ascii="times" w:hAnsi="times" w:cs="Times New Roman"/>
          <w:sz w:val="24"/>
          <w:szCs w:val="24"/>
        </w:rPr>
        <w:t>up to</w:t>
      </w:r>
      <w:r w:rsidR="0085584D" w:rsidRPr="00651BD4">
        <w:rPr>
          <w:rFonts w:ascii="times" w:hAnsi="times" w:cs="Times New Roman"/>
          <w:sz w:val="24"/>
          <w:szCs w:val="24"/>
        </w:rPr>
        <w:t xml:space="preserve"> 45 </w:t>
      </w:r>
      <w:r w:rsidR="00384E6A" w:rsidRPr="00651BD4">
        <w:rPr>
          <w:rFonts w:ascii="times" w:hAnsi="times" w:cs="Times New Roman"/>
          <w:sz w:val="24"/>
          <w:szCs w:val="24"/>
        </w:rPr>
        <w:t>people</w:t>
      </w:r>
      <w:r w:rsidR="00384E6A" w:rsidRPr="002A28E1">
        <w:rPr>
          <w:rFonts w:ascii="times" w:hAnsi="times" w:cs="Times New Roman"/>
          <w:sz w:val="24"/>
          <w:szCs w:val="24"/>
        </w:rPr>
        <w:t xml:space="preserve"> </w:t>
      </w:r>
      <w:r w:rsidR="00B52B58" w:rsidRPr="002A28E1">
        <w:rPr>
          <w:rFonts w:ascii="times" w:hAnsi="times" w:cs="Times New Roman"/>
          <w:sz w:val="24"/>
          <w:szCs w:val="24"/>
        </w:rPr>
        <w:t>concurrently</w:t>
      </w:r>
      <w:r w:rsidR="003339D9" w:rsidRPr="002A28E1">
        <w:rPr>
          <w:rFonts w:ascii="times" w:hAnsi="times" w:cs="Times New Roman"/>
          <w:sz w:val="24"/>
          <w:szCs w:val="24"/>
        </w:rPr>
        <w:t xml:space="preserve">, and authorizes other professional </w:t>
      </w:r>
      <w:r w:rsidR="003339D9" w:rsidRPr="002A28E1">
        <w:rPr>
          <w:rFonts w:ascii="times" w:hAnsi="times" w:cs="Times New Roman"/>
          <w:sz w:val="24"/>
          <w:szCs w:val="24"/>
        </w:rPr>
        <w:lastRenderedPageBreak/>
        <w:t xml:space="preserve">supporters to </w:t>
      </w:r>
      <w:r w:rsidR="006B023F" w:rsidRPr="002A28E1">
        <w:rPr>
          <w:rFonts w:ascii="times" w:hAnsi="times" w:cs="Times New Roman"/>
          <w:sz w:val="24"/>
          <w:szCs w:val="24"/>
        </w:rPr>
        <w:t>help up to 30 people at a time</w:t>
      </w:r>
      <w:r w:rsidR="0000722C" w:rsidRPr="002A28E1">
        <w:rPr>
          <w:rFonts w:ascii="times" w:hAnsi="times" w:cs="Times New Roman"/>
          <w:sz w:val="24"/>
          <w:szCs w:val="24"/>
        </w:rPr>
        <w:t>.</w:t>
      </w:r>
      <w:r w:rsidR="003C59D8" w:rsidRPr="002A28E1">
        <w:rPr>
          <w:rFonts w:ascii="times" w:hAnsi="times" w:cs="Times New Roman"/>
          <w:sz w:val="24"/>
          <w:szCs w:val="24"/>
          <w:vertAlign w:val="superscript"/>
        </w:rPr>
        <w:footnoteReference w:id="585"/>
      </w:r>
      <w:r w:rsidR="0000722C" w:rsidRPr="002A28E1">
        <w:rPr>
          <w:rFonts w:ascii="times" w:hAnsi="times" w:cs="Times New Roman"/>
          <w:sz w:val="24"/>
          <w:szCs w:val="24"/>
        </w:rPr>
        <w:t xml:space="preserve"> </w:t>
      </w:r>
      <w:r w:rsidR="0018055F">
        <w:rPr>
          <w:rFonts w:ascii="times" w:hAnsi="times" w:cs="Times New Roman"/>
          <w:sz w:val="24"/>
          <w:szCs w:val="24"/>
        </w:rPr>
        <w:t>The Hungarian Association for People with Intellectual Disabilities (ÉFOÉSZ)</w:t>
      </w:r>
      <w:r w:rsidR="0000722C" w:rsidRPr="002A28E1">
        <w:rPr>
          <w:rFonts w:ascii="times" w:hAnsi="times" w:cs="Times New Roman"/>
          <w:sz w:val="24"/>
          <w:szCs w:val="24"/>
        </w:rPr>
        <w:t xml:space="preserve"> </w:t>
      </w:r>
      <w:r w:rsidR="00E1638D" w:rsidRPr="002A28E1">
        <w:rPr>
          <w:rFonts w:ascii="times" w:hAnsi="times" w:cs="Times New Roman"/>
          <w:sz w:val="24"/>
          <w:szCs w:val="24"/>
        </w:rPr>
        <w:t>asserts</w:t>
      </w:r>
      <w:r w:rsidR="0000722C" w:rsidRPr="002A28E1">
        <w:rPr>
          <w:rFonts w:ascii="times" w:hAnsi="times" w:cs="Times New Roman"/>
          <w:sz w:val="24"/>
          <w:szCs w:val="24"/>
        </w:rPr>
        <w:t xml:space="preserve"> that </w:t>
      </w:r>
      <w:r w:rsidR="00E75400" w:rsidRPr="002A28E1">
        <w:rPr>
          <w:rFonts w:ascii="times" w:hAnsi="times" w:cs="Times New Roman"/>
          <w:sz w:val="24"/>
          <w:szCs w:val="24"/>
        </w:rPr>
        <w:t xml:space="preserve">if </w:t>
      </w:r>
      <w:r w:rsidR="004A200B" w:rsidRPr="002A28E1">
        <w:rPr>
          <w:rFonts w:ascii="times" w:hAnsi="times" w:cs="Times New Roman"/>
          <w:sz w:val="24"/>
          <w:szCs w:val="24"/>
        </w:rPr>
        <w:t xml:space="preserve">a support person </w:t>
      </w:r>
      <w:r w:rsidR="0069445D" w:rsidRPr="002A28E1">
        <w:rPr>
          <w:rFonts w:ascii="times" w:hAnsi="times" w:cs="Times New Roman"/>
          <w:sz w:val="24"/>
          <w:szCs w:val="24"/>
        </w:rPr>
        <w:t xml:space="preserve">is </w:t>
      </w:r>
      <w:r w:rsidR="004A200B" w:rsidRPr="002A28E1">
        <w:rPr>
          <w:rFonts w:ascii="times" w:hAnsi="times" w:cs="Times New Roman"/>
          <w:sz w:val="24"/>
          <w:szCs w:val="24"/>
        </w:rPr>
        <w:t>responsible for</w:t>
      </w:r>
      <w:r w:rsidR="00BA21F6" w:rsidRPr="002A28E1">
        <w:rPr>
          <w:rFonts w:ascii="times" w:hAnsi="times" w:cs="Times New Roman"/>
          <w:sz w:val="24"/>
          <w:szCs w:val="24"/>
        </w:rPr>
        <w:t xml:space="preserve"> </w:t>
      </w:r>
      <w:r w:rsidR="00911715" w:rsidRPr="002A28E1">
        <w:rPr>
          <w:rFonts w:ascii="times" w:hAnsi="times" w:cs="Times New Roman"/>
          <w:sz w:val="24"/>
          <w:szCs w:val="24"/>
        </w:rPr>
        <w:t>such high number</w:t>
      </w:r>
      <w:r w:rsidR="00F425C3" w:rsidRPr="002A28E1">
        <w:rPr>
          <w:rFonts w:ascii="times" w:hAnsi="times" w:cs="Times New Roman"/>
          <w:sz w:val="24"/>
          <w:szCs w:val="24"/>
        </w:rPr>
        <w:t>s</w:t>
      </w:r>
      <w:r w:rsidR="00911715" w:rsidRPr="002A28E1">
        <w:rPr>
          <w:rFonts w:ascii="times" w:hAnsi="times" w:cs="Times New Roman"/>
          <w:sz w:val="24"/>
          <w:szCs w:val="24"/>
        </w:rPr>
        <w:t xml:space="preserve"> of people</w:t>
      </w:r>
      <w:r w:rsidR="0042562A" w:rsidRPr="002A28E1">
        <w:rPr>
          <w:rFonts w:ascii="times" w:hAnsi="times" w:cs="Times New Roman"/>
          <w:sz w:val="24"/>
          <w:szCs w:val="24"/>
        </w:rPr>
        <w:t xml:space="preserve">, </w:t>
      </w:r>
      <w:r w:rsidR="00BE7AA0" w:rsidRPr="002A28E1">
        <w:rPr>
          <w:rFonts w:ascii="times" w:hAnsi="times" w:cs="Times New Roman"/>
          <w:sz w:val="24"/>
          <w:szCs w:val="24"/>
        </w:rPr>
        <w:t xml:space="preserve">they cannot </w:t>
      </w:r>
      <w:r w:rsidR="007B1FE7" w:rsidRPr="002A28E1">
        <w:rPr>
          <w:rFonts w:ascii="times" w:hAnsi="times" w:cs="Times New Roman"/>
          <w:sz w:val="24"/>
          <w:szCs w:val="24"/>
        </w:rPr>
        <w:t>feasibly</w:t>
      </w:r>
      <w:r w:rsidR="00BE7AA0" w:rsidRPr="002A28E1">
        <w:rPr>
          <w:rFonts w:ascii="times" w:hAnsi="times" w:cs="Times New Roman"/>
          <w:sz w:val="24"/>
          <w:szCs w:val="24"/>
        </w:rPr>
        <w:t xml:space="preserve"> </w:t>
      </w:r>
      <w:r w:rsidR="00AC1054" w:rsidRPr="002A28E1">
        <w:rPr>
          <w:rFonts w:ascii="times" w:hAnsi="times" w:cs="Times New Roman"/>
          <w:sz w:val="24"/>
          <w:szCs w:val="24"/>
        </w:rPr>
        <w:t xml:space="preserve">maintain </w:t>
      </w:r>
      <w:r w:rsidR="003304AB" w:rsidRPr="002A28E1">
        <w:rPr>
          <w:rFonts w:ascii="times" w:hAnsi="times" w:cs="Times New Roman"/>
          <w:sz w:val="24"/>
          <w:szCs w:val="24"/>
        </w:rPr>
        <w:t>frequent</w:t>
      </w:r>
      <w:r w:rsidR="00B15DAC" w:rsidRPr="002A28E1">
        <w:rPr>
          <w:rFonts w:ascii="times" w:hAnsi="times" w:cs="Times New Roman"/>
          <w:sz w:val="24"/>
          <w:szCs w:val="24"/>
        </w:rPr>
        <w:t xml:space="preserve">, personal </w:t>
      </w:r>
      <w:r w:rsidR="00EC598C" w:rsidRPr="002A28E1">
        <w:rPr>
          <w:rFonts w:ascii="times" w:hAnsi="times" w:cs="Times New Roman"/>
          <w:sz w:val="24"/>
          <w:szCs w:val="24"/>
        </w:rPr>
        <w:t xml:space="preserve">contact </w:t>
      </w:r>
      <w:r w:rsidR="00B874BF" w:rsidRPr="002A28E1">
        <w:rPr>
          <w:rFonts w:ascii="times" w:hAnsi="times" w:cs="Times New Roman"/>
          <w:sz w:val="24"/>
          <w:szCs w:val="24"/>
        </w:rPr>
        <w:t xml:space="preserve">with all of the supported </w:t>
      </w:r>
      <w:r w:rsidR="00800443" w:rsidRPr="002A28E1">
        <w:rPr>
          <w:rFonts w:ascii="times" w:hAnsi="times" w:cs="Times New Roman"/>
          <w:sz w:val="24"/>
          <w:szCs w:val="24"/>
        </w:rPr>
        <w:t>individuals</w:t>
      </w:r>
      <w:r w:rsidR="007A1967" w:rsidRPr="002A28E1">
        <w:rPr>
          <w:rFonts w:ascii="times" w:hAnsi="times" w:cs="Times New Roman"/>
          <w:sz w:val="24"/>
          <w:szCs w:val="24"/>
        </w:rPr>
        <w:t xml:space="preserve"> </w:t>
      </w:r>
      <w:proofErr w:type="gramStart"/>
      <w:r w:rsidR="007A1967" w:rsidRPr="002A28E1">
        <w:rPr>
          <w:rFonts w:ascii="times" w:hAnsi="times" w:cs="Times New Roman"/>
          <w:sz w:val="24"/>
          <w:szCs w:val="24"/>
        </w:rPr>
        <w:t>so as to</w:t>
      </w:r>
      <w:proofErr w:type="gramEnd"/>
      <w:r w:rsidR="007A1967" w:rsidRPr="002A28E1">
        <w:rPr>
          <w:rFonts w:ascii="times" w:hAnsi="times" w:cs="Times New Roman"/>
          <w:sz w:val="24"/>
          <w:szCs w:val="24"/>
        </w:rPr>
        <w:t xml:space="preserve"> provide </w:t>
      </w:r>
      <w:r w:rsidR="00E94A3A" w:rsidRPr="002A28E1">
        <w:rPr>
          <w:rFonts w:ascii="times" w:hAnsi="times" w:cs="Times New Roman"/>
          <w:sz w:val="24"/>
          <w:szCs w:val="24"/>
        </w:rPr>
        <w:t>each one</w:t>
      </w:r>
      <w:r w:rsidR="007A1967" w:rsidRPr="002A28E1">
        <w:rPr>
          <w:rFonts w:ascii="times" w:hAnsi="times" w:cs="Times New Roman"/>
          <w:sz w:val="24"/>
          <w:szCs w:val="24"/>
        </w:rPr>
        <w:t xml:space="preserve"> with </w:t>
      </w:r>
      <w:r w:rsidR="00E858BD" w:rsidRPr="002A28E1">
        <w:rPr>
          <w:rFonts w:ascii="times" w:hAnsi="times" w:cs="Times New Roman"/>
          <w:sz w:val="24"/>
          <w:szCs w:val="24"/>
        </w:rPr>
        <w:t>individualized help.</w:t>
      </w:r>
      <w:r w:rsidR="002F3F39" w:rsidRPr="002A28E1">
        <w:rPr>
          <w:rStyle w:val="FootnoteReference"/>
          <w:rFonts w:ascii="times" w:hAnsi="times" w:cs="Times New Roman"/>
          <w:sz w:val="24"/>
          <w:szCs w:val="24"/>
        </w:rPr>
        <w:footnoteReference w:id="586"/>
      </w:r>
      <w:r w:rsidR="00A83205">
        <w:rPr>
          <w:rFonts w:ascii="times" w:hAnsi="times" w:cs="Times New Roman"/>
          <w:sz w:val="24"/>
          <w:szCs w:val="24"/>
        </w:rPr>
        <w:t xml:space="preserve"> Moreover, civil society groups have also expressed their concern regarding the fact that </w:t>
      </w:r>
      <w:r w:rsidR="00257DDC">
        <w:rPr>
          <w:rFonts w:ascii="times" w:hAnsi="times" w:cs="Times New Roman"/>
          <w:sz w:val="24"/>
          <w:szCs w:val="24"/>
        </w:rPr>
        <w:t xml:space="preserve">professional guardians may receive certification </w:t>
      </w:r>
      <w:r w:rsidR="005E4255">
        <w:rPr>
          <w:rFonts w:ascii="times" w:hAnsi="times" w:cs="Times New Roman"/>
          <w:sz w:val="24"/>
          <w:szCs w:val="24"/>
        </w:rPr>
        <w:t>as professional supporters</w:t>
      </w:r>
      <w:r w:rsidR="003317A6">
        <w:rPr>
          <w:rFonts w:ascii="times" w:hAnsi="times" w:cs="Times New Roman"/>
          <w:sz w:val="24"/>
          <w:szCs w:val="24"/>
        </w:rPr>
        <w:t xml:space="preserve"> </w:t>
      </w:r>
      <w:r w:rsidR="000808B3">
        <w:rPr>
          <w:rFonts w:ascii="times" w:hAnsi="times" w:cs="Times New Roman"/>
          <w:sz w:val="24"/>
          <w:szCs w:val="24"/>
        </w:rPr>
        <w:t>merely</w:t>
      </w:r>
      <w:r w:rsidR="005E4255">
        <w:rPr>
          <w:rFonts w:ascii="times" w:hAnsi="times" w:cs="Times New Roman"/>
          <w:sz w:val="24"/>
          <w:szCs w:val="24"/>
        </w:rPr>
        <w:t xml:space="preserve"> by </w:t>
      </w:r>
      <w:r w:rsidR="00795FF1">
        <w:rPr>
          <w:rFonts w:ascii="times" w:hAnsi="times" w:cs="Times New Roman"/>
          <w:sz w:val="24"/>
          <w:szCs w:val="24"/>
        </w:rPr>
        <w:t>taking</w:t>
      </w:r>
      <w:r w:rsidR="005B470A">
        <w:rPr>
          <w:rFonts w:ascii="times" w:hAnsi="times" w:cs="Times New Roman"/>
          <w:sz w:val="24"/>
          <w:szCs w:val="24"/>
        </w:rPr>
        <w:t xml:space="preserve"> a 22-hour retraining</w:t>
      </w:r>
      <w:r w:rsidR="001835B2">
        <w:rPr>
          <w:rFonts w:ascii="times" w:hAnsi="times" w:cs="Times New Roman"/>
          <w:sz w:val="24"/>
          <w:szCs w:val="24"/>
        </w:rPr>
        <w:t xml:space="preserve">, </w:t>
      </w:r>
      <w:r w:rsidR="0042168B">
        <w:rPr>
          <w:rFonts w:ascii="times" w:hAnsi="times" w:cs="Times New Roman"/>
          <w:sz w:val="24"/>
          <w:szCs w:val="24"/>
        </w:rPr>
        <w:t xml:space="preserve">despite the fact that the two positions entail </w:t>
      </w:r>
      <w:r w:rsidR="006A411B" w:rsidRPr="00915516">
        <w:rPr>
          <w:rFonts w:ascii="times" w:hAnsi="times" w:cs="Times New Roman"/>
          <w:sz w:val="24"/>
          <w:szCs w:val="24"/>
        </w:rPr>
        <w:t xml:space="preserve">drastically </w:t>
      </w:r>
      <w:r w:rsidR="00B1473A" w:rsidRPr="00915516">
        <w:rPr>
          <w:rFonts w:ascii="times" w:hAnsi="times" w:cs="Times New Roman"/>
          <w:sz w:val="24"/>
          <w:szCs w:val="24"/>
        </w:rPr>
        <w:t xml:space="preserve">different </w:t>
      </w:r>
      <w:r w:rsidR="0057042B" w:rsidRPr="00915516">
        <w:rPr>
          <w:rFonts w:ascii="times" w:hAnsi="times" w:cs="Times New Roman"/>
          <w:sz w:val="24"/>
          <w:szCs w:val="24"/>
        </w:rPr>
        <w:t>roles.</w:t>
      </w:r>
      <w:r w:rsidR="00C45376" w:rsidRPr="00915516">
        <w:rPr>
          <w:rStyle w:val="FootnoteReference"/>
          <w:rFonts w:ascii="times" w:hAnsi="times" w:cs="Times New Roman"/>
          <w:sz w:val="24"/>
          <w:szCs w:val="24"/>
        </w:rPr>
        <w:footnoteReference w:id="587"/>
      </w:r>
    </w:p>
    <w:p w14:paraId="6AB470D9" w14:textId="639B57D0" w:rsidR="00501BB4" w:rsidRPr="00915516" w:rsidRDefault="00E83A1D" w:rsidP="00F952A1">
      <w:pPr>
        <w:pStyle w:val="Normal1"/>
        <w:spacing w:after="200" w:line="240" w:lineRule="auto"/>
        <w:jc w:val="both"/>
        <w:rPr>
          <w:rFonts w:ascii="times" w:hAnsi="times" w:cs="Times New Roman"/>
          <w:sz w:val="24"/>
          <w:szCs w:val="24"/>
        </w:rPr>
      </w:pPr>
      <w:r w:rsidRPr="00915516">
        <w:rPr>
          <w:rFonts w:ascii="times" w:hAnsi="times" w:cs="Times New Roman"/>
          <w:sz w:val="24"/>
          <w:szCs w:val="24"/>
        </w:rPr>
        <w:t>The legislation does contain some safeguards to prevent abuse</w:t>
      </w:r>
      <w:r w:rsidR="00692AAE" w:rsidRPr="00915516">
        <w:rPr>
          <w:rFonts w:ascii="times" w:hAnsi="times" w:cs="Times New Roman"/>
          <w:sz w:val="24"/>
          <w:szCs w:val="24"/>
        </w:rPr>
        <w:t xml:space="preserve"> of suppor</w:t>
      </w:r>
      <w:r w:rsidR="003524FF" w:rsidRPr="00915516">
        <w:rPr>
          <w:rFonts w:ascii="times" w:hAnsi="times" w:cs="Times New Roman"/>
          <w:sz w:val="24"/>
          <w:szCs w:val="24"/>
        </w:rPr>
        <w:t>ts</w:t>
      </w:r>
      <w:r w:rsidRPr="00915516">
        <w:rPr>
          <w:rFonts w:ascii="times" w:hAnsi="times" w:cs="Times New Roman"/>
          <w:sz w:val="24"/>
          <w:szCs w:val="24"/>
        </w:rPr>
        <w:t xml:space="preserve">, such as </w:t>
      </w:r>
      <w:r w:rsidR="00837C91" w:rsidRPr="00915516">
        <w:rPr>
          <w:rFonts w:ascii="times" w:hAnsi="times" w:cs="Times New Roman"/>
          <w:sz w:val="24"/>
          <w:szCs w:val="24"/>
        </w:rPr>
        <w:t xml:space="preserve">the requirement for </w:t>
      </w:r>
      <w:r w:rsidR="002A60AA" w:rsidRPr="00915516">
        <w:rPr>
          <w:rFonts w:ascii="times" w:hAnsi="times" w:cs="Times New Roman"/>
          <w:sz w:val="24"/>
          <w:szCs w:val="24"/>
        </w:rPr>
        <w:t>review of the support person</w:t>
      </w:r>
      <w:r w:rsidR="00A849D8" w:rsidRPr="00915516">
        <w:rPr>
          <w:rFonts w:ascii="times" w:hAnsi="times" w:cs="Times New Roman"/>
          <w:sz w:val="24"/>
          <w:szCs w:val="24"/>
        </w:rPr>
        <w:t xml:space="preserve"> by the guardianship authority</w:t>
      </w:r>
      <w:r w:rsidR="002A60AA" w:rsidRPr="00915516">
        <w:rPr>
          <w:rFonts w:ascii="times" w:hAnsi="times" w:cs="Times New Roman"/>
          <w:sz w:val="24"/>
          <w:szCs w:val="24"/>
        </w:rPr>
        <w:t xml:space="preserve"> every 5 years </w:t>
      </w:r>
      <w:r w:rsidR="00D147E8" w:rsidRPr="00915516">
        <w:rPr>
          <w:rFonts w:ascii="times" w:hAnsi="times" w:cs="Times New Roman"/>
          <w:sz w:val="24"/>
          <w:szCs w:val="24"/>
        </w:rPr>
        <w:t>as well as</w:t>
      </w:r>
      <w:r w:rsidR="002A60AA" w:rsidRPr="00915516">
        <w:rPr>
          <w:rFonts w:ascii="times" w:hAnsi="times" w:cs="Times New Roman"/>
          <w:sz w:val="24"/>
          <w:szCs w:val="24"/>
        </w:rPr>
        <w:t xml:space="preserve"> the possibility </w:t>
      </w:r>
      <w:r w:rsidR="0021530E" w:rsidRPr="00915516">
        <w:rPr>
          <w:rFonts w:ascii="times" w:hAnsi="times" w:cs="Times New Roman"/>
          <w:sz w:val="24"/>
          <w:szCs w:val="24"/>
        </w:rPr>
        <w:t>for</w:t>
      </w:r>
      <w:r w:rsidR="002A60AA" w:rsidRPr="00915516">
        <w:rPr>
          <w:rFonts w:ascii="times" w:hAnsi="times" w:cs="Times New Roman"/>
          <w:sz w:val="24"/>
          <w:szCs w:val="24"/>
        </w:rPr>
        <w:t xml:space="preserve"> conduct</w:t>
      </w:r>
      <w:r w:rsidR="0021530E" w:rsidRPr="00915516">
        <w:rPr>
          <w:rFonts w:ascii="times" w:hAnsi="times" w:cs="Times New Roman"/>
          <w:sz w:val="24"/>
          <w:szCs w:val="24"/>
        </w:rPr>
        <w:t>ing</w:t>
      </w:r>
      <w:r w:rsidR="002A60AA" w:rsidRPr="00915516">
        <w:rPr>
          <w:rFonts w:ascii="times" w:hAnsi="times" w:cs="Times New Roman"/>
          <w:sz w:val="24"/>
          <w:szCs w:val="24"/>
        </w:rPr>
        <w:t xml:space="preserve"> an “extraordinary review”</w:t>
      </w:r>
      <w:r w:rsidR="009D1B57" w:rsidRPr="00915516">
        <w:rPr>
          <w:rFonts w:ascii="times" w:hAnsi="times" w:cs="Times New Roman"/>
          <w:sz w:val="24"/>
          <w:szCs w:val="24"/>
        </w:rPr>
        <w:t xml:space="preserve"> upon request or </w:t>
      </w:r>
      <w:r w:rsidR="002A60AA" w:rsidRPr="00915516">
        <w:rPr>
          <w:rFonts w:ascii="times" w:hAnsi="times" w:cs="Times New Roman"/>
          <w:sz w:val="24"/>
          <w:szCs w:val="24"/>
        </w:rPr>
        <w:t>in the event of an alleged conflict of interest between the supporter and supported person.</w:t>
      </w:r>
      <w:r w:rsidR="002E7955" w:rsidRPr="00915516">
        <w:rPr>
          <w:rStyle w:val="FootnoteReference"/>
          <w:rFonts w:ascii="times" w:hAnsi="times" w:cs="Times New Roman"/>
          <w:sz w:val="24"/>
          <w:szCs w:val="24"/>
        </w:rPr>
        <w:footnoteReference w:id="588"/>
      </w:r>
      <w:r w:rsidR="00F24292" w:rsidRPr="00915516">
        <w:rPr>
          <w:rFonts w:ascii="times" w:hAnsi="times" w:cs="Times New Roman"/>
          <w:sz w:val="24"/>
          <w:szCs w:val="24"/>
        </w:rPr>
        <w:t xml:space="preserve"> Professional supporters must also submit annual reports to the guardianship </w:t>
      </w:r>
      <w:r w:rsidR="000018DE" w:rsidRPr="00915516">
        <w:rPr>
          <w:rFonts w:ascii="times" w:hAnsi="times" w:cs="Times New Roman"/>
          <w:sz w:val="24"/>
          <w:szCs w:val="24"/>
        </w:rPr>
        <w:t>authority</w:t>
      </w:r>
      <w:r w:rsidR="00A7042C" w:rsidRPr="00915516">
        <w:rPr>
          <w:rFonts w:ascii="times" w:hAnsi="times" w:cs="Times New Roman"/>
          <w:sz w:val="24"/>
          <w:szCs w:val="24"/>
        </w:rPr>
        <w:t>.</w:t>
      </w:r>
      <w:r w:rsidR="00CE5ACF" w:rsidRPr="00915516">
        <w:rPr>
          <w:rStyle w:val="FootnoteReference"/>
          <w:rFonts w:ascii="times" w:hAnsi="times" w:cs="Times New Roman"/>
          <w:sz w:val="24"/>
          <w:szCs w:val="24"/>
        </w:rPr>
        <w:footnoteReference w:id="589"/>
      </w:r>
      <w:r w:rsidR="004854B3" w:rsidRPr="00915516">
        <w:rPr>
          <w:rFonts w:ascii="times" w:hAnsi="times" w:cs="Times New Roman"/>
          <w:sz w:val="24"/>
          <w:szCs w:val="24"/>
        </w:rPr>
        <w:t xml:space="preserve"> The guardianship authority is to maintain a register </w:t>
      </w:r>
      <w:proofErr w:type="gramStart"/>
      <w:r w:rsidR="004854B3" w:rsidRPr="00915516">
        <w:rPr>
          <w:rFonts w:ascii="times" w:hAnsi="times" w:cs="Times New Roman"/>
          <w:sz w:val="24"/>
          <w:szCs w:val="24"/>
        </w:rPr>
        <w:t>of  all</w:t>
      </w:r>
      <w:proofErr w:type="gramEnd"/>
      <w:r w:rsidR="004854B3" w:rsidRPr="00915516">
        <w:rPr>
          <w:rFonts w:ascii="times" w:hAnsi="times" w:cs="Times New Roman"/>
          <w:sz w:val="24"/>
          <w:szCs w:val="24"/>
        </w:rPr>
        <w:t xml:space="preserve"> supporters and supported persons in order</w:t>
      </w:r>
      <w:r w:rsidR="00711E86" w:rsidRPr="00915516">
        <w:rPr>
          <w:rFonts w:ascii="times" w:hAnsi="times" w:cs="Times New Roman"/>
          <w:sz w:val="24"/>
          <w:szCs w:val="24"/>
        </w:rPr>
        <w:t xml:space="preserve"> to review and oversee the activities of the supporter.</w:t>
      </w:r>
      <w:r w:rsidR="00711E86" w:rsidRPr="00915516">
        <w:rPr>
          <w:rStyle w:val="FootnoteReference"/>
          <w:rFonts w:ascii="times" w:hAnsi="times" w:cs="Times New Roman"/>
          <w:sz w:val="24"/>
          <w:szCs w:val="24"/>
        </w:rPr>
        <w:footnoteReference w:id="590"/>
      </w:r>
      <w:r w:rsidR="00A07B5F" w:rsidRPr="00915516">
        <w:rPr>
          <w:rFonts w:ascii="times" w:hAnsi="times" w:cs="Times New Roman"/>
          <w:sz w:val="24"/>
          <w:szCs w:val="24"/>
        </w:rPr>
        <w:t xml:space="preserve"> Despite </w:t>
      </w:r>
      <w:r w:rsidR="0020329D" w:rsidRPr="00915516">
        <w:rPr>
          <w:rFonts w:ascii="times" w:hAnsi="times" w:cs="Times New Roman"/>
          <w:sz w:val="24"/>
          <w:szCs w:val="24"/>
        </w:rPr>
        <w:t>this</w:t>
      </w:r>
      <w:r w:rsidR="00962A7F" w:rsidRPr="00915516">
        <w:rPr>
          <w:rFonts w:ascii="times" w:hAnsi="times" w:cs="Times New Roman"/>
          <w:sz w:val="24"/>
          <w:szCs w:val="24"/>
        </w:rPr>
        <w:t xml:space="preserve"> </w:t>
      </w:r>
      <w:r w:rsidR="001211A2" w:rsidRPr="00915516">
        <w:rPr>
          <w:rFonts w:ascii="times" w:hAnsi="times" w:cs="Times New Roman"/>
          <w:sz w:val="24"/>
          <w:szCs w:val="24"/>
        </w:rPr>
        <w:t>framework</w:t>
      </w:r>
      <w:r w:rsidR="00962A7F" w:rsidRPr="00915516">
        <w:rPr>
          <w:rFonts w:ascii="times" w:hAnsi="times" w:cs="Times New Roman"/>
          <w:sz w:val="24"/>
          <w:szCs w:val="24"/>
        </w:rPr>
        <w:t xml:space="preserve"> for</w:t>
      </w:r>
      <w:r w:rsidR="004748B1" w:rsidRPr="00915516">
        <w:rPr>
          <w:rFonts w:ascii="times" w:hAnsi="times" w:cs="Times New Roman"/>
          <w:sz w:val="24"/>
          <w:szCs w:val="24"/>
        </w:rPr>
        <w:t xml:space="preserve"> </w:t>
      </w:r>
      <w:r w:rsidR="00F915AE" w:rsidRPr="00915516">
        <w:rPr>
          <w:rFonts w:ascii="times" w:hAnsi="times" w:cs="Times New Roman"/>
          <w:sz w:val="24"/>
          <w:szCs w:val="24"/>
        </w:rPr>
        <w:t>oversight by the guardianship authority</w:t>
      </w:r>
      <w:r w:rsidR="0017107F" w:rsidRPr="00915516">
        <w:rPr>
          <w:rFonts w:ascii="times" w:hAnsi="times" w:cs="Times New Roman"/>
          <w:sz w:val="24"/>
          <w:szCs w:val="24"/>
        </w:rPr>
        <w:t xml:space="preserve">, the legislation does not seem to provide </w:t>
      </w:r>
      <w:r w:rsidR="00720DBC" w:rsidRPr="00915516">
        <w:rPr>
          <w:rFonts w:ascii="times" w:hAnsi="times" w:cs="Times New Roman"/>
          <w:sz w:val="24"/>
          <w:szCs w:val="24"/>
        </w:rPr>
        <w:t xml:space="preserve">supported persons </w:t>
      </w:r>
      <w:r w:rsidR="007A2E95" w:rsidRPr="00915516">
        <w:rPr>
          <w:rFonts w:ascii="times" w:hAnsi="times" w:cs="Times New Roman"/>
          <w:sz w:val="24"/>
          <w:szCs w:val="24"/>
        </w:rPr>
        <w:t>with</w:t>
      </w:r>
      <w:r w:rsidR="00A13806" w:rsidRPr="00915516">
        <w:rPr>
          <w:rFonts w:ascii="times" w:hAnsi="times" w:cs="Times New Roman"/>
          <w:sz w:val="24"/>
          <w:szCs w:val="24"/>
        </w:rPr>
        <w:t xml:space="preserve"> </w:t>
      </w:r>
      <w:r w:rsidR="00AD13B4" w:rsidRPr="00915516">
        <w:rPr>
          <w:rFonts w:ascii="times" w:hAnsi="times" w:cs="Times New Roman"/>
          <w:sz w:val="24"/>
          <w:szCs w:val="24"/>
        </w:rPr>
        <w:t xml:space="preserve">guarantees against undue influence </w:t>
      </w:r>
      <w:r w:rsidR="001A3D0C" w:rsidRPr="00915516">
        <w:rPr>
          <w:rFonts w:ascii="times" w:hAnsi="times" w:cs="Times New Roman"/>
          <w:sz w:val="24"/>
          <w:szCs w:val="24"/>
        </w:rPr>
        <w:t>or</w:t>
      </w:r>
      <w:r w:rsidR="00AD13B4" w:rsidRPr="00915516">
        <w:rPr>
          <w:rFonts w:ascii="times" w:hAnsi="times" w:cs="Times New Roman"/>
          <w:sz w:val="24"/>
          <w:szCs w:val="24"/>
        </w:rPr>
        <w:t xml:space="preserve"> coe</w:t>
      </w:r>
      <w:r w:rsidR="008445C3" w:rsidRPr="00915516">
        <w:rPr>
          <w:rFonts w:ascii="times" w:hAnsi="times" w:cs="Times New Roman"/>
          <w:sz w:val="24"/>
          <w:szCs w:val="24"/>
        </w:rPr>
        <w:t>rcion</w:t>
      </w:r>
      <w:r w:rsidR="00765758" w:rsidRPr="00915516">
        <w:rPr>
          <w:rFonts w:ascii="times" w:hAnsi="times" w:cs="Times New Roman"/>
          <w:sz w:val="24"/>
          <w:szCs w:val="24"/>
        </w:rPr>
        <w:t xml:space="preserve"> exerted</w:t>
      </w:r>
      <w:r w:rsidR="001A3D0C" w:rsidRPr="00915516">
        <w:rPr>
          <w:rFonts w:ascii="times" w:hAnsi="times" w:cs="Times New Roman"/>
          <w:sz w:val="24"/>
          <w:szCs w:val="24"/>
        </w:rPr>
        <w:t xml:space="preserve"> by </w:t>
      </w:r>
      <w:r w:rsidR="00765758" w:rsidRPr="00915516">
        <w:rPr>
          <w:rFonts w:ascii="times" w:hAnsi="times" w:cs="Times New Roman"/>
          <w:sz w:val="24"/>
          <w:szCs w:val="24"/>
        </w:rPr>
        <w:t>t</w:t>
      </w:r>
      <w:r w:rsidR="001A3D0C" w:rsidRPr="00915516">
        <w:rPr>
          <w:rFonts w:ascii="times" w:hAnsi="times" w:cs="Times New Roman"/>
          <w:sz w:val="24"/>
          <w:szCs w:val="24"/>
        </w:rPr>
        <w:t>heir supporters</w:t>
      </w:r>
      <w:r w:rsidR="008445C3" w:rsidRPr="00915516">
        <w:rPr>
          <w:rFonts w:ascii="times" w:hAnsi="times" w:cs="Times New Roman"/>
          <w:sz w:val="24"/>
          <w:szCs w:val="24"/>
        </w:rPr>
        <w:t xml:space="preserve">, nor </w:t>
      </w:r>
      <w:r w:rsidR="00201434" w:rsidRPr="00915516">
        <w:rPr>
          <w:rFonts w:ascii="times" w:hAnsi="times" w:cs="Times New Roman"/>
          <w:sz w:val="24"/>
          <w:szCs w:val="24"/>
        </w:rPr>
        <w:t>does</w:t>
      </w:r>
      <w:r w:rsidR="0077238E" w:rsidRPr="00915516">
        <w:rPr>
          <w:rFonts w:ascii="times" w:hAnsi="times" w:cs="Times New Roman"/>
          <w:sz w:val="24"/>
          <w:szCs w:val="24"/>
        </w:rPr>
        <w:t xml:space="preserve"> it</w:t>
      </w:r>
      <w:r w:rsidR="000B2655" w:rsidRPr="00915516">
        <w:rPr>
          <w:rFonts w:ascii="times" w:hAnsi="times" w:cs="Times New Roman"/>
          <w:sz w:val="24"/>
          <w:szCs w:val="24"/>
        </w:rPr>
        <w:t xml:space="preserve"> appear to</w:t>
      </w:r>
      <w:r w:rsidR="0077238E" w:rsidRPr="00915516">
        <w:rPr>
          <w:rFonts w:ascii="times" w:hAnsi="times" w:cs="Times New Roman"/>
          <w:sz w:val="24"/>
          <w:szCs w:val="24"/>
        </w:rPr>
        <w:t xml:space="preserve"> contain pr</w:t>
      </w:r>
      <w:r w:rsidR="00FF7425" w:rsidRPr="00915516">
        <w:rPr>
          <w:rFonts w:ascii="times" w:hAnsi="times" w:cs="Times New Roman"/>
          <w:sz w:val="24"/>
          <w:szCs w:val="24"/>
        </w:rPr>
        <w:t>o</w:t>
      </w:r>
      <w:r w:rsidR="0077238E" w:rsidRPr="00915516">
        <w:rPr>
          <w:rFonts w:ascii="times" w:hAnsi="times" w:cs="Times New Roman"/>
          <w:sz w:val="24"/>
          <w:szCs w:val="24"/>
        </w:rPr>
        <w:t>visions</w:t>
      </w:r>
      <w:r w:rsidR="00F47456" w:rsidRPr="00915516">
        <w:rPr>
          <w:rFonts w:ascii="times" w:hAnsi="times" w:cs="Times New Roman"/>
          <w:sz w:val="24"/>
          <w:szCs w:val="24"/>
        </w:rPr>
        <w:t xml:space="preserve"> </w:t>
      </w:r>
      <w:r w:rsidR="00823CF7" w:rsidRPr="00915516">
        <w:rPr>
          <w:rFonts w:ascii="times" w:hAnsi="times" w:cs="Times New Roman"/>
          <w:sz w:val="24"/>
          <w:szCs w:val="24"/>
        </w:rPr>
        <w:t xml:space="preserve">geared towards </w:t>
      </w:r>
      <w:r w:rsidR="00484114" w:rsidRPr="00915516">
        <w:rPr>
          <w:rFonts w:ascii="times" w:hAnsi="times" w:cs="Times New Roman"/>
          <w:sz w:val="24"/>
          <w:szCs w:val="24"/>
        </w:rPr>
        <w:t>ensuring respect for the will and preferences of the individual receiving support.</w:t>
      </w:r>
      <w:r w:rsidR="000E259A" w:rsidRPr="00915516">
        <w:rPr>
          <w:rFonts w:ascii="times" w:hAnsi="times" w:cs="Times New Roman"/>
          <w:sz w:val="24"/>
          <w:szCs w:val="24"/>
        </w:rPr>
        <w:t xml:space="preserve"> These </w:t>
      </w:r>
      <w:r w:rsidR="009E349B" w:rsidRPr="00915516">
        <w:rPr>
          <w:rFonts w:ascii="times" w:hAnsi="times" w:cs="Times New Roman"/>
          <w:sz w:val="24"/>
          <w:szCs w:val="24"/>
        </w:rPr>
        <w:t>deficiencies</w:t>
      </w:r>
      <w:r w:rsidR="000E259A" w:rsidRPr="00915516">
        <w:rPr>
          <w:rFonts w:ascii="times" w:hAnsi="times" w:cs="Times New Roman"/>
          <w:sz w:val="24"/>
          <w:szCs w:val="24"/>
        </w:rPr>
        <w:t xml:space="preserve"> in the legislative scheme are doubtless problematic from the point of view of Article 12.</w:t>
      </w:r>
    </w:p>
    <w:p w14:paraId="7DF21B36" w14:textId="3199F267" w:rsidR="0047248E" w:rsidRPr="002A28E1" w:rsidRDefault="00F952A1" w:rsidP="005D7AE7">
      <w:pPr>
        <w:pStyle w:val="NormalWeb"/>
        <w:spacing w:before="0" w:beforeAutospacing="0" w:after="0" w:afterAutospacing="0"/>
        <w:rPr>
          <w:rFonts w:ascii="times" w:hAnsi="times"/>
          <w:color w:val="212828"/>
        </w:rPr>
      </w:pPr>
      <w:r w:rsidRPr="00915516">
        <w:rPr>
          <w:rFonts w:ascii="times" w:hAnsi="times"/>
          <w:color w:val="212828"/>
        </w:rPr>
        <w:t xml:space="preserve">It is also critical to mention that </w:t>
      </w:r>
      <w:r w:rsidR="0047248E" w:rsidRPr="00915516">
        <w:rPr>
          <w:rFonts w:ascii="times" w:hAnsi="times"/>
          <w:color w:val="212828"/>
        </w:rPr>
        <w:t>people who receive</w:t>
      </w:r>
      <w:r w:rsidR="0047248E" w:rsidRPr="00D41F84">
        <w:rPr>
          <w:rFonts w:ascii="times" w:hAnsi="times"/>
          <w:color w:val="212828"/>
        </w:rPr>
        <w:t xml:space="preserve"> support in Hungary are </w:t>
      </w:r>
      <w:r w:rsidR="00064C1D" w:rsidRPr="00D41F84">
        <w:rPr>
          <w:rFonts w:ascii="times" w:hAnsi="times"/>
          <w:color w:val="212828"/>
        </w:rPr>
        <w:t xml:space="preserve">deprived </w:t>
      </w:r>
      <w:r w:rsidR="00D40652" w:rsidRPr="00D41F84">
        <w:rPr>
          <w:rFonts w:ascii="times" w:hAnsi="times"/>
          <w:color w:val="212828"/>
        </w:rPr>
        <w:t xml:space="preserve">of </w:t>
      </w:r>
      <w:r w:rsidR="00DB5CEA" w:rsidRPr="00D41F84">
        <w:rPr>
          <w:rFonts w:ascii="times" w:hAnsi="times"/>
          <w:color w:val="212828"/>
        </w:rPr>
        <w:t>the right to be foster parent</w:t>
      </w:r>
      <w:r w:rsidR="00BE75B3" w:rsidRPr="00D41F84">
        <w:rPr>
          <w:rFonts w:ascii="times" w:hAnsi="times"/>
          <w:color w:val="212828"/>
        </w:rPr>
        <w:t>s</w:t>
      </w:r>
      <w:r w:rsidR="001953A8" w:rsidRPr="00D41F84">
        <w:rPr>
          <w:rFonts w:ascii="times" w:hAnsi="times"/>
          <w:color w:val="212828"/>
        </w:rPr>
        <w:t>, a</w:t>
      </w:r>
      <w:r w:rsidR="00DB5CEA" w:rsidRPr="00D41F84">
        <w:rPr>
          <w:rFonts w:ascii="times" w:hAnsi="times"/>
          <w:color w:val="212828"/>
        </w:rPr>
        <w:t>nd</w:t>
      </w:r>
      <w:r w:rsidR="00C7513A" w:rsidRPr="00D41F84">
        <w:rPr>
          <w:rFonts w:ascii="times" w:hAnsi="times"/>
          <w:color w:val="212828"/>
        </w:rPr>
        <w:t xml:space="preserve"> they</w:t>
      </w:r>
      <w:r w:rsidR="00DB4B36" w:rsidRPr="00D41F84">
        <w:rPr>
          <w:rFonts w:ascii="times" w:hAnsi="times"/>
          <w:color w:val="212828"/>
        </w:rPr>
        <w:t xml:space="preserve"> are</w:t>
      </w:r>
      <w:r w:rsidR="00DB5CEA" w:rsidRPr="00D41F84">
        <w:rPr>
          <w:rFonts w:ascii="times" w:hAnsi="times"/>
          <w:color w:val="212828"/>
        </w:rPr>
        <w:t xml:space="preserve"> denied the right to hold </w:t>
      </w:r>
      <w:r w:rsidR="000B4049" w:rsidRPr="00D41F84">
        <w:rPr>
          <w:rFonts w:ascii="times" w:hAnsi="times"/>
          <w:color w:val="212828"/>
        </w:rPr>
        <w:t>office as notar</w:t>
      </w:r>
      <w:r w:rsidR="005D7AE7" w:rsidRPr="00D41F84">
        <w:rPr>
          <w:rFonts w:ascii="times" w:hAnsi="times"/>
          <w:color w:val="212828"/>
        </w:rPr>
        <w:t>ies</w:t>
      </w:r>
      <w:r w:rsidR="000B4049" w:rsidRPr="00D41F84">
        <w:rPr>
          <w:rFonts w:ascii="times" w:hAnsi="times"/>
          <w:color w:val="212828"/>
        </w:rPr>
        <w:t xml:space="preserve"> public</w:t>
      </w:r>
      <w:r w:rsidR="001953A8" w:rsidRPr="00D41F84">
        <w:rPr>
          <w:rFonts w:ascii="times" w:hAnsi="times"/>
          <w:color w:val="212828"/>
        </w:rPr>
        <w:t xml:space="preserve">, </w:t>
      </w:r>
      <w:r w:rsidR="000B4049" w:rsidRPr="00D41F84">
        <w:rPr>
          <w:rFonts w:ascii="times" w:hAnsi="times"/>
          <w:color w:val="212828"/>
        </w:rPr>
        <w:t>judicial executor</w:t>
      </w:r>
      <w:r w:rsidR="000E42AA" w:rsidRPr="00D41F84">
        <w:rPr>
          <w:rFonts w:ascii="times" w:hAnsi="times"/>
          <w:color w:val="212828"/>
        </w:rPr>
        <w:t>s</w:t>
      </w:r>
      <w:r w:rsidR="001953A8" w:rsidRPr="00D41F84">
        <w:rPr>
          <w:rFonts w:ascii="times" w:hAnsi="times"/>
          <w:color w:val="212828"/>
        </w:rPr>
        <w:t xml:space="preserve">, </w:t>
      </w:r>
      <w:r w:rsidR="000B4049" w:rsidRPr="00D41F84">
        <w:rPr>
          <w:rFonts w:ascii="times" w:hAnsi="times"/>
          <w:color w:val="212828"/>
        </w:rPr>
        <w:t>judge</w:t>
      </w:r>
      <w:r w:rsidR="000E42AA" w:rsidRPr="00D41F84">
        <w:rPr>
          <w:rFonts w:ascii="times" w:hAnsi="times"/>
          <w:color w:val="212828"/>
        </w:rPr>
        <w:t>s</w:t>
      </w:r>
      <w:proofErr w:type="gramStart"/>
      <w:r w:rsidR="000B4049" w:rsidRPr="00D41F84">
        <w:rPr>
          <w:rFonts w:ascii="times" w:hAnsi="times"/>
          <w:color w:val="212828"/>
        </w:rPr>
        <w:t>,</w:t>
      </w:r>
      <w:r w:rsidR="002576E4" w:rsidRPr="00D41F84">
        <w:rPr>
          <w:rFonts w:ascii="times" w:hAnsi="times"/>
          <w:color w:val="212828"/>
        </w:rPr>
        <w:t xml:space="preserve"> </w:t>
      </w:r>
      <w:r w:rsidR="000950D7" w:rsidRPr="00D41F84">
        <w:rPr>
          <w:rFonts w:ascii="times" w:eastAsia="Calibri" w:hAnsi="times"/>
          <w:vertAlign w:val="superscript"/>
        </w:rPr>
        <w:t xml:space="preserve"> </w:t>
      </w:r>
      <w:r w:rsidR="000816EB" w:rsidRPr="00D41F84">
        <w:rPr>
          <w:rFonts w:ascii="times" w:hAnsi="times"/>
          <w:color w:val="212828"/>
        </w:rPr>
        <w:t>and</w:t>
      </w:r>
      <w:proofErr w:type="gramEnd"/>
      <w:r w:rsidR="000B4049" w:rsidRPr="00D41F84">
        <w:rPr>
          <w:rFonts w:ascii="times" w:hAnsi="times"/>
          <w:color w:val="212828"/>
        </w:rPr>
        <w:t xml:space="preserve"> prosecutor</w:t>
      </w:r>
      <w:r w:rsidR="000816EB" w:rsidRPr="00D41F84">
        <w:rPr>
          <w:rFonts w:ascii="times" w:hAnsi="times"/>
          <w:color w:val="212828"/>
        </w:rPr>
        <w:t>s</w:t>
      </w:r>
      <w:r w:rsidR="000B4049" w:rsidRPr="00D41F84">
        <w:rPr>
          <w:rFonts w:ascii="times" w:hAnsi="times"/>
          <w:color w:val="212828"/>
        </w:rPr>
        <w:t>.</w:t>
      </w:r>
      <w:bookmarkStart w:id="71" w:name="_Ref15301741"/>
      <w:r w:rsidR="000950D7" w:rsidRPr="00D41F84">
        <w:rPr>
          <w:rFonts w:ascii="times" w:eastAsia="Calibri" w:hAnsi="times"/>
          <w:vertAlign w:val="superscript"/>
        </w:rPr>
        <w:footnoteReference w:id="591"/>
      </w:r>
      <w:bookmarkEnd w:id="71"/>
      <w:r w:rsidR="00171588" w:rsidRPr="00D41F84">
        <w:rPr>
          <w:rFonts w:ascii="times" w:hAnsi="times"/>
          <w:color w:val="212828"/>
        </w:rPr>
        <w:t xml:space="preserve"> </w:t>
      </w:r>
      <w:r w:rsidR="007B1E2E" w:rsidRPr="00D41F84">
        <w:rPr>
          <w:rFonts w:ascii="times" w:hAnsi="times"/>
          <w:color w:val="212828"/>
        </w:rPr>
        <w:t xml:space="preserve">This curtailment of rights </w:t>
      </w:r>
      <w:r w:rsidR="00DC3881" w:rsidRPr="00D41F84">
        <w:rPr>
          <w:rFonts w:ascii="times" w:hAnsi="times"/>
          <w:color w:val="212828"/>
        </w:rPr>
        <w:t xml:space="preserve">linked to receiving support </w:t>
      </w:r>
      <w:r w:rsidR="003814CC" w:rsidRPr="00D41F84">
        <w:rPr>
          <w:rFonts w:ascii="times" w:hAnsi="times"/>
          <w:color w:val="212828"/>
        </w:rPr>
        <w:t xml:space="preserve">conflicts with </w:t>
      </w:r>
      <w:r w:rsidR="00E11B20" w:rsidRPr="00D41F84">
        <w:rPr>
          <w:rFonts w:ascii="times" w:hAnsi="times"/>
          <w:color w:val="212828"/>
        </w:rPr>
        <w:t xml:space="preserve">Article 12’s call </w:t>
      </w:r>
      <w:r w:rsidR="006B5960" w:rsidRPr="00D41F84">
        <w:rPr>
          <w:rFonts w:ascii="times" w:hAnsi="times"/>
          <w:color w:val="212828"/>
        </w:rPr>
        <w:t xml:space="preserve">to recognize the ability of persons with disabilities to hold and exercise </w:t>
      </w:r>
      <w:r w:rsidR="00D52FC6" w:rsidRPr="00D41F84">
        <w:rPr>
          <w:rFonts w:ascii="times" w:hAnsi="times"/>
          <w:color w:val="212828"/>
        </w:rPr>
        <w:t>rights</w:t>
      </w:r>
      <w:r w:rsidR="0076749E" w:rsidRPr="00D41F84">
        <w:rPr>
          <w:rFonts w:ascii="times" w:hAnsi="times"/>
          <w:color w:val="212828"/>
        </w:rPr>
        <w:t xml:space="preserve"> and duties</w:t>
      </w:r>
      <w:r w:rsidR="00F229D3" w:rsidRPr="00D41F84">
        <w:rPr>
          <w:rFonts w:ascii="times" w:hAnsi="times"/>
          <w:color w:val="212828"/>
        </w:rPr>
        <w:t xml:space="preserve"> on an equal basis with others.</w:t>
      </w:r>
    </w:p>
    <w:p w14:paraId="556F6FBD" w14:textId="6200BC8C" w:rsidR="000950D7" w:rsidRPr="002A28E1" w:rsidRDefault="000950D7" w:rsidP="00501BB4">
      <w:pPr>
        <w:pStyle w:val="NormalWeb"/>
        <w:rPr>
          <w:rFonts w:ascii="times" w:hAnsi="times"/>
          <w:color w:val="212828"/>
        </w:rPr>
      </w:pPr>
      <w:r w:rsidRPr="002A28E1">
        <w:rPr>
          <w:rFonts w:ascii="times" w:hAnsi="times"/>
          <w:color w:val="212828"/>
        </w:rPr>
        <w:t xml:space="preserve">Finally, some commentators have also pointed to </w:t>
      </w:r>
      <w:r w:rsidR="00AE5CCC" w:rsidRPr="002A28E1">
        <w:rPr>
          <w:rFonts w:ascii="times" w:hAnsi="times"/>
          <w:color w:val="212828"/>
        </w:rPr>
        <w:t xml:space="preserve">problems with the advance directive regime contemplated by the Hungarian legislation. </w:t>
      </w:r>
      <w:r w:rsidR="006C367D" w:rsidRPr="002A28E1">
        <w:rPr>
          <w:rFonts w:ascii="times" w:hAnsi="times"/>
          <w:color w:val="212828"/>
        </w:rPr>
        <w:t xml:space="preserve">Under the new Civil Code, </w:t>
      </w:r>
      <w:r w:rsidR="00E9161B" w:rsidRPr="002A28E1">
        <w:rPr>
          <w:rFonts w:ascii="times" w:hAnsi="times"/>
          <w:color w:val="212828"/>
        </w:rPr>
        <w:t xml:space="preserve">advance </w:t>
      </w:r>
      <w:r w:rsidR="008F3CD1" w:rsidRPr="002A28E1">
        <w:rPr>
          <w:rFonts w:ascii="times" w:hAnsi="times"/>
        </w:rPr>
        <w:t>legal statements</w:t>
      </w:r>
      <w:r w:rsidR="008F3CD1" w:rsidRPr="002A28E1">
        <w:rPr>
          <w:rFonts w:ascii="times" w:hAnsi="times"/>
          <w:color w:val="212828"/>
        </w:rPr>
        <w:t xml:space="preserve"> </w:t>
      </w:r>
      <w:r w:rsidR="00E9161B" w:rsidRPr="002A28E1">
        <w:rPr>
          <w:rFonts w:ascii="times" w:hAnsi="times"/>
          <w:color w:val="212828"/>
        </w:rPr>
        <w:t xml:space="preserve">are </w:t>
      </w:r>
      <w:r w:rsidR="00161EC5" w:rsidRPr="002A28E1">
        <w:rPr>
          <w:rFonts w:ascii="times" w:hAnsi="times"/>
          <w:color w:val="212828"/>
        </w:rPr>
        <w:t xml:space="preserve">to </w:t>
      </w:r>
      <w:proofErr w:type="gramStart"/>
      <w:r w:rsidR="00161EC5" w:rsidRPr="002A28E1">
        <w:rPr>
          <w:rFonts w:ascii="times" w:hAnsi="times"/>
          <w:color w:val="212828"/>
        </w:rPr>
        <w:t>be regarded</w:t>
      </w:r>
      <w:proofErr w:type="gramEnd"/>
      <w:r w:rsidR="00E9161B" w:rsidRPr="002A28E1">
        <w:rPr>
          <w:rFonts w:ascii="times" w:hAnsi="times"/>
          <w:color w:val="212828"/>
        </w:rPr>
        <w:t xml:space="preserve"> as </w:t>
      </w:r>
      <w:r w:rsidR="006C349D" w:rsidRPr="002A28E1">
        <w:rPr>
          <w:rFonts w:ascii="times" w:hAnsi="times"/>
          <w:color w:val="212828"/>
        </w:rPr>
        <w:t>a mere “indication” of a person’s will, such that authorities are not obliged to adhere to advance directives as legally binding statements.</w:t>
      </w:r>
      <w:r w:rsidR="00573D1E" w:rsidRPr="002A28E1">
        <w:rPr>
          <w:rStyle w:val="FootnoteReference"/>
          <w:rFonts w:ascii="times" w:hAnsi="times"/>
          <w:color w:val="212828"/>
        </w:rPr>
        <w:footnoteReference w:id="592"/>
      </w:r>
      <w:r w:rsidR="00573D1E" w:rsidRPr="002A28E1">
        <w:rPr>
          <w:rFonts w:ascii="times" w:hAnsi="times"/>
          <w:color w:val="212828"/>
        </w:rPr>
        <w:t xml:space="preserve"> Therefore, the advance directive framework outlined in the Code </w:t>
      </w:r>
      <w:proofErr w:type="gramStart"/>
      <w:r w:rsidR="000336A3" w:rsidRPr="002A28E1">
        <w:rPr>
          <w:rFonts w:ascii="times" w:hAnsi="times"/>
          <w:color w:val="212828"/>
        </w:rPr>
        <w:t>is not grounded</w:t>
      </w:r>
      <w:proofErr w:type="gramEnd"/>
      <w:r w:rsidR="000336A3" w:rsidRPr="002A28E1">
        <w:rPr>
          <w:rFonts w:ascii="times" w:hAnsi="times"/>
          <w:color w:val="212828"/>
        </w:rPr>
        <w:t xml:space="preserve"> in a genuine “will and preferences” paradigm</w:t>
      </w:r>
      <w:r w:rsidR="006A3C24">
        <w:rPr>
          <w:rFonts w:ascii="times" w:hAnsi="times"/>
          <w:color w:val="212828"/>
        </w:rPr>
        <w:t>.</w:t>
      </w:r>
      <w:r w:rsidR="00D846D4" w:rsidRPr="002A28E1">
        <w:rPr>
          <w:rFonts w:ascii="times" w:hAnsi="times"/>
          <w:color w:val="212828"/>
        </w:rPr>
        <w:t xml:space="preserve"> Additionally, the entry into force of advance directives </w:t>
      </w:r>
      <w:r w:rsidR="0017238A" w:rsidRPr="002A28E1">
        <w:rPr>
          <w:rFonts w:ascii="times" w:hAnsi="times"/>
          <w:color w:val="212828"/>
        </w:rPr>
        <w:t xml:space="preserve">appears to be at the discretion of the court </w:t>
      </w:r>
      <w:r w:rsidR="001A1E13" w:rsidRPr="002A28E1">
        <w:rPr>
          <w:rFonts w:ascii="times" w:hAnsi="times"/>
          <w:color w:val="212828"/>
        </w:rPr>
        <w:lastRenderedPageBreak/>
        <w:t>(</w:t>
      </w:r>
      <w:r w:rsidR="00D846D4" w:rsidRPr="002A28E1">
        <w:rPr>
          <w:rFonts w:ascii="times" w:hAnsi="times"/>
          <w:color w:val="212828"/>
        </w:rPr>
        <w:t xml:space="preserve">contingent on a </w:t>
      </w:r>
      <w:r w:rsidR="006A3CCB" w:rsidRPr="002A28E1">
        <w:rPr>
          <w:rFonts w:ascii="times" w:hAnsi="times"/>
          <w:color w:val="212828"/>
        </w:rPr>
        <w:t xml:space="preserve">future </w:t>
      </w:r>
      <w:r w:rsidR="00D846D4" w:rsidRPr="002A28E1">
        <w:rPr>
          <w:rFonts w:ascii="times" w:hAnsi="times"/>
          <w:color w:val="212828"/>
        </w:rPr>
        <w:t>finding of limited legal capacity</w:t>
      </w:r>
      <w:r w:rsidR="001A1E13" w:rsidRPr="002A28E1">
        <w:rPr>
          <w:rFonts w:ascii="times" w:hAnsi="times"/>
          <w:color w:val="212828"/>
        </w:rPr>
        <w:t>)</w:t>
      </w:r>
      <w:r w:rsidR="00D846D4" w:rsidRPr="002A28E1">
        <w:rPr>
          <w:rFonts w:ascii="times" w:hAnsi="times"/>
          <w:color w:val="212828"/>
        </w:rPr>
        <w:t>,</w:t>
      </w:r>
      <w:r w:rsidR="001A1E13" w:rsidRPr="002A28E1">
        <w:rPr>
          <w:rStyle w:val="FootnoteReference"/>
          <w:rFonts w:ascii="times" w:hAnsi="times"/>
          <w:color w:val="212828"/>
        </w:rPr>
        <w:footnoteReference w:id="593"/>
      </w:r>
      <w:r w:rsidR="00D846D4" w:rsidRPr="002A28E1">
        <w:rPr>
          <w:rFonts w:ascii="times" w:hAnsi="times"/>
          <w:color w:val="212828"/>
        </w:rPr>
        <w:t xml:space="preserve"> which is inconsistent with </w:t>
      </w:r>
      <w:r w:rsidR="00EB00B4" w:rsidRPr="002A28E1">
        <w:rPr>
          <w:rFonts w:ascii="times" w:hAnsi="times"/>
          <w:color w:val="212828"/>
        </w:rPr>
        <w:t xml:space="preserve">the idea promulgated by the Committee on Rights of Persons with Disabilities that the person with disabilities </w:t>
      </w:r>
      <w:r w:rsidR="00BB3AC4" w:rsidRPr="002A28E1">
        <w:rPr>
          <w:rFonts w:ascii="times" w:hAnsi="times"/>
          <w:color w:val="212828"/>
        </w:rPr>
        <w:t>themselves</w:t>
      </w:r>
      <w:r w:rsidR="00EB00B4" w:rsidRPr="002A28E1">
        <w:rPr>
          <w:rFonts w:ascii="times" w:hAnsi="times"/>
          <w:color w:val="212828"/>
        </w:rPr>
        <w:t xml:space="preserve"> should determine the point at which </w:t>
      </w:r>
      <w:r w:rsidR="00BB3AC4" w:rsidRPr="002A28E1">
        <w:rPr>
          <w:rFonts w:ascii="times" w:hAnsi="times"/>
          <w:color w:val="212828"/>
        </w:rPr>
        <w:t>advance directives should come into effect.</w:t>
      </w:r>
      <w:r w:rsidR="0022639D" w:rsidRPr="002A28E1">
        <w:rPr>
          <w:rStyle w:val="FootnoteReference"/>
          <w:rFonts w:ascii="times" w:hAnsi="times"/>
          <w:color w:val="212828"/>
        </w:rPr>
        <w:footnoteReference w:id="594"/>
      </w:r>
    </w:p>
    <w:p w14:paraId="5B67773E" w14:textId="7D7BD9B8" w:rsidR="00954F7F" w:rsidRPr="002A28E1" w:rsidRDefault="00291472" w:rsidP="00B45F8E">
      <w:bookmarkStart w:id="72" w:name="_Toc13821965"/>
      <w:bookmarkStart w:id="73" w:name="_Toc13822030"/>
      <w:r w:rsidRPr="002A28E1">
        <w:t xml:space="preserve">In short, although </w:t>
      </w:r>
      <w:r w:rsidR="000C4289" w:rsidRPr="002A28E1">
        <w:t xml:space="preserve">Hungary has taken the step of </w:t>
      </w:r>
      <w:r w:rsidR="004808ED" w:rsidRPr="002A28E1">
        <w:t xml:space="preserve">introducing supported decision-making into </w:t>
      </w:r>
      <w:r w:rsidR="000F4F84" w:rsidRPr="002A28E1">
        <w:t xml:space="preserve">its </w:t>
      </w:r>
      <w:r w:rsidR="00195F38" w:rsidRPr="002A28E1">
        <w:t xml:space="preserve">national legislation, </w:t>
      </w:r>
      <w:r w:rsidR="00AB4FD7" w:rsidRPr="002A28E1">
        <w:t xml:space="preserve">the continued availability of substitute decision-making </w:t>
      </w:r>
      <w:r w:rsidR="00C526E2" w:rsidRPr="002A28E1">
        <w:t xml:space="preserve">as well as </w:t>
      </w:r>
      <w:r w:rsidR="00A173BC" w:rsidRPr="002A28E1">
        <w:t>apparent flaws in the supported decision-making system itself, are cause for concern.</w:t>
      </w:r>
      <w:r w:rsidR="00A36070" w:rsidRPr="002A28E1">
        <w:t xml:space="preserve">  It is also </w:t>
      </w:r>
      <w:r w:rsidR="002220D2" w:rsidRPr="002A28E1">
        <w:t xml:space="preserve">troubling to note that MDAC </w:t>
      </w:r>
      <w:proofErr w:type="gramStart"/>
      <w:r w:rsidR="002220D2" w:rsidRPr="002A28E1">
        <w:t>reports</w:t>
      </w:r>
      <w:r w:rsidR="00605A27" w:rsidRPr="002A28E1">
        <w:t xml:space="preserve"> that</w:t>
      </w:r>
      <w:proofErr w:type="gramEnd"/>
      <w:r w:rsidR="00605A27" w:rsidRPr="002A28E1">
        <w:t xml:space="preserve"> “there is little awareness about the new options of obtaining support in decision-making, both among those working in the system and among people who might need it.”</w:t>
      </w:r>
      <w:r w:rsidR="00401065" w:rsidRPr="002A28E1">
        <w:rPr>
          <w:rStyle w:val="FootnoteReference"/>
        </w:rPr>
        <w:footnoteReference w:id="595"/>
      </w:r>
      <w:r w:rsidR="00401065" w:rsidRPr="002A28E1">
        <w:t xml:space="preserve"> </w:t>
      </w:r>
      <w:r w:rsidR="00605A27" w:rsidRPr="002A28E1">
        <w:t xml:space="preserve">Thus, </w:t>
      </w:r>
      <w:r w:rsidR="000062BF" w:rsidRPr="002A28E1">
        <w:t xml:space="preserve">actual </w:t>
      </w:r>
      <w:r w:rsidR="00ED1353" w:rsidRPr="002A28E1">
        <w:t>access to supported decision-making</w:t>
      </w:r>
      <w:r w:rsidR="000354D0" w:rsidRPr="002A28E1">
        <w:t xml:space="preserve"> in Hungary</w:t>
      </w:r>
      <w:r w:rsidR="000062BF" w:rsidRPr="002A28E1">
        <w:t xml:space="preserve"> </w:t>
      </w:r>
      <w:r w:rsidR="00D309F3" w:rsidRPr="002A28E1">
        <w:t>may be limited.</w:t>
      </w:r>
      <w:r w:rsidR="00C34D7C" w:rsidRPr="002A28E1">
        <w:rPr>
          <w:rStyle w:val="FootnoteReference"/>
        </w:rPr>
        <w:footnoteReference w:id="596"/>
      </w:r>
      <w:r w:rsidR="00C34D7C" w:rsidRPr="002A28E1">
        <w:t xml:space="preserve"> </w:t>
      </w:r>
      <w:r w:rsidR="005D4D1C" w:rsidRPr="002A28E1">
        <w:t>Mental Health Europe</w:t>
      </w:r>
      <w:r w:rsidR="00122A60">
        <w:t xml:space="preserve"> </w:t>
      </w:r>
      <w:r w:rsidR="005D4D1C" w:rsidRPr="002A28E1">
        <w:t xml:space="preserve">also </w:t>
      </w:r>
      <w:r w:rsidR="00655FDF" w:rsidRPr="002A28E1">
        <w:t xml:space="preserve">reports that </w:t>
      </w:r>
      <w:r w:rsidR="00DF1673" w:rsidRPr="002A28E1">
        <w:t>Hungary’s</w:t>
      </w:r>
      <w:r w:rsidR="00C87F66" w:rsidRPr="002A28E1">
        <w:t xml:space="preserve"> </w:t>
      </w:r>
      <w:r w:rsidR="001C3A70" w:rsidRPr="002A28E1">
        <w:t xml:space="preserve">2013 </w:t>
      </w:r>
      <w:r w:rsidR="00DC0C6D">
        <w:t>a</w:t>
      </w:r>
      <w:r w:rsidR="001C3A70" w:rsidRPr="002A28E1">
        <w:t xml:space="preserve">ct on supported </w:t>
      </w:r>
      <w:proofErr w:type="gramStart"/>
      <w:r w:rsidR="001C3A70" w:rsidRPr="002A28E1">
        <w:t>decision making</w:t>
      </w:r>
      <w:proofErr w:type="gramEnd"/>
      <w:r w:rsidR="001C3A70" w:rsidRPr="002A28E1">
        <w:t xml:space="preserve"> is “rarely used </w:t>
      </w:r>
      <w:r w:rsidR="006B354E" w:rsidRPr="002A28E1">
        <w:t>by the court.”</w:t>
      </w:r>
      <w:bookmarkStart w:id="74" w:name="_Ref15394698"/>
      <w:r w:rsidR="00ED61B2" w:rsidRPr="002A28E1">
        <w:rPr>
          <w:rStyle w:val="FootnoteReference"/>
        </w:rPr>
        <w:footnoteReference w:id="597"/>
      </w:r>
      <w:bookmarkEnd w:id="74"/>
      <w:r w:rsidR="00D921ED" w:rsidRPr="002A28E1">
        <w:t xml:space="preserve"> Data from the </w:t>
      </w:r>
      <w:r w:rsidR="00E24EAE">
        <w:t xml:space="preserve">Hungarian </w:t>
      </w:r>
      <w:r w:rsidR="00D921ED" w:rsidRPr="002A28E1">
        <w:t xml:space="preserve">Central Statistical Office indicates that the number of </w:t>
      </w:r>
      <w:r w:rsidR="00B016E4" w:rsidRPr="002A28E1">
        <w:t>individuals</w:t>
      </w:r>
      <w:r w:rsidR="00D921ED" w:rsidRPr="002A28E1">
        <w:t xml:space="preserve"> under guardianship has </w:t>
      </w:r>
      <w:r w:rsidR="00801BAC" w:rsidRPr="002A28E1">
        <w:t xml:space="preserve">risen </w:t>
      </w:r>
      <w:r w:rsidR="009C4176" w:rsidRPr="002A28E1">
        <w:t>continuously</w:t>
      </w:r>
      <w:r w:rsidR="00D921ED" w:rsidRPr="002A28E1">
        <w:t xml:space="preserve"> in recent years</w:t>
      </w:r>
      <w:r w:rsidR="003C54B8" w:rsidRPr="002A28E1">
        <w:t>.</w:t>
      </w:r>
      <w:r w:rsidR="00906F2E" w:rsidRPr="002A28E1">
        <w:rPr>
          <w:rStyle w:val="FootnoteReference"/>
        </w:rPr>
        <w:footnoteReference w:id="598"/>
      </w:r>
      <w:r w:rsidR="00906F2E">
        <w:t xml:space="preserve"> </w:t>
      </w:r>
      <w:r w:rsidR="003C54B8" w:rsidRPr="002A28E1">
        <w:t>A</w:t>
      </w:r>
      <w:r w:rsidR="009631F1" w:rsidRPr="002A28E1">
        <w:t>pproximately</w:t>
      </w:r>
      <w:r w:rsidR="00D921ED" w:rsidRPr="002A28E1">
        <w:t xml:space="preserve"> 60 000</w:t>
      </w:r>
      <w:r w:rsidR="00504AD1" w:rsidRPr="002A28E1">
        <w:t xml:space="preserve"> pe</w:t>
      </w:r>
      <w:r w:rsidR="00B64906" w:rsidRPr="002A28E1">
        <w:t>ople</w:t>
      </w:r>
      <w:r w:rsidR="00DA04D0" w:rsidRPr="002A28E1">
        <w:t xml:space="preserve"> </w:t>
      </w:r>
      <w:r w:rsidR="00B64906" w:rsidRPr="002A28E1">
        <w:t>are currently</w:t>
      </w:r>
      <w:r w:rsidR="00D921ED" w:rsidRPr="002A28E1">
        <w:t xml:space="preserve"> under </w:t>
      </w:r>
      <w:r w:rsidR="00490E91" w:rsidRPr="002A28E1">
        <w:t>guardianship</w:t>
      </w:r>
      <w:r w:rsidR="00D921ED" w:rsidRPr="002A28E1">
        <w:t xml:space="preserve"> in Hungary.</w:t>
      </w:r>
      <w:r w:rsidR="00B66C00">
        <w:rPr>
          <w:rStyle w:val="FootnoteReference"/>
        </w:rPr>
        <w:footnoteReference w:id="599"/>
      </w:r>
      <w:r w:rsidR="00295386" w:rsidRPr="002A28E1">
        <w:t xml:space="preserve"> </w:t>
      </w:r>
      <w:r w:rsidR="00753164" w:rsidRPr="002A28E1">
        <w:t>The</w:t>
      </w:r>
      <w:r w:rsidR="00295386" w:rsidRPr="002A28E1">
        <w:t xml:space="preserve"> Hungarian government</w:t>
      </w:r>
      <w:r w:rsidR="00753164" w:rsidRPr="002A28E1">
        <w:t xml:space="preserve"> reported to the </w:t>
      </w:r>
      <w:r w:rsidR="00915516">
        <w:t xml:space="preserve">UN </w:t>
      </w:r>
      <w:r w:rsidR="00753164" w:rsidRPr="002A28E1">
        <w:t>Committee on Persons with Disabilities that, as of 2016, only 149 individuals were participating in supported decision-making</w:t>
      </w:r>
      <w:r w:rsidR="006F4E0B" w:rsidRPr="002A28E1">
        <w:t>.</w:t>
      </w:r>
      <w:bookmarkStart w:id="75" w:name="_Ref15376497"/>
      <w:r w:rsidR="00C225F9" w:rsidRPr="002A28E1">
        <w:rPr>
          <w:rStyle w:val="FootnoteReference"/>
        </w:rPr>
        <w:footnoteReference w:id="600"/>
      </w:r>
      <w:bookmarkEnd w:id="75"/>
      <w:r w:rsidR="006F4E0B" w:rsidRPr="002A28E1">
        <w:t xml:space="preserve"> This statistic would appear to support the contention </w:t>
      </w:r>
      <w:r w:rsidR="00954F7F" w:rsidRPr="002A28E1">
        <w:t>t</w:t>
      </w:r>
      <w:r w:rsidR="006F4E0B" w:rsidRPr="002A28E1">
        <w:t xml:space="preserve">hat supported decision-making is under-utilized in Hungary. </w:t>
      </w:r>
      <w:proofErr w:type="gramStart"/>
      <w:r w:rsidR="00C1545C" w:rsidRPr="002A28E1">
        <w:t xml:space="preserve">The Hungarian government has acknowledged that </w:t>
      </w:r>
      <w:r w:rsidR="0050349C" w:rsidRPr="002A28E1">
        <w:t xml:space="preserve">“a </w:t>
      </w:r>
      <w:r w:rsidR="00954F7F" w:rsidRPr="002A28E1">
        <w:t>review of the law enforcement practices of courts and guardianship authorities is necessary regarding supported decision-making, and based on the results trainings have to be created and offered with the involvement of the affected advocacy organizations for judges, forensic examiners, guardianship authorities, social and health institutions professionals, child protection guardians, and professional helpers and professional guardians.”</w:t>
      </w:r>
      <w:r w:rsidR="009C7F42" w:rsidRPr="002A28E1">
        <w:rPr>
          <w:rStyle w:val="FootnoteReference"/>
        </w:rPr>
        <w:footnoteReference w:id="601"/>
      </w:r>
      <w:proofErr w:type="gramEnd"/>
      <w:r w:rsidR="00081961" w:rsidRPr="002A28E1">
        <w:t xml:space="preserve"> </w:t>
      </w:r>
      <w:r w:rsidR="006652EE" w:rsidRPr="002A28E1">
        <w:t xml:space="preserve">There </w:t>
      </w:r>
      <w:r w:rsidR="005A2336" w:rsidRPr="002A28E1">
        <w:t>evidently</w:t>
      </w:r>
      <w:r w:rsidR="006652EE" w:rsidRPr="002A28E1">
        <w:t xml:space="preserve"> remains work to </w:t>
      </w:r>
      <w:proofErr w:type="gramStart"/>
      <w:r w:rsidR="006652EE" w:rsidRPr="002A28E1">
        <w:t>be done</w:t>
      </w:r>
      <w:proofErr w:type="gramEnd"/>
      <w:r w:rsidR="006652EE" w:rsidRPr="002A28E1">
        <w:t xml:space="preserve"> in Hungary for supported decision-making</w:t>
      </w:r>
      <w:r w:rsidR="004F29E7" w:rsidRPr="002A28E1">
        <w:t xml:space="preserve"> to be </w:t>
      </w:r>
      <w:r w:rsidR="00536789" w:rsidRPr="002A28E1">
        <w:t>properly</w:t>
      </w:r>
      <w:r w:rsidR="000B3A76" w:rsidRPr="002A28E1">
        <w:t xml:space="preserve"> implemented on the ground.</w:t>
      </w:r>
      <w:bookmarkEnd w:id="72"/>
      <w:bookmarkEnd w:id="73"/>
      <w:r w:rsidR="000B3A76" w:rsidRPr="002A28E1">
        <w:t xml:space="preserve"> </w:t>
      </w:r>
    </w:p>
    <w:p w14:paraId="238C60BA" w14:textId="77777777" w:rsidR="00954F7F" w:rsidRPr="002A28E1" w:rsidRDefault="00954F7F" w:rsidP="00605A27">
      <w:pPr>
        <w:rPr>
          <w:rFonts w:ascii="times" w:hAnsi="times"/>
          <w:color w:val="000000" w:themeColor="text1"/>
        </w:rPr>
      </w:pPr>
    </w:p>
    <w:p w14:paraId="44A77DD7" w14:textId="7F6D73CC" w:rsidR="00291472" w:rsidRPr="002A28E1" w:rsidRDefault="00A36070" w:rsidP="00501BB4">
      <w:pPr>
        <w:pStyle w:val="NormalWeb"/>
        <w:rPr>
          <w:rFonts w:ascii="times" w:hAnsi="times"/>
          <w:color w:val="000000" w:themeColor="text1"/>
        </w:rPr>
      </w:pPr>
      <w:r w:rsidRPr="002A28E1">
        <w:rPr>
          <w:rFonts w:ascii="times" w:hAnsi="times"/>
          <w:color w:val="000000" w:themeColor="text1"/>
        </w:rPr>
        <w:t xml:space="preserve"> </w:t>
      </w:r>
    </w:p>
    <w:p w14:paraId="4FD4FFF8" w14:textId="44587BFB" w:rsidR="00560FCB" w:rsidRPr="002A28E1" w:rsidRDefault="00560FCB" w:rsidP="00501BB4">
      <w:pPr>
        <w:pStyle w:val="NormalWeb"/>
        <w:rPr>
          <w:rFonts w:ascii="times" w:hAnsi="times"/>
        </w:rPr>
      </w:pPr>
      <w:r w:rsidRPr="002A28E1">
        <w:rPr>
          <w:rFonts w:ascii="times" w:hAnsi="times"/>
          <w:b/>
        </w:rPr>
        <w:br w:type="page"/>
      </w:r>
    </w:p>
    <w:p w14:paraId="7C3DC065" w14:textId="366E564C" w:rsidR="00D97EFC" w:rsidRPr="002A28E1" w:rsidRDefault="00D97EFC" w:rsidP="00B43D0C">
      <w:pPr>
        <w:pStyle w:val="Heading1"/>
      </w:pPr>
      <w:bookmarkStart w:id="76" w:name="_Toc16081763"/>
      <w:r w:rsidRPr="002A28E1">
        <w:lastRenderedPageBreak/>
        <w:t>Ireland</w:t>
      </w:r>
      <w:bookmarkEnd w:id="76"/>
      <w:r w:rsidRPr="002A28E1">
        <w:t xml:space="preserve"> </w:t>
      </w:r>
    </w:p>
    <w:p w14:paraId="680AE357" w14:textId="3FE90FFF" w:rsidR="00D97EFC" w:rsidRPr="0024395C" w:rsidRDefault="00D97EFC" w:rsidP="00D97EFC">
      <w:r w:rsidRPr="002A28E1">
        <w:t xml:space="preserve">Ireland’s Assisted Decision-Making (Capacity) Act </w:t>
      </w:r>
      <w:proofErr w:type="gramStart"/>
      <w:r w:rsidRPr="002A28E1">
        <w:t>was enacted</w:t>
      </w:r>
      <w:proofErr w:type="gramEnd"/>
      <w:r w:rsidRPr="002A28E1">
        <w:t xml:space="preserve"> in December 2015,</w:t>
      </w:r>
      <w:bookmarkStart w:id="77" w:name="_Ref15301961"/>
      <w:r w:rsidR="00F401D9">
        <w:rPr>
          <w:rStyle w:val="FootnoteReference"/>
        </w:rPr>
        <w:footnoteReference w:id="602"/>
      </w:r>
      <w:bookmarkEnd w:id="77"/>
      <w:r w:rsidRPr="002A28E1">
        <w:t xml:space="preserve"> but the vast majority of this statute’s provisions have </w:t>
      </w:r>
      <w:r w:rsidRPr="003B3C4D">
        <w:t>not come into effect to date.</w:t>
      </w:r>
      <w:r w:rsidRPr="003B3C4D">
        <w:rPr>
          <w:rStyle w:val="FootnoteReference"/>
        </w:rPr>
        <w:footnoteReference w:id="603"/>
      </w:r>
      <w:r w:rsidRPr="003B3C4D">
        <w:t xml:space="preserve"> As of yet, only a few minor administrative provisions are in force.</w:t>
      </w:r>
      <w:r w:rsidRPr="003B3C4D">
        <w:rPr>
          <w:rStyle w:val="FootnoteReference"/>
        </w:rPr>
        <w:footnoteReference w:id="604"/>
      </w:r>
      <w:r w:rsidRPr="003B3C4D">
        <w:t xml:space="preserve"> The</w:t>
      </w:r>
      <w:r w:rsidRPr="002A28E1">
        <w:t xml:space="preserve"> 2015 Act </w:t>
      </w:r>
      <w:proofErr w:type="gramStart"/>
      <w:r w:rsidRPr="002A28E1">
        <w:t>is designed</w:t>
      </w:r>
      <w:proofErr w:type="gramEnd"/>
      <w:r w:rsidRPr="002A28E1">
        <w:t xml:space="preserve"> to replace the “ward of the court” system outlined in the Lunacy Regulation Act, which has governed matters of legal capacity and gu</w:t>
      </w:r>
      <w:r w:rsidRPr="0024395C">
        <w:t>ardianship in Ireland since 1871.</w:t>
      </w:r>
      <w:bookmarkStart w:id="78" w:name="_Ref15301869"/>
      <w:r w:rsidR="001B4402" w:rsidRPr="0024395C">
        <w:rPr>
          <w:rStyle w:val="FootnoteReference"/>
        </w:rPr>
        <w:footnoteReference w:id="605"/>
      </w:r>
      <w:bookmarkEnd w:id="78"/>
      <w:r w:rsidRPr="0024395C">
        <w:t xml:space="preserve"> The new Act lays out new options of “assisted decision-making agreements” and “co-decision-making agreements,” but equally includes substitute decision-making measures through the mechanism of “decision-making representatives.”</w:t>
      </w:r>
    </w:p>
    <w:p w14:paraId="04C07C2B" w14:textId="77777777" w:rsidR="00D97EFC" w:rsidRPr="002A28E1" w:rsidRDefault="00D97EFC" w:rsidP="00D97EFC"/>
    <w:p w14:paraId="67681EE3" w14:textId="5E2ABF7F" w:rsidR="00D97EFC" w:rsidRPr="002A28E1" w:rsidRDefault="00D97EFC" w:rsidP="00D97EFC">
      <w:r w:rsidRPr="002A28E1">
        <w:t>Although Ireland was quick to sign the CRPD in 2007, it only ratified the Convention in March 2018, becoming the last European Union Member State to do so.</w:t>
      </w:r>
      <w:r w:rsidRPr="002A28E1">
        <w:rPr>
          <w:rStyle w:val="FootnoteReference"/>
        </w:rPr>
        <w:footnoteReference w:id="606"/>
      </w:r>
      <w:r w:rsidRPr="002A28E1">
        <w:t xml:space="preserve"> The Irish Government consistently indicated that it wished to execute the legislative reforms required by the Convention prior to ratifying it.</w:t>
      </w:r>
      <w:r w:rsidR="002A6B82">
        <w:rPr>
          <w:rStyle w:val="FootnoteReference"/>
        </w:rPr>
        <w:footnoteReference w:id="607"/>
      </w:r>
      <w:r w:rsidRPr="002A28E1">
        <w:t xml:space="preserve"> Upon its ratification of the Convention, Ireland notably attached a reservation related to Article 12. Ireland’s reservation reads: “to the extent Article 12 may be interpreted as requiring the elimination of all substitute decision making arrangements, Ireland reserves the right to permit such arrangements in appropriate circumstances and subject to appropriate and effective safeguards.”</w:t>
      </w:r>
      <w:r w:rsidR="0031403A">
        <w:rPr>
          <w:rStyle w:val="FootnoteReference"/>
        </w:rPr>
        <w:footnoteReference w:id="608"/>
      </w:r>
      <w:r w:rsidRPr="002A28E1">
        <w:t xml:space="preserve"> The UN Special Rapporteur on </w:t>
      </w:r>
      <w:r w:rsidR="00A01E3E">
        <w:t xml:space="preserve">the Rights of Persons with Disabilities </w:t>
      </w:r>
      <w:r w:rsidRPr="002A28E1">
        <w:t xml:space="preserve">has noted that by virtue of Article 19 of the Vienna Convention on the Law of Treaties and Article 46 of the CRPD, reservations incongruous with the object and purpose of the Convention </w:t>
      </w:r>
      <w:proofErr w:type="gramStart"/>
      <w:r w:rsidRPr="002A28E1">
        <w:t>are not allowed</w:t>
      </w:r>
      <w:proofErr w:type="gramEnd"/>
      <w:r w:rsidRPr="002A28E1">
        <w:t>.</w:t>
      </w:r>
      <w:r w:rsidR="00EA5405">
        <w:rPr>
          <w:rStyle w:val="FootnoteReference"/>
        </w:rPr>
        <w:footnoteReference w:id="609"/>
      </w:r>
      <w:r w:rsidRPr="002A28E1">
        <w:t xml:space="preserve"> </w:t>
      </w:r>
      <w:proofErr w:type="gramStart"/>
      <w:r w:rsidRPr="002A28E1">
        <w:t xml:space="preserve">The Special Rapporteur maintains that in light of the key importance </w:t>
      </w:r>
      <w:r w:rsidRPr="004B6B15">
        <w:t>of Article 12 in the enjoyment and exercise of all rights outlined in the Convention, reservations intended to restrict the implementation of Article 12 are at odds with the object and purpose of the Convention, as they impede the exercise of rights of persons with disabilities on an equal basis with others.</w:t>
      </w:r>
      <w:r w:rsidR="00EA5405" w:rsidRPr="004B6B15">
        <w:rPr>
          <w:rStyle w:val="FootnoteReference"/>
        </w:rPr>
        <w:footnoteReference w:id="610"/>
      </w:r>
      <w:proofErr w:type="gramEnd"/>
      <w:r w:rsidRPr="004B6B15">
        <w:t xml:space="preserve"> </w:t>
      </w:r>
      <w:r w:rsidRPr="002A28E1">
        <w:t xml:space="preserve">According to the Special Rapporteur, such reservations </w:t>
      </w:r>
      <w:proofErr w:type="gramStart"/>
      <w:r w:rsidRPr="002A28E1">
        <w:t>should consequently be withdrawn</w:t>
      </w:r>
      <w:proofErr w:type="gramEnd"/>
      <w:r w:rsidRPr="002A28E1">
        <w:t>.</w:t>
      </w:r>
      <w:r w:rsidRPr="002A28E1">
        <w:rPr>
          <w:rStyle w:val="FootnoteReference"/>
        </w:rPr>
        <w:footnoteReference w:id="611"/>
      </w:r>
      <w:r w:rsidRPr="002A28E1">
        <w:t xml:space="preserve"> Regardless of the validity of the Irish reservation, it undoubtedly evidences the intention of the Irish legislator to retain the option of substitute decision-making.</w:t>
      </w:r>
      <w:r w:rsidRPr="002A28E1">
        <w:rPr>
          <w:rStyle w:val="FootnoteReference"/>
        </w:rPr>
        <w:footnoteReference w:id="612"/>
      </w:r>
      <w:r w:rsidRPr="002A28E1">
        <w:t xml:space="preserve"> </w:t>
      </w:r>
    </w:p>
    <w:p w14:paraId="2075DD2F" w14:textId="77777777" w:rsidR="00D97EFC" w:rsidRPr="002A28E1" w:rsidRDefault="00D97EFC" w:rsidP="00D97EFC"/>
    <w:p w14:paraId="64B30B12" w14:textId="73C39630" w:rsidR="00D97EFC" w:rsidRPr="002A28E1" w:rsidRDefault="00D97EFC" w:rsidP="00D97EFC">
      <w:pPr>
        <w:rPr>
          <w:highlight w:val="lightGray"/>
        </w:rPr>
      </w:pPr>
      <w:r w:rsidRPr="002A28E1">
        <w:lastRenderedPageBreak/>
        <w:t xml:space="preserve">Numerous interest groups and professionals were engaged in the Irish law reform process. Amnesty International Ireland and the Centre for Disability Law and Policy at National University of </w:t>
      </w:r>
      <w:r w:rsidRPr="004A2076">
        <w:t>Ireland Galway gathered a host of other organisations and individuals to form a coalition in 2011.</w:t>
      </w:r>
      <w:r w:rsidRPr="004A2076">
        <w:rPr>
          <w:rStyle w:val="FootnoteReference"/>
        </w:rPr>
        <w:footnoteReference w:id="613"/>
      </w:r>
      <w:r w:rsidRPr="004A2076">
        <w:t xml:space="preserve"> The coalition drafted a document outlining the requirements of the CRPD and their application in the Irish context</w:t>
      </w:r>
      <w:r w:rsidR="00B45F01" w:rsidRPr="00240BFE">
        <w:t>.</w:t>
      </w:r>
      <w:r w:rsidR="00B45F01" w:rsidRPr="00240BFE">
        <w:rPr>
          <w:rStyle w:val="FootnoteReference"/>
        </w:rPr>
        <w:footnoteReference w:id="614"/>
      </w:r>
      <w:r w:rsidRPr="00240BFE">
        <w:t xml:space="preserve"> Many of the groups that produced this document participated in the Justice Committee’s oral hearings on the new legislation in 2012.</w:t>
      </w:r>
      <w:r w:rsidR="007236B8" w:rsidRPr="00240BFE">
        <w:rPr>
          <w:rStyle w:val="FootnoteReference"/>
        </w:rPr>
        <w:footnoteReference w:id="615"/>
      </w:r>
      <w:r w:rsidRPr="00240BFE">
        <w:t xml:space="preserve"> The Justice Committee then issued a report on these hearings which recognized the need </w:t>
      </w:r>
      <w:r w:rsidR="00FA452C">
        <w:t xml:space="preserve">to </w:t>
      </w:r>
      <w:r w:rsidRPr="00240BFE">
        <w:t>transition from a “best interests” model of substitute</w:t>
      </w:r>
      <w:r w:rsidRPr="002A28E1">
        <w:t xml:space="preserve"> decision</w:t>
      </w:r>
      <w:r w:rsidR="00432333">
        <w:t>-</w:t>
      </w:r>
      <w:r w:rsidRPr="002A28E1">
        <w:t>making to a support</w:t>
      </w:r>
      <w:r w:rsidR="00774AF7">
        <w:t>ed decision-making</w:t>
      </w:r>
      <w:r w:rsidRPr="002A28E1">
        <w:t xml:space="preserve"> model centred upon the “will and preferences” of the person.</w:t>
      </w:r>
      <w:bookmarkStart w:id="79" w:name="_Ref15302017"/>
      <w:r w:rsidRPr="002A28E1">
        <w:rPr>
          <w:rStyle w:val="FootnoteReference"/>
        </w:rPr>
        <w:footnoteReference w:id="616"/>
      </w:r>
      <w:bookmarkEnd w:id="79"/>
      <w:r w:rsidRPr="002A28E1">
        <w:t xml:space="preserve"> This shift in the Parliament’s focus from a “best interests” to a “will and preferences” model </w:t>
      </w:r>
      <w:proofErr w:type="gramStart"/>
      <w:r w:rsidRPr="002A28E1">
        <w:t>is attributed</w:t>
      </w:r>
      <w:proofErr w:type="gramEnd"/>
      <w:r w:rsidRPr="002A28E1">
        <w:t xml:space="preserve"> to the advocacy of the coalition.</w:t>
      </w:r>
      <w:r w:rsidRPr="002A28E1">
        <w:rPr>
          <w:rStyle w:val="FootnoteReference"/>
        </w:rPr>
        <w:footnoteReference w:id="617"/>
      </w:r>
      <w:r w:rsidRPr="002A28E1">
        <w:t xml:space="preserve"> </w:t>
      </w:r>
    </w:p>
    <w:p w14:paraId="43BC97D1" w14:textId="77777777" w:rsidR="00D97EFC" w:rsidRPr="002A28E1" w:rsidRDefault="00D97EFC" w:rsidP="00D97EFC"/>
    <w:p w14:paraId="35190471" w14:textId="77777777" w:rsidR="00D97EFC" w:rsidRPr="002A28E1" w:rsidRDefault="00D97EFC" w:rsidP="00D97EFC">
      <w:r w:rsidRPr="002A28E1">
        <w:t>According to the final text of the 2015 Act, respect for the “will and preferences” of the person constitutes one of the “guiding principles” of the piece of legislation.</w:t>
      </w:r>
      <w:bookmarkStart w:id="80" w:name="_Ref15375371"/>
      <w:r w:rsidRPr="002A28E1">
        <w:rPr>
          <w:rStyle w:val="FootnoteReference"/>
        </w:rPr>
        <w:footnoteReference w:id="618"/>
      </w:r>
      <w:bookmarkEnd w:id="80"/>
      <w:r w:rsidRPr="002A28E1">
        <w:t xml:space="preserve"> Other key guiding principles of the Act include a presumption of capacity.</w:t>
      </w:r>
      <w:r w:rsidRPr="002A28E1">
        <w:rPr>
          <w:rStyle w:val="FootnoteReference"/>
        </w:rPr>
        <w:footnoteReference w:id="619"/>
      </w:r>
      <w:r w:rsidRPr="002A28E1">
        <w:t xml:space="preserve"> The Act stipulates that where a person’s capacity is in question, capacity </w:t>
      </w:r>
      <w:proofErr w:type="gramStart"/>
      <w:r w:rsidRPr="002A28E1">
        <w:t>is</w:t>
      </w:r>
      <w:proofErr w:type="gramEnd"/>
      <w:r w:rsidRPr="002A28E1">
        <w:t xml:space="preserve"> to be assessed functionally, that is, “on the basis of his or her ability to understand, at the time that a decision is to be made, the nature and consequences of the decision…”</w:t>
      </w:r>
      <w:r w:rsidRPr="002A28E1">
        <w:rPr>
          <w:rStyle w:val="FootnoteReference"/>
        </w:rPr>
        <w:footnoteReference w:id="620"/>
      </w:r>
    </w:p>
    <w:p w14:paraId="1BCC42E3" w14:textId="77777777" w:rsidR="00D97EFC" w:rsidRPr="002A28E1" w:rsidRDefault="00D97EFC" w:rsidP="00D97EFC"/>
    <w:p w14:paraId="062EBE28" w14:textId="798AEDDD" w:rsidR="00D97EFC" w:rsidRPr="002A28E1" w:rsidRDefault="00D97EFC" w:rsidP="00D97EFC">
      <w:r w:rsidRPr="002A28E1">
        <w:t xml:space="preserve">Under the 2015 Act, “decision-making assistance agreements” and “co-decision-making agreements” are available to a “person who considers that his or her capacity is in question or may shortly be in </w:t>
      </w:r>
      <w:r w:rsidRPr="007F6B68">
        <w:t>question.”</w:t>
      </w:r>
      <w:r w:rsidRPr="007F6B68">
        <w:rPr>
          <w:rStyle w:val="FootnoteReference"/>
        </w:rPr>
        <w:footnoteReference w:id="621"/>
      </w:r>
      <w:r w:rsidRPr="007F6B68">
        <w:t xml:space="preserve"> Both of these types of supported-decision making mechanisms </w:t>
      </w:r>
      <w:proofErr w:type="gramStart"/>
      <w:r w:rsidRPr="007F6B68">
        <w:t>are intended</w:t>
      </w:r>
      <w:proofErr w:type="gramEnd"/>
      <w:r w:rsidRPr="007F6B68">
        <w:t xml:space="preserve"> to help a person to make decisions relating to personal welfare or property and affairs, or both.</w:t>
      </w:r>
      <w:r w:rsidRPr="007F6B68">
        <w:rPr>
          <w:rStyle w:val="FootnoteReference"/>
        </w:rPr>
        <w:footnoteReference w:id="622"/>
      </w:r>
      <w:r w:rsidRPr="007F6B68">
        <w:t xml:space="preserve"> With both these mechanisms, the </w:t>
      </w:r>
      <w:proofErr w:type="gramStart"/>
      <w:r w:rsidRPr="007F6B68">
        <w:t xml:space="preserve">support person is </w:t>
      </w:r>
      <w:r w:rsidR="00974FA1" w:rsidRPr="007F6B68">
        <w:t>nominated</w:t>
      </w:r>
      <w:r w:rsidRPr="007F6B68">
        <w:t xml:space="preserve"> by the individual in need of support</w:t>
      </w:r>
      <w:proofErr w:type="gramEnd"/>
      <w:r w:rsidR="00325DA2" w:rsidRPr="007F6B68">
        <w:t>, though</w:t>
      </w:r>
      <w:r w:rsidR="002B4A3A" w:rsidRPr="007F6B68">
        <w:t xml:space="preserve"> the appointment of</w:t>
      </w:r>
      <w:r w:rsidR="00325DA2" w:rsidRPr="007F6B68">
        <w:t xml:space="preserve"> co-decision-makers </w:t>
      </w:r>
      <w:r w:rsidR="002B4A3A" w:rsidRPr="007F6B68">
        <w:t>is subject to approval by the</w:t>
      </w:r>
      <w:r w:rsidR="00536B53" w:rsidRPr="007F6B68">
        <w:t xml:space="preserve"> Decision Support Service, an administrative body devoted to supported decision-making</w:t>
      </w:r>
      <w:r w:rsidRPr="007F6B68">
        <w:t>.</w:t>
      </w:r>
      <w:r w:rsidRPr="007F6B68">
        <w:rPr>
          <w:rStyle w:val="FootnoteReference"/>
        </w:rPr>
        <w:footnoteReference w:id="623"/>
      </w:r>
      <w:r w:rsidRPr="007F6B68">
        <w:t xml:space="preserve"> </w:t>
      </w:r>
    </w:p>
    <w:p w14:paraId="4A41C724" w14:textId="77777777" w:rsidR="00D97EFC" w:rsidRPr="002A28E1" w:rsidRDefault="00D97EFC" w:rsidP="00D97EFC"/>
    <w:p w14:paraId="58819C46" w14:textId="77777777" w:rsidR="00D97EFC" w:rsidRPr="002A28E1" w:rsidRDefault="00D97EFC" w:rsidP="00D97EFC">
      <w:r w:rsidRPr="002A28E1">
        <w:t xml:space="preserve">A “decision-making assistant” advises the supported person, helps them to access information, determines their will and preferences and helps them to express these, aids them in making and </w:t>
      </w:r>
      <w:r w:rsidRPr="002A28E1">
        <w:lastRenderedPageBreak/>
        <w:t xml:space="preserve">communicating decisions, and strives to ensure that their decisions </w:t>
      </w:r>
      <w:proofErr w:type="gramStart"/>
      <w:r w:rsidRPr="002A28E1">
        <w:t>are carried out</w:t>
      </w:r>
      <w:proofErr w:type="gramEnd"/>
      <w:r w:rsidRPr="002A28E1">
        <w:t>.</w:t>
      </w:r>
      <w:r w:rsidRPr="002A28E1">
        <w:rPr>
          <w:rStyle w:val="FootnoteReference"/>
        </w:rPr>
        <w:footnoteReference w:id="624"/>
      </w:r>
      <w:r w:rsidRPr="002A28E1">
        <w:t xml:space="preserve"> The Act </w:t>
      </w:r>
      <w:proofErr w:type="gramStart"/>
      <w:r w:rsidRPr="002A28E1">
        <w:t>stipulates that</w:t>
      </w:r>
      <w:proofErr w:type="gramEnd"/>
      <w:r w:rsidRPr="002A28E1">
        <w:t xml:space="preserve"> “a decision-making assistant shall not make a decision on behalf of the appointer.”</w:t>
      </w:r>
      <w:r w:rsidRPr="002A28E1">
        <w:rPr>
          <w:rStyle w:val="FootnoteReference"/>
        </w:rPr>
        <w:footnoteReference w:id="625"/>
      </w:r>
      <w:r w:rsidRPr="002A28E1">
        <w:t xml:space="preserve"> The Act indicates that further regulations </w:t>
      </w:r>
      <w:proofErr w:type="gramStart"/>
      <w:r w:rsidRPr="002A28E1">
        <w:t>will be issued</w:t>
      </w:r>
      <w:proofErr w:type="gramEnd"/>
      <w:r w:rsidRPr="002A28E1">
        <w:t xml:space="preserve"> to delineate the form that a decision-making assistance agreement must take and to establish the procedure through which the appointer must notify the Decision Support Service of the execution, variation or revocation of a decision-making agreement.</w:t>
      </w:r>
      <w:r w:rsidRPr="002A28E1">
        <w:rPr>
          <w:rStyle w:val="FootnoteReference"/>
        </w:rPr>
        <w:footnoteReference w:id="626"/>
      </w:r>
      <w:r w:rsidRPr="002A28E1">
        <w:t xml:space="preserve">  If any person believes </w:t>
      </w:r>
      <w:proofErr w:type="gramStart"/>
      <w:r w:rsidRPr="002A28E1">
        <w:t>that</w:t>
      </w:r>
      <w:proofErr w:type="gramEnd"/>
      <w:r w:rsidRPr="002A28E1">
        <w:t xml:space="preserve"> a decision-making assistant has acted outside of their mandate; that they are not able to perform their role; or that they have exerted fraud, coercion, or undue pressure to manipulate the appointer into making the agreement, they are entitled to launch a complaint before the Decision Support Service.</w:t>
      </w:r>
      <w:r w:rsidRPr="002A28E1">
        <w:rPr>
          <w:rStyle w:val="FootnoteReference"/>
        </w:rPr>
        <w:footnoteReference w:id="627"/>
      </w:r>
    </w:p>
    <w:p w14:paraId="7F550E5B" w14:textId="77777777" w:rsidR="00D97EFC" w:rsidRPr="002A28E1" w:rsidRDefault="00D97EFC" w:rsidP="00D97EFC"/>
    <w:p w14:paraId="7D14AC98" w14:textId="145ABF28" w:rsidR="00D97EFC" w:rsidRPr="002A28E1" w:rsidRDefault="00D97EFC" w:rsidP="00D97EFC">
      <w:r w:rsidRPr="002A28E1">
        <w:t>Next, the Act stipulates that “co-decision-makers” are to present the appointer with alternatives and probable outcomes of given decisions and are to make decisions “jointly” with the appointer.</w:t>
      </w:r>
      <w:r w:rsidRPr="002A28E1">
        <w:rPr>
          <w:rStyle w:val="FootnoteReference"/>
        </w:rPr>
        <w:footnoteReference w:id="628"/>
      </w:r>
      <w:r w:rsidRPr="002A28E1">
        <w:t xml:space="preserve"> As with decision-making assistants, co-decision-makers also must also clarify relevant information and considerations for the appointer, determine the appointer’s will and preferences and help them to express these, aid with the collection of relevant information, and exert reasonable efforts to see to the execution of decisions.</w:t>
      </w:r>
      <w:r w:rsidRPr="002A28E1">
        <w:rPr>
          <w:rStyle w:val="FootnoteReference"/>
        </w:rPr>
        <w:footnoteReference w:id="629"/>
      </w:r>
      <w:r w:rsidRPr="002A28E1">
        <w:t xml:space="preserve"> Under the Act, persons “suitable” to be co-decision-makers are relatives or friends of the appointer who have had “such personal contact with the appointer over such period of time that a relationship of trust exists between them.”</w:t>
      </w:r>
      <w:r w:rsidRPr="002A28E1">
        <w:rPr>
          <w:rStyle w:val="FootnoteReference"/>
        </w:rPr>
        <w:footnoteReference w:id="630"/>
      </w:r>
      <w:r w:rsidR="007F3D3C" w:rsidRPr="002A28E1">
        <w:t xml:space="preserve">  The Act lists several categories of persons who are not eligible to serve as co-decision-makers, including persons who have </w:t>
      </w:r>
      <w:r w:rsidR="00B97228" w:rsidRPr="002A28E1">
        <w:t>committed offences implicating fraud or dishonesty</w:t>
      </w:r>
      <w:r w:rsidR="007F3D3C" w:rsidRPr="002A28E1">
        <w:t>, bankrupt persons</w:t>
      </w:r>
      <w:r w:rsidR="001C745F" w:rsidRPr="002A28E1">
        <w:t xml:space="preserve">, </w:t>
      </w:r>
      <w:r w:rsidR="00770FEA" w:rsidRPr="002A28E1">
        <w:t>and employees of centres or mental health facilities where the appointer lives.</w:t>
      </w:r>
      <w:r w:rsidR="00890E05" w:rsidRPr="002A28E1">
        <w:rPr>
          <w:rStyle w:val="FootnoteReference"/>
        </w:rPr>
        <w:footnoteReference w:id="631"/>
      </w:r>
    </w:p>
    <w:p w14:paraId="1D2E4705" w14:textId="77777777" w:rsidR="00D97EFC" w:rsidRPr="002A28E1" w:rsidRDefault="00D97EFC" w:rsidP="00D97EFC"/>
    <w:p w14:paraId="136751C7" w14:textId="44435046" w:rsidR="00D97EFC" w:rsidRPr="002A28E1" w:rsidRDefault="00D97EFC" w:rsidP="00D97EFC">
      <w:r w:rsidRPr="002A28E1">
        <w:t>In order for a co</w:t>
      </w:r>
      <w:r w:rsidRPr="007F6B68">
        <w:t xml:space="preserve">-decision-making agreement to enter into effect, it </w:t>
      </w:r>
      <w:proofErr w:type="gramStart"/>
      <w:r w:rsidRPr="007F6B68">
        <w:t>must be duly registered</w:t>
      </w:r>
      <w:proofErr w:type="gramEnd"/>
      <w:r w:rsidRPr="007F6B68">
        <w:t xml:space="preserve"> with the Decision Support Service.</w:t>
      </w:r>
      <w:r w:rsidRPr="007F6B68">
        <w:rPr>
          <w:rStyle w:val="FootnoteReference"/>
        </w:rPr>
        <w:footnoteReference w:id="632"/>
      </w:r>
      <w:r w:rsidRPr="007F6B68">
        <w:t xml:space="preserve"> Applications to register a co-decision-making agreement must include opinions from a medical practitioner and another healthcare professional affirming that the appointer has the capacity to make a decision to enter into the co-decision-making agreement as well as the capacity to make decisions specified in the agreement with the help of the co-decision-maker.</w:t>
      </w:r>
      <w:r w:rsidRPr="007F6B68">
        <w:rPr>
          <w:rStyle w:val="FootnoteReference"/>
        </w:rPr>
        <w:footnoteReference w:id="633"/>
      </w:r>
      <w:r w:rsidR="00F821EE" w:rsidRPr="007F6B68">
        <w:t xml:space="preserve"> The Decision Support Service will </w:t>
      </w:r>
      <w:r w:rsidR="004D2EF1" w:rsidRPr="007F6B68">
        <w:t>assess the application</w:t>
      </w:r>
      <w:r w:rsidR="001A0963" w:rsidRPr="007F6B68">
        <w:t xml:space="preserve"> and will examine, </w:t>
      </w:r>
      <w:r w:rsidR="001A0963" w:rsidRPr="007F6B68">
        <w:rPr>
          <w:i/>
        </w:rPr>
        <w:t>inter alia</w:t>
      </w:r>
      <w:r w:rsidR="001A0963" w:rsidRPr="007F6B68">
        <w:t>, whether the co-decision-maker is a “suitable” individual who is eligible for appointment and whether the co-decision-making agreement aligns with the will and preferences  of the appointer.</w:t>
      </w:r>
      <w:r w:rsidR="001A0963" w:rsidRPr="007F6B68">
        <w:rPr>
          <w:rStyle w:val="FootnoteReference"/>
        </w:rPr>
        <w:footnoteReference w:id="634"/>
      </w:r>
      <w:r w:rsidR="001A0963" w:rsidRPr="007F6B68">
        <w:t xml:space="preserve"> Where the Decision Support Service deems that a co-decision-making agreement satisfies the requirements</w:t>
      </w:r>
      <w:r w:rsidR="00723581" w:rsidRPr="007F6B68">
        <w:t xml:space="preserve"> set out in the </w:t>
      </w:r>
      <w:r w:rsidR="00915D11" w:rsidRPr="007F6B68">
        <w:t>Act</w:t>
      </w:r>
      <w:r w:rsidR="00723581" w:rsidRPr="007F6B68">
        <w:t>,</w:t>
      </w:r>
      <w:r w:rsidR="00F963B4" w:rsidRPr="007F6B68">
        <w:t xml:space="preserve"> this administrative body will register the agreement.</w:t>
      </w:r>
      <w:r w:rsidR="00F963B4" w:rsidRPr="007F6B68">
        <w:rPr>
          <w:rStyle w:val="FootnoteReference"/>
        </w:rPr>
        <w:footnoteReference w:id="635"/>
      </w:r>
    </w:p>
    <w:p w14:paraId="7DB8F34A" w14:textId="77777777" w:rsidR="00D97EFC" w:rsidRPr="002A28E1" w:rsidRDefault="00D97EFC" w:rsidP="00D97EFC"/>
    <w:p w14:paraId="3B5A6055" w14:textId="060A0C35" w:rsidR="00D97EFC" w:rsidRPr="002A28E1" w:rsidRDefault="00D97EFC" w:rsidP="00D97EFC">
      <w:r w:rsidRPr="002A28E1">
        <w:lastRenderedPageBreak/>
        <w:t>Co-decision-makers are required to submit yearly reports on the performance of their duties to the Decision Support Service.</w:t>
      </w:r>
      <w:r w:rsidRPr="002A28E1">
        <w:rPr>
          <w:rStyle w:val="FootnoteReference"/>
        </w:rPr>
        <w:footnoteReference w:id="636"/>
      </w:r>
      <w:r w:rsidRPr="002A28E1">
        <w:t xml:space="preserve"> The Act also establishes penalties for co-decision-makers who resort to fraud, coercion, or undue influence to oblige a person to make, vary or revoke a co-decision-making agreement.</w:t>
      </w:r>
      <w:r w:rsidRPr="002A28E1">
        <w:rPr>
          <w:rStyle w:val="FootnoteReference"/>
        </w:rPr>
        <w:footnoteReference w:id="637"/>
      </w:r>
      <w:r w:rsidRPr="002A28E1">
        <w:t xml:space="preserve"> The Act allows any person to file a complaint against the co-decision-maker with the Decision Support Service.</w:t>
      </w:r>
      <w:r w:rsidR="005C583B">
        <w:rPr>
          <w:rStyle w:val="FootnoteReference"/>
        </w:rPr>
        <w:footnoteReference w:id="638"/>
      </w:r>
      <w:r w:rsidRPr="002A28E1">
        <w:t xml:space="preserve"> </w:t>
      </w:r>
      <w:proofErr w:type="gramStart"/>
      <w:r w:rsidRPr="002A28E1">
        <w:t>Complaints may be launched on several grounds, namely on the basis that the co-decision-maker has acted outside of their mandate; that they are not “suitable”; that the agreement does not align with the will and preferences of the appointer; that the appointer did not have capacity to make a decision to enter into the agreement; that fraud, coercion or undue  pressure was exerted to manipulate the appointer into making the agreement; that an appointer has capacity in relation to a decision without the help of a co-decision-maker; or that the appointer no longer has capacity relating to a decision, even with the help of the co-decision-maker.</w:t>
      </w:r>
      <w:r w:rsidRPr="002A28E1">
        <w:rPr>
          <w:rStyle w:val="FootnoteReference"/>
        </w:rPr>
        <w:footnoteReference w:id="639"/>
      </w:r>
      <w:proofErr w:type="gramEnd"/>
    </w:p>
    <w:p w14:paraId="152E7FDD" w14:textId="77777777" w:rsidR="00D97EFC" w:rsidRPr="002A28E1" w:rsidRDefault="00D97EFC" w:rsidP="00D97EFC"/>
    <w:p w14:paraId="33EBF2BD" w14:textId="77777777" w:rsidR="00D97EFC" w:rsidRPr="002A28E1" w:rsidRDefault="00D97EFC" w:rsidP="00D97EFC">
      <w:r w:rsidRPr="002A28E1">
        <w:t>Alongside the two aforementioned forms of supported-decision making, the Act provides that the court may appoint a decision-making representative to make decisions on behalf of a person when the court deems that a person lacks capacity in a given area.</w:t>
      </w:r>
      <w:r w:rsidRPr="002A28E1">
        <w:rPr>
          <w:rStyle w:val="FootnoteReference"/>
        </w:rPr>
        <w:footnoteReference w:id="640"/>
      </w:r>
      <w:r w:rsidRPr="002A28E1">
        <w:t xml:space="preserve"> As with the decision-making assistance agreements and co-decision-making agreements, the decision-making representative is involved in decisions pertaining to an individual’s personal welfare or property and affairs, or both.</w:t>
      </w:r>
      <w:r w:rsidRPr="002A28E1">
        <w:rPr>
          <w:rStyle w:val="FootnoteReference"/>
        </w:rPr>
        <w:footnoteReference w:id="641"/>
      </w:r>
      <w:r w:rsidRPr="002A28E1">
        <w:t xml:space="preserve"> It is worth noting that the Act stipulates that decision-making representatives must try to determine the will and preferences of the person and to try to help them express these.</w:t>
      </w:r>
      <w:r w:rsidRPr="002A28E1">
        <w:rPr>
          <w:rStyle w:val="FootnoteReference"/>
        </w:rPr>
        <w:footnoteReference w:id="642"/>
      </w:r>
    </w:p>
    <w:p w14:paraId="7DCC1200" w14:textId="77777777" w:rsidR="00D97EFC" w:rsidRPr="002A28E1" w:rsidRDefault="00D97EFC" w:rsidP="00D97EFC"/>
    <w:p w14:paraId="18DB85EF" w14:textId="27F4193F" w:rsidR="00D97EFC" w:rsidRPr="002A28E1" w:rsidRDefault="00D97EFC" w:rsidP="00D97EFC">
      <w:r w:rsidRPr="007F6B68">
        <w:t>The new legislation also specifies that there will be a review of all existing wards appointed under the previous legislative scheme within three years of the entry into force of the new Act.</w:t>
      </w:r>
      <w:r w:rsidR="00A16522" w:rsidRPr="007F6B68">
        <w:rPr>
          <w:rStyle w:val="FootnoteReference"/>
        </w:rPr>
        <w:footnoteReference w:id="643"/>
      </w:r>
      <w:r w:rsidRPr="007F6B68">
        <w:t xml:space="preserve"> If the person is found to have capacity, the ward will be discharged, </w:t>
      </w:r>
      <w:proofErr w:type="gramStart"/>
      <w:r w:rsidRPr="007F6B68">
        <w:t>and their</w:t>
      </w:r>
      <w:proofErr w:type="gramEnd"/>
      <w:r w:rsidRPr="007F6B68">
        <w:t xml:space="preserve"> property returned to them, and if they are found to lack capacity, there will be an assessment as to whether either a co-decision-making agreement or decision-making representative is appropriate.</w:t>
      </w:r>
      <w:r w:rsidRPr="007F6B68">
        <w:rPr>
          <w:rStyle w:val="FootnoteReference"/>
        </w:rPr>
        <w:footnoteReference w:id="644"/>
      </w:r>
      <w:r w:rsidRPr="002A28E1">
        <w:t xml:space="preserve"> </w:t>
      </w:r>
    </w:p>
    <w:p w14:paraId="38ADE616" w14:textId="77777777" w:rsidR="00D97EFC" w:rsidRPr="002A28E1" w:rsidRDefault="00D97EFC" w:rsidP="00D97EFC"/>
    <w:p w14:paraId="02609FAE" w14:textId="6A85C064" w:rsidR="00D97EFC" w:rsidRPr="002A28E1" w:rsidRDefault="00D97EFC" w:rsidP="00D97EFC">
      <w:r w:rsidRPr="007F6B68">
        <w:t>One may note as well that the Act allows for the creation of enduring powers of attorney</w:t>
      </w:r>
      <w:r w:rsidRPr="007F6B68">
        <w:rPr>
          <w:rStyle w:val="FootnoteReference"/>
        </w:rPr>
        <w:footnoteReference w:id="645"/>
      </w:r>
      <w:r w:rsidRPr="007F6B68">
        <w:t xml:space="preserve"> and advance healthcare directives.</w:t>
      </w:r>
      <w:r w:rsidRPr="007F6B68">
        <w:rPr>
          <w:rStyle w:val="FootnoteReference"/>
        </w:rPr>
        <w:footnoteReference w:id="646"/>
      </w:r>
      <w:r w:rsidRPr="007F6B68">
        <w:t xml:space="preserve"> With the enduring power of attorney, an adult may grant someone either general authority to act on their behalf with respect to all or part of their property and affairs or the give them authority to do specific things regarding their personal welfare or property and affairs, or both.</w:t>
      </w:r>
      <w:r w:rsidRPr="007F6B68">
        <w:rPr>
          <w:rStyle w:val="FootnoteReference"/>
        </w:rPr>
        <w:footnoteReference w:id="647"/>
      </w:r>
      <w:r w:rsidRPr="007F6B68">
        <w:t xml:space="preserve"> The enduring power of attorney will only enter into effect in the event that the person lacks capacity with respect to a decision outlined in the power.</w:t>
      </w:r>
      <w:r w:rsidRPr="007F6B68">
        <w:rPr>
          <w:rStyle w:val="FootnoteReference"/>
        </w:rPr>
        <w:footnoteReference w:id="648"/>
      </w:r>
      <w:r w:rsidRPr="007F6B68">
        <w:t xml:space="preserve"> Instruments creating powers of attorney </w:t>
      </w:r>
      <w:proofErr w:type="gramStart"/>
      <w:r w:rsidRPr="007F6B68">
        <w:t>must also be registered</w:t>
      </w:r>
      <w:proofErr w:type="gramEnd"/>
      <w:r w:rsidRPr="007F6B68">
        <w:t xml:space="preserve"> with the Decision Support </w:t>
      </w:r>
      <w:r w:rsidRPr="007F6B68">
        <w:lastRenderedPageBreak/>
        <w:t>Service.</w:t>
      </w:r>
      <w:r w:rsidRPr="007F6B68">
        <w:rPr>
          <w:rStyle w:val="FootnoteReference"/>
        </w:rPr>
        <w:footnoteReference w:id="649"/>
      </w:r>
      <w:r w:rsidRPr="007F6B68">
        <w:t xml:space="preserve"> The advance healthcare directive is an instrument through which an individual who </w:t>
      </w:r>
      <w:proofErr w:type="gramStart"/>
      <w:r w:rsidRPr="007F6B68">
        <w:t>is deemed</w:t>
      </w:r>
      <w:proofErr w:type="gramEnd"/>
      <w:r w:rsidRPr="007F6B68">
        <w:t xml:space="preserve"> to have capacity may indicate in writing their will and preferences regarding healthcare treatment should they lack capacity in the future.</w:t>
      </w:r>
      <w:r w:rsidRPr="007F6B68">
        <w:rPr>
          <w:rStyle w:val="FootnoteReference"/>
        </w:rPr>
        <w:footnoteReference w:id="650"/>
      </w:r>
      <w:r w:rsidRPr="007F6B68">
        <w:t xml:space="preserve"> Refusals of treatment are considered valid</w:t>
      </w:r>
      <w:proofErr w:type="gramStart"/>
      <w:r w:rsidRPr="007F6B68">
        <w:t>,  even</w:t>
      </w:r>
      <w:proofErr w:type="gramEnd"/>
      <w:r w:rsidRPr="007F6B68">
        <w:t xml:space="preserve"> if the refusal appears unwise or may lead to death.</w:t>
      </w:r>
      <w:r w:rsidRPr="007F6B68">
        <w:rPr>
          <w:rStyle w:val="FootnoteReference"/>
        </w:rPr>
        <w:footnoteReference w:id="651"/>
      </w:r>
    </w:p>
    <w:p w14:paraId="4FDA86D7" w14:textId="77777777" w:rsidR="00D97EFC" w:rsidRPr="002A28E1" w:rsidRDefault="00D97EFC" w:rsidP="00D97EFC"/>
    <w:p w14:paraId="0D73BB88" w14:textId="74E58BD9" w:rsidR="00D97EFC" w:rsidRPr="002A28E1" w:rsidRDefault="005B6E06" w:rsidP="00D97EFC">
      <w:r w:rsidRPr="007F6B68">
        <w:t xml:space="preserve">The Act fails to comply with the requirement under Article 12 that persons with disabilities </w:t>
      </w:r>
      <w:proofErr w:type="gramStart"/>
      <w:r w:rsidRPr="007F6B68">
        <w:t>are recognized</w:t>
      </w:r>
      <w:proofErr w:type="gramEnd"/>
      <w:r w:rsidRPr="007F6B68">
        <w:t xml:space="preserve"> as enjoying legal capacity on an equal basis with others.</w:t>
      </w:r>
      <w:r w:rsidRPr="007F6B68">
        <w:rPr>
          <w:rStyle w:val="FootnoteReference"/>
        </w:rPr>
        <w:footnoteReference w:id="652"/>
      </w:r>
      <w:r w:rsidR="00D97EFC" w:rsidRPr="007F6B68">
        <w:t xml:space="preserve"> Flynn and </w:t>
      </w:r>
      <w:proofErr w:type="spellStart"/>
      <w:r w:rsidR="00D97EFC" w:rsidRPr="007F6B68">
        <w:t>Arstein-Kerslake</w:t>
      </w:r>
      <w:proofErr w:type="spellEnd"/>
      <w:r w:rsidR="00D97EFC" w:rsidRPr="007F6B68">
        <w:t xml:space="preserve"> maintain that the functional definition of capacity under the Act “reveals that the underlying premise of the legislation is that a certain standard of mental capacity is a prerequisite for the recognition</w:t>
      </w:r>
      <w:r w:rsidR="00D97EFC" w:rsidRPr="002A28E1">
        <w:t xml:space="preserve"> of an individual’s legal capacity – a premise which is not, in our view, compatible with the CRPD’s interpretation of Article 12.”</w:t>
      </w:r>
      <w:r w:rsidR="00D97EFC" w:rsidRPr="002A28E1">
        <w:rPr>
          <w:rStyle w:val="FootnoteReference"/>
        </w:rPr>
        <w:footnoteReference w:id="653"/>
      </w:r>
      <w:r w:rsidR="00D97EFC" w:rsidRPr="002A28E1">
        <w:t xml:space="preserve"> Under the 2015 Irish Act, there still remains the possibility that a person </w:t>
      </w:r>
      <w:proofErr w:type="gramStart"/>
      <w:r w:rsidR="00D97EFC" w:rsidRPr="002A28E1">
        <w:t>can be declared</w:t>
      </w:r>
      <w:proofErr w:type="gramEnd"/>
      <w:r w:rsidR="00D97EFC" w:rsidRPr="002A28E1">
        <w:t xml:space="preserve"> legally incapacitated and have a substitute decision-maker appointed to them.</w:t>
      </w:r>
      <w:r w:rsidR="00D97EFC" w:rsidRPr="002A28E1">
        <w:rPr>
          <w:rStyle w:val="FootnoteReference"/>
        </w:rPr>
        <w:footnoteReference w:id="654"/>
      </w:r>
      <w:r w:rsidR="00D97EFC" w:rsidRPr="002A28E1">
        <w:t xml:space="preserve"> The Irish Human Rights Commission has criticized the Act for failing to conform to all of the requirements of Article 12 of the CRPD, and has contended that the provisions in the Act allowing for substitute decision-making are merely a “repackaging” of the previous system.</w:t>
      </w:r>
      <w:r w:rsidR="00D97EFC" w:rsidRPr="002A28E1">
        <w:rPr>
          <w:rStyle w:val="FootnoteReference"/>
        </w:rPr>
        <w:footnoteReference w:id="655"/>
      </w:r>
      <w:r w:rsidR="00D97EFC" w:rsidRPr="002A28E1">
        <w:t xml:space="preserve"> </w:t>
      </w:r>
    </w:p>
    <w:p w14:paraId="2BEDF738" w14:textId="77777777" w:rsidR="00D97EFC" w:rsidRPr="002A28E1" w:rsidRDefault="00D97EFC" w:rsidP="00D97EFC"/>
    <w:p w14:paraId="1A96DEF2" w14:textId="2C1D336E" w:rsidR="00EB4FAB" w:rsidRPr="007F6B68" w:rsidRDefault="00D97EFC" w:rsidP="00D97EFC">
      <w:r w:rsidRPr="002A28E1">
        <w:t xml:space="preserve">Despite these shortcomings, however, the new legislation’s </w:t>
      </w:r>
      <w:r w:rsidR="00CC4F74">
        <w:t>introduction</w:t>
      </w:r>
      <w:r w:rsidRPr="002A28E1">
        <w:t xml:space="preserve"> of support</w:t>
      </w:r>
      <w:r w:rsidR="0054122D">
        <w:t xml:space="preserve"> measures</w:t>
      </w:r>
      <w:r w:rsidRPr="002A28E1">
        <w:t xml:space="preserve"> constitutes an important step towards compliance with Article 12 of the CRPD. </w:t>
      </w:r>
      <w:r w:rsidR="00B53A6C">
        <w:t>That said</w:t>
      </w:r>
      <w:proofErr w:type="gramStart"/>
      <w:r w:rsidRPr="002A28E1">
        <w:t>,</w:t>
      </w:r>
      <w:proofErr w:type="gramEnd"/>
      <w:r w:rsidRPr="002A28E1">
        <w:t xml:space="preserve"> the fact that the availability of co-decision-</w:t>
      </w:r>
      <w:r w:rsidRPr="007F6B68">
        <w:t>making hinges on an evaluation of mental capacity is undoubtedly problematic from the point of view of Article 12,</w:t>
      </w:r>
      <w:r w:rsidRPr="007F6B68">
        <w:rPr>
          <w:rStyle w:val="FootnoteReference"/>
        </w:rPr>
        <w:footnoteReference w:id="656"/>
      </w:r>
      <w:r w:rsidRPr="007F6B68">
        <w:t xml:space="preserve"> as this </w:t>
      </w:r>
      <w:r w:rsidR="004B04B0" w:rsidRPr="007F6B68">
        <w:t>may</w:t>
      </w:r>
      <w:r w:rsidRPr="007F6B68">
        <w:t xml:space="preserve"> in effect deny the provision of co-decision-making to pe</w:t>
      </w:r>
      <w:r w:rsidR="004B04B0" w:rsidRPr="007F6B68">
        <w:t>rsons</w:t>
      </w:r>
      <w:r w:rsidRPr="007F6B68">
        <w:t xml:space="preserve"> with disabilities</w:t>
      </w:r>
      <w:r w:rsidR="004B04B0" w:rsidRPr="007F6B68">
        <w:t xml:space="preserve"> with higher support needs</w:t>
      </w:r>
      <w:r w:rsidRPr="007F6B68">
        <w:t>.</w:t>
      </w:r>
      <w:r w:rsidR="00280E54" w:rsidRPr="007F6B68">
        <w:t xml:space="preserve"> </w:t>
      </w:r>
      <w:r w:rsidRPr="007F6B68">
        <w:t>Moreover, it is also pertinent to note that a co-decision-maker is entitled to refuse</w:t>
      </w:r>
      <w:r w:rsidRPr="002A28E1">
        <w:t xml:space="preserve"> to agree with the wishes of the </w:t>
      </w:r>
      <w:r w:rsidRPr="007F6B68">
        <w:t>appointer if it is reasonably foreseeable that “serious harm” will befall the appointer or another person.</w:t>
      </w:r>
      <w:r w:rsidRPr="007F6B68">
        <w:rPr>
          <w:rStyle w:val="FootnoteReference"/>
        </w:rPr>
        <w:footnoteReference w:id="657"/>
      </w:r>
      <w:r w:rsidRPr="007F6B68">
        <w:t xml:space="preserve"> Since this would seem to give a sort of “veto” power to the co-decision-maker, this may call into question whether the Irish co-decision-making scheme is a genuine form of supported decision-making that gives autonomy to the supported person, as contemplated by Article 12.</w:t>
      </w:r>
      <w:r w:rsidR="005810CA" w:rsidRPr="007F6B68">
        <w:rPr>
          <w:rStyle w:val="FootnoteReference"/>
        </w:rPr>
        <w:footnoteReference w:id="658"/>
      </w:r>
      <w:r w:rsidRPr="007F6B68">
        <w:t xml:space="preserve"> </w:t>
      </w:r>
      <w:r w:rsidR="00FF29A4" w:rsidRPr="007F6B68">
        <w:t>As well</w:t>
      </w:r>
      <w:r w:rsidRPr="007F6B68">
        <w:t xml:space="preserve">, </w:t>
      </w:r>
      <w:r w:rsidR="00A73004" w:rsidRPr="007F6B68">
        <w:t xml:space="preserve">the Act seems to </w:t>
      </w:r>
      <w:r w:rsidR="00A553CD" w:rsidRPr="007F6B68">
        <w:t xml:space="preserve">require </w:t>
      </w:r>
      <w:r w:rsidR="00B953DB" w:rsidRPr="007F6B68">
        <w:t>that a person have</w:t>
      </w:r>
      <w:r w:rsidR="00FF4938" w:rsidRPr="007F6B68">
        <w:t xml:space="preserve"> a requisite level of</w:t>
      </w:r>
      <w:r w:rsidR="00B953DB" w:rsidRPr="007F6B68">
        <w:t xml:space="preserve"> “mental capacity” in order to be able to enter into an assisted decision-making agreement</w:t>
      </w:r>
      <w:r w:rsidRPr="007F6B68">
        <w:t>,</w:t>
      </w:r>
      <w:r w:rsidRPr="007F6B68">
        <w:rPr>
          <w:rStyle w:val="FootnoteReference"/>
        </w:rPr>
        <w:t xml:space="preserve"> </w:t>
      </w:r>
      <w:r w:rsidRPr="007F6B68">
        <w:rPr>
          <w:rStyle w:val="FootnoteReference"/>
        </w:rPr>
        <w:footnoteReference w:id="659"/>
      </w:r>
      <w:r w:rsidRPr="007F6B68">
        <w:t xml:space="preserve"> and so the Irish legislator has not made supported decision-making available to all persons with disabilities. </w:t>
      </w:r>
    </w:p>
    <w:p w14:paraId="248AFB45" w14:textId="77777777" w:rsidR="00EB4FAB" w:rsidRPr="007F6B68" w:rsidRDefault="00EB4FAB" w:rsidP="00D97EFC"/>
    <w:p w14:paraId="6331FCA1" w14:textId="7275CEED" w:rsidR="00D97EFC" w:rsidRPr="007F6B68" w:rsidRDefault="00D97EFC" w:rsidP="00D97EFC">
      <w:r w:rsidRPr="007F6B68">
        <w:lastRenderedPageBreak/>
        <w:t xml:space="preserve">Finally, one can note that the enduring powers of attorney and advanced healthcare directives may resemble substitute decision-making more than supported decision-making, </w:t>
      </w:r>
      <w:proofErr w:type="gramStart"/>
      <w:r w:rsidRPr="007F6B68">
        <w:t>due to the fact that</w:t>
      </w:r>
      <w:proofErr w:type="gramEnd"/>
      <w:r w:rsidRPr="007F6B68">
        <w:t xml:space="preserve"> these mechanisms allow decisions to be made on a person’s behalf. </w:t>
      </w:r>
      <w:r w:rsidR="00FB7034" w:rsidRPr="007F6B68">
        <w:t xml:space="preserve">Moreover, the entry into force of these arrangements problematically hinges on findings that the person lacks </w:t>
      </w:r>
      <w:r w:rsidR="00F1069C" w:rsidRPr="007F6B68">
        <w:t xml:space="preserve">mental </w:t>
      </w:r>
      <w:r w:rsidR="00FB7034" w:rsidRPr="007F6B68">
        <w:t>capacity</w:t>
      </w:r>
      <w:r w:rsidR="006F0B66" w:rsidRPr="007F6B68">
        <w:t xml:space="preserve"> - a</w:t>
      </w:r>
      <w:r w:rsidR="009616D9" w:rsidRPr="007F6B68">
        <w:t xml:space="preserve">ppointers </w:t>
      </w:r>
      <w:proofErr w:type="gramStart"/>
      <w:r w:rsidR="004E5C47" w:rsidRPr="007F6B68">
        <w:t>are not given</w:t>
      </w:r>
      <w:proofErr w:type="gramEnd"/>
      <w:r w:rsidR="004E5C47" w:rsidRPr="007F6B68">
        <w:t xml:space="preserve"> </w:t>
      </w:r>
      <w:r w:rsidR="009616D9" w:rsidRPr="007F6B68">
        <w:t>the freedom to decide the exact point at which the</w:t>
      </w:r>
      <w:r w:rsidR="00E412A8" w:rsidRPr="007F6B68">
        <w:t>se</w:t>
      </w:r>
      <w:r w:rsidR="009616D9" w:rsidRPr="007F6B68">
        <w:t xml:space="preserve"> arrangements come into effect.</w:t>
      </w:r>
      <w:r w:rsidR="008E59AA" w:rsidRPr="007F6B68">
        <w:rPr>
          <w:rStyle w:val="FootnoteReference"/>
        </w:rPr>
        <w:footnoteReference w:id="660"/>
      </w:r>
      <w:r w:rsidR="009616D9" w:rsidRPr="007F6B68">
        <w:t xml:space="preserve"> </w:t>
      </w:r>
      <w:r w:rsidRPr="007F6B68">
        <w:t xml:space="preserve">These measures </w:t>
      </w:r>
      <w:proofErr w:type="gramStart"/>
      <w:r w:rsidRPr="007F6B68">
        <w:t>do, however, provide</w:t>
      </w:r>
      <w:proofErr w:type="gramEnd"/>
      <w:r w:rsidRPr="007F6B68">
        <w:t xml:space="preserve"> a way for the will and preferences of individuals to be followed.</w:t>
      </w:r>
    </w:p>
    <w:p w14:paraId="0FB58BCD" w14:textId="77777777" w:rsidR="00D97EFC" w:rsidRPr="007F6B68" w:rsidRDefault="00D97EFC" w:rsidP="00D97EFC"/>
    <w:p w14:paraId="42C0ECBF" w14:textId="06F68220" w:rsidR="00D97EFC" w:rsidRPr="002A28E1" w:rsidRDefault="00D97EFC" w:rsidP="00D97EFC">
      <w:r w:rsidRPr="007F6B68">
        <w:t>Overall, the</w:t>
      </w:r>
      <w:r w:rsidR="00FB7DED" w:rsidRPr="007F6B68">
        <w:t xml:space="preserve"> Irish</w:t>
      </w:r>
      <w:r w:rsidRPr="007F6B68">
        <w:t xml:space="preserve"> Act</w:t>
      </w:r>
      <w:r w:rsidRPr="002A28E1">
        <w:t xml:space="preserve"> does seem to fall into line with Article 12 with respect to its emphasis on upholding the “will and preferences” of the individual. The fact that even substitute decision-makers under the Act are called upon to ascertain the will and preferences of the affected person demonstrates that even Ireland’s substitute decision-making model has been shifted away from the traditional “best interests” paradigm.</w:t>
      </w:r>
      <w:r w:rsidR="00A61347">
        <w:t xml:space="preserve"> Nevertheless, it would seem that </w:t>
      </w:r>
      <w:r w:rsidR="00D37C56">
        <w:t xml:space="preserve">representatives are not </w:t>
      </w:r>
      <w:r w:rsidR="00CB6FBA">
        <w:t xml:space="preserve">strictly </w:t>
      </w:r>
      <w:r w:rsidR="00D37C56">
        <w:t xml:space="preserve">bound </w:t>
      </w:r>
      <w:r w:rsidR="00BB2A04">
        <w:t>to uphold the will and preferences of the given person.</w:t>
      </w:r>
      <w:r w:rsidR="00BB2A04">
        <w:rPr>
          <w:rStyle w:val="FootnoteReference"/>
        </w:rPr>
        <w:footnoteReference w:id="661"/>
      </w:r>
    </w:p>
    <w:p w14:paraId="7E473AD8" w14:textId="77777777" w:rsidR="00D97EFC" w:rsidRPr="002A28E1" w:rsidRDefault="00D97EFC" w:rsidP="00D97EFC"/>
    <w:p w14:paraId="0DA95A0C" w14:textId="4B505C4C" w:rsidR="00D97EFC" w:rsidRPr="002A28E1" w:rsidRDefault="00DB7301" w:rsidP="00D97EFC">
      <w:r>
        <w:t>Notably</w:t>
      </w:r>
      <w:r w:rsidR="00D97EFC" w:rsidRPr="002A28E1">
        <w:t xml:space="preserve">, the Irish Act does include safeguards geared towards ensuring respect for the rights, will and preferences of the person and preventing abuse. For instance, the UN Special Rapporteur on disability rights lauded the safeguard present in the Irish legislation allowing </w:t>
      </w:r>
      <w:proofErr w:type="gramStart"/>
      <w:r w:rsidR="00D97EFC" w:rsidRPr="002A28E1">
        <w:t>for any</w:t>
      </w:r>
      <w:proofErr w:type="gramEnd"/>
      <w:r w:rsidR="00D97EFC" w:rsidRPr="002A28E1">
        <w:t xml:space="preserve"> person to file an administrative complaint against a support person.</w:t>
      </w:r>
      <w:r w:rsidR="00D97EFC" w:rsidRPr="002A28E1">
        <w:rPr>
          <w:rStyle w:val="FootnoteReference"/>
        </w:rPr>
        <w:footnoteReference w:id="662"/>
      </w:r>
      <w:r w:rsidR="00D97EFC" w:rsidRPr="002A28E1">
        <w:t xml:space="preserve"> </w:t>
      </w:r>
      <w:r w:rsidR="00102769" w:rsidRPr="002A28E1">
        <w:t xml:space="preserve">Nevertheless, Ireland’s reform is </w:t>
      </w:r>
      <w:r w:rsidR="00070809" w:rsidRPr="002A28E1">
        <w:t>undoubtedly</w:t>
      </w:r>
      <w:r w:rsidR="00102769" w:rsidRPr="002A28E1">
        <w:t xml:space="preserve"> incomplete, with the retention </w:t>
      </w:r>
      <w:r w:rsidR="006A5373" w:rsidRPr="002A28E1">
        <w:t xml:space="preserve">of court declarations of incapacity </w:t>
      </w:r>
      <w:r w:rsidR="00404B3D" w:rsidRPr="002A28E1">
        <w:t>as well as</w:t>
      </w:r>
      <w:r w:rsidR="006A5373" w:rsidRPr="002A28E1">
        <w:t xml:space="preserve"> </w:t>
      </w:r>
      <w:r w:rsidR="00F50DF3">
        <w:t>a regime of substitute decision-making</w:t>
      </w:r>
      <w:r w:rsidR="00070809" w:rsidRPr="002A28E1">
        <w:t xml:space="preserve"> </w:t>
      </w:r>
      <w:r w:rsidR="00362505">
        <w:t>representing</w:t>
      </w:r>
      <w:r w:rsidR="00070809" w:rsidRPr="002A28E1">
        <w:t xml:space="preserve"> flaws </w:t>
      </w:r>
      <w:r w:rsidR="00654305" w:rsidRPr="002A28E1">
        <w:t>from the perspective of Article 12.</w:t>
      </w:r>
    </w:p>
    <w:p w14:paraId="34F02F4A" w14:textId="77777777" w:rsidR="00D97EFC" w:rsidRPr="002A28E1" w:rsidRDefault="00D97EFC" w:rsidP="00D97EFC">
      <w:r w:rsidRPr="002A28E1">
        <w:br w:type="page"/>
      </w:r>
    </w:p>
    <w:p w14:paraId="5DDFC39A" w14:textId="3F918D0E" w:rsidR="00DD06B2" w:rsidRPr="002A28E1" w:rsidRDefault="00560FCB" w:rsidP="007F2316">
      <w:pPr>
        <w:pStyle w:val="Heading1"/>
      </w:pPr>
      <w:bookmarkStart w:id="81" w:name="_Toc16081764"/>
      <w:r w:rsidRPr="00FD737C">
        <w:lastRenderedPageBreak/>
        <w:t>Austria</w:t>
      </w:r>
      <w:bookmarkEnd w:id="81"/>
    </w:p>
    <w:p w14:paraId="0ECEE8C9" w14:textId="3D83F503" w:rsidR="002A33F3" w:rsidRPr="002A28E1" w:rsidRDefault="00404C35">
      <w:r w:rsidRPr="008B5674">
        <w:t xml:space="preserve">In 2017, Austria’s Parliament unanimously </w:t>
      </w:r>
      <w:r w:rsidR="006D5ABB" w:rsidRPr="008B5674">
        <w:t xml:space="preserve">adopted </w:t>
      </w:r>
      <w:r w:rsidR="003407F4" w:rsidRPr="008B5674">
        <w:t xml:space="preserve">the </w:t>
      </w:r>
      <w:r w:rsidR="00CA6E1B" w:rsidRPr="008B5674">
        <w:t>second Adult Protection Law (2.ErwSChG)</w:t>
      </w:r>
      <w:r w:rsidR="004E12D4">
        <w:t>,</w:t>
      </w:r>
      <w:bookmarkStart w:id="82" w:name="_Ref15302271"/>
      <w:r w:rsidR="004E12D4" w:rsidRPr="008B5674">
        <w:rPr>
          <w:rStyle w:val="FootnoteReference"/>
        </w:rPr>
        <w:footnoteReference w:id="663"/>
      </w:r>
      <w:bookmarkEnd w:id="82"/>
      <w:r w:rsidR="00A620AB" w:rsidRPr="008B5674">
        <w:t xml:space="preserve"> </w:t>
      </w:r>
      <w:r w:rsidR="00245CF4" w:rsidRPr="008B5674">
        <w:t>a piece of legislation</w:t>
      </w:r>
      <w:r w:rsidR="00A620AB" w:rsidRPr="008B5674">
        <w:t xml:space="preserve"> </w:t>
      </w:r>
      <w:r w:rsidR="003138A2">
        <w:t>appearing</w:t>
      </w:r>
      <w:r w:rsidR="008D78F0">
        <w:t xml:space="preserve"> to</w:t>
      </w:r>
      <w:r w:rsidR="00724E55" w:rsidRPr="008B5674">
        <w:t xml:space="preserve"> </w:t>
      </w:r>
      <w:r w:rsidR="00A62692" w:rsidRPr="008B5674">
        <w:t>embody</w:t>
      </w:r>
      <w:r w:rsidR="00A7046F" w:rsidRPr="008B5674">
        <w:t xml:space="preserve"> the spirit of supported decision-making.</w:t>
      </w:r>
      <w:bookmarkStart w:id="83" w:name="_Ref15302420"/>
      <w:r w:rsidR="00C10226">
        <w:rPr>
          <w:rStyle w:val="FootnoteReference"/>
        </w:rPr>
        <w:footnoteReference w:id="664"/>
      </w:r>
      <w:bookmarkEnd w:id="83"/>
      <w:r w:rsidR="00DF4191" w:rsidRPr="008B5674">
        <w:t xml:space="preserve"> </w:t>
      </w:r>
      <w:r w:rsidR="00224B25" w:rsidRPr="008B5674">
        <w:t xml:space="preserve">The new law </w:t>
      </w:r>
      <w:r w:rsidR="00644C0D" w:rsidRPr="008B5674">
        <w:t xml:space="preserve">is </w:t>
      </w:r>
      <w:r w:rsidR="00224B25" w:rsidRPr="008B5674">
        <w:t>purpor</w:t>
      </w:r>
      <w:r w:rsidR="00076E8F" w:rsidRPr="008B5674">
        <w:t>ted</w:t>
      </w:r>
      <w:r w:rsidR="00644C0D" w:rsidRPr="008B5674">
        <w:t>ly</w:t>
      </w:r>
      <w:r w:rsidR="00224B25" w:rsidRPr="008B5674">
        <w:t xml:space="preserve"> </w:t>
      </w:r>
      <w:r w:rsidR="005B173A" w:rsidRPr="008B5674">
        <w:t>“</w:t>
      </w:r>
      <w:r w:rsidR="0080495B" w:rsidRPr="008B5674">
        <w:t xml:space="preserve">centered </w:t>
      </w:r>
      <w:r w:rsidR="00486E3E" w:rsidRPr="008B5674">
        <w:t xml:space="preserve">on </w:t>
      </w:r>
      <w:r w:rsidR="005B173A" w:rsidRPr="008B5674">
        <w:t xml:space="preserve">autonomy, self-determination </w:t>
      </w:r>
      <w:r w:rsidR="007F7DEB" w:rsidRPr="008B5674">
        <w:t xml:space="preserve">and decision-making </w:t>
      </w:r>
      <w:r w:rsidR="00514337" w:rsidRPr="008B5674">
        <w:t>guidance of those concerned.”</w:t>
      </w:r>
      <w:r w:rsidR="00514337" w:rsidRPr="008B5674">
        <w:rPr>
          <w:rStyle w:val="FootnoteReference"/>
        </w:rPr>
        <w:footnoteReference w:id="665"/>
      </w:r>
      <w:r w:rsidR="00954A36" w:rsidRPr="008B5674">
        <w:t xml:space="preserve"> </w:t>
      </w:r>
      <w:r w:rsidR="00DF4191" w:rsidRPr="008B5674">
        <w:t>The</w:t>
      </w:r>
      <w:r w:rsidR="00130DAA" w:rsidRPr="008B5674">
        <w:t xml:space="preserve"> new</w:t>
      </w:r>
      <w:r w:rsidR="00DF4191" w:rsidRPr="008B5674">
        <w:t xml:space="preserve"> </w:t>
      </w:r>
      <w:r w:rsidR="00EB0AD7" w:rsidRPr="008B5674">
        <w:t>Adult Protection Law</w:t>
      </w:r>
      <w:r w:rsidR="00DF4191" w:rsidRPr="008B5674">
        <w:t xml:space="preserve"> entered into force in 2018.</w:t>
      </w:r>
      <w:r w:rsidR="00AD1740" w:rsidRPr="008B5674">
        <w:rPr>
          <w:rStyle w:val="FootnoteReference"/>
        </w:rPr>
        <w:footnoteReference w:id="666"/>
      </w:r>
    </w:p>
    <w:p w14:paraId="485B82E9" w14:textId="77777777" w:rsidR="00311BD9" w:rsidRPr="002A28E1" w:rsidRDefault="00311BD9"/>
    <w:p w14:paraId="339107B9" w14:textId="2E922CB6" w:rsidR="00DD06B2" w:rsidRDefault="008B3F51">
      <w:pPr>
        <w:rPr>
          <w:highlight w:val="lightGray"/>
        </w:rPr>
      </w:pPr>
      <w:r w:rsidRPr="002A28E1">
        <w:t>Austria ratified the CRPD in 2008.</w:t>
      </w:r>
      <w:r w:rsidR="004F0CDE">
        <w:rPr>
          <w:rStyle w:val="FootnoteReference"/>
        </w:rPr>
        <w:footnoteReference w:id="667"/>
      </w:r>
      <w:r w:rsidR="00584D1D" w:rsidRPr="002A28E1">
        <w:t xml:space="preserve"> </w:t>
      </w:r>
      <w:r w:rsidR="00556DF1" w:rsidRPr="002A28E1">
        <w:t>In 2013, the CRPD Committee</w:t>
      </w:r>
      <w:r w:rsidR="00EE12FE" w:rsidRPr="002A28E1">
        <w:t xml:space="preserve"> </w:t>
      </w:r>
      <w:r w:rsidR="00C06E20" w:rsidRPr="002A28E1">
        <w:t xml:space="preserve">referred to Austria’s guardianship laws </w:t>
      </w:r>
      <w:r w:rsidR="00200ED6" w:rsidRPr="002A28E1">
        <w:t xml:space="preserve">as </w:t>
      </w:r>
      <w:r w:rsidR="003C72B9" w:rsidRPr="002A28E1">
        <w:t>“old-fashioned</w:t>
      </w:r>
      <w:r w:rsidR="000271DE" w:rsidRPr="002A28E1">
        <w:t xml:space="preserve"> and out-of-step with the provisions of </w:t>
      </w:r>
      <w:r w:rsidR="009D724A" w:rsidRPr="002A28E1">
        <w:t>A</w:t>
      </w:r>
      <w:r w:rsidR="000271DE" w:rsidRPr="002A28E1">
        <w:t>rticle 12 of the Convention.”</w:t>
      </w:r>
      <w:r w:rsidR="00785419" w:rsidRPr="002A28E1">
        <w:rPr>
          <w:rStyle w:val="FootnoteReference"/>
        </w:rPr>
        <w:footnoteReference w:id="668"/>
      </w:r>
      <w:r w:rsidR="001977AB" w:rsidRPr="002A28E1">
        <w:t xml:space="preserve"> </w:t>
      </w:r>
      <w:r w:rsidR="00600788" w:rsidRPr="002A28E1">
        <w:t>T</w:t>
      </w:r>
      <w:r w:rsidR="00C96E7C" w:rsidRPr="002A28E1">
        <w:t>he Ministry of Justice</w:t>
      </w:r>
      <w:r w:rsidR="000E1F7C" w:rsidRPr="002A28E1">
        <w:t xml:space="preserve"> responded to these criticisms by</w:t>
      </w:r>
      <w:r w:rsidR="00C96E7C" w:rsidRPr="002A28E1">
        <w:t xml:space="preserve"> </w:t>
      </w:r>
      <w:r w:rsidR="001021DC" w:rsidRPr="002A28E1">
        <w:t>initi</w:t>
      </w:r>
      <w:r w:rsidR="00CF2FD6" w:rsidRPr="002A28E1">
        <w:t>ating</w:t>
      </w:r>
      <w:r w:rsidR="001021DC" w:rsidRPr="002A28E1">
        <w:t xml:space="preserve"> </w:t>
      </w:r>
      <w:r w:rsidR="006B30FF" w:rsidRPr="002A28E1">
        <w:t>a</w:t>
      </w:r>
      <w:r w:rsidR="00E50E30" w:rsidRPr="002A28E1">
        <w:t xml:space="preserve"> </w:t>
      </w:r>
      <w:r w:rsidR="00080F8F" w:rsidRPr="002A28E1">
        <w:t xml:space="preserve">process to reform </w:t>
      </w:r>
      <w:r w:rsidR="005F310E" w:rsidRPr="002A28E1">
        <w:t>Austria’s</w:t>
      </w:r>
      <w:r w:rsidR="000D5007" w:rsidRPr="002A28E1">
        <w:t xml:space="preserve"> guardianship law</w:t>
      </w:r>
      <w:r w:rsidR="00FE26F2" w:rsidRPr="002A28E1">
        <w:t xml:space="preserve"> in 2014</w:t>
      </w:r>
      <w:r w:rsidR="000D5007" w:rsidRPr="002A28E1">
        <w:t>.</w:t>
      </w:r>
      <w:bookmarkStart w:id="84" w:name="_Ref15302839"/>
      <w:r w:rsidR="00ED6D46">
        <w:rPr>
          <w:rStyle w:val="FootnoteReference"/>
        </w:rPr>
        <w:footnoteReference w:id="669"/>
      </w:r>
      <w:bookmarkEnd w:id="84"/>
      <w:r w:rsidR="008D6A4A" w:rsidRPr="002A28E1">
        <w:t xml:space="preserve"> A </w:t>
      </w:r>
      <w:r w:rsidR="006E00E8" w:rsidRPr="002A28E1">
        <w:t>variety</w:t>
      </w:r>
      <w:r w:rsidR="008D6A4A" w:rsidRPr="002A28E1">
        <w:t xml:space="preserve"> of </w:t>
      </w:r>
      <w:r w:rsidR="00E17625" w:rsidRPr="002A28E1">
        <w:t>individuals</w:t>
      </w:r>
      <w:r w:rsidR="008D6A4A" w:rsidRPr="002A28E1">
        <w:t xml:space="preserve"> and groups were included in this process</w:t>
      </w:r>
      <w:r w:rsidR="00536BDB" w:rsidRPr="002A28E1">
        <w:t>, including</w:t>
      </w:r>
      <w:r w:rsidR="008128CE" w:rsidRPr="002A28E1">
        <w:t xml:space="preserve"> </w:t>
      </w:r>
      <w:r w:rsidR="0084480D" w:rsidRPr="002A28E1">
        <w:t>persons</w:t>
      </w:r>
      <w:r w:rsidR="007E45A9" w:rsidRPr="002A28E1">
        <w:t xml:space="preserve"> with disabilities</w:t>
      </w:r>
      <w:r w:rsidR="008128CE" w:rsidRPr="002A28E1">
        <w:t>,</w:t>
      </w:r>
      <w:r w:rsidR="00536BDB" w:rsidRPr="002A28E1">
        <w:t xml:space="preserve"> the courts, lawyers and notaries, </w:t>
      </w:r>
      <w:r w:rsidR="00391717" w:rsidRPr="002A28E1">
        <w:t xml:space="preserve">organisations representing </w:t>
      </w:r>
      <w:r w:rsidR="00A53AD9" w:rsidRPr="002A28E1">
        <w:t>persons</w:t>
      </w:r>
      <w:r w:rsidR="00391717" w:rsidRPr="002A28E1">
        <w:t xml:space="preserve"> with disabilities, senior citizens’ representatives, representatives of residential homes, guardians’ associations, the Austrian Ombudsman Board, as well as employer and employee </w:t>
      </w:r>
      <w:r w:rsidR="00D36465" w:rsidRPr="002A28E1">
        <w:t>associations</w:t>
      </w:r>
      <w:r w:rsidR="000C6D63" w:rsidRPr="002A28E1">
        <w:t>.</w:t>
      </w:r>
      <w:r w:rsidR="00976146">
        <w:rPr>
          <w:rStyle w:val="FootnoteReference"/>
        </w:rPr>
        <w:footnoteReference w:id="670"/>
      </w:r>
      <w:r w:rsidR="000C6D63" w:rsidRPr="002A28E1">
        <w:t xml:space="preserve"> </w:t>
      </w:r>
      <w:r w:rsidR="00513E6A" w:rsidRPr="002A28E1">
        <w:t>This range of stakeholders</w:t>
      </w:r>
      <w:r w:rsidR="00CA095F" w:rsidRPr="002A28E1">
        <w:t xml:space="preserve"> participated in discussions and working parties.</w:t>
      </w:r>
      <w:r w:rsidR="00E77744">
        <w:rPr>
          <w:rStyle w:val="FootnoteReference"/>
        </w:rPr>
        <w:footnoteReference w:id="671"/>
      </w:r>
      <w:r w:rsidR="00B23D14" w:rsidRPr="002A28E1">
        <w:t xml:space="preserve"> </w:t>
      </w:r>
      <w:r w:rsidR="00D3337F" w:rsidRPr="002A28E1">
        <w:t xml:space="preserve">In parallel to </w:t>
      </w:r>
      <w:r w:rsidR="00346E31" w:rsidRPr="002A28E1">
        <w:t>the</w:t>
      </w:r>
      <w:r w:rsidR="00D3337F" w:rsidRPr="002A28E1">
        <w:t xml:space="preserve"> legal reform work, </w:t>
      </w:r>
      <w:r w:rsidR="00346E31" w:rsidRPr="002A28E1">
        <w:t xml:space="preserve">the Ministry of Justice also </w:t>
      </w:r>
      <w:r w:rsidR="00FC69EA" w:rsidRPr="002A28E1">
        <w:t xml:space="preserve">started a pilot project </w:t>
      </w:r>
      <w:r w:rsidR="00ED4ECD" w:rsidRPr="002A28E1">
        <w:t xml:space="preserve">called “Support for </w:t>
      </w:r>
      <w:r w:rsidR="00ED4ECD" w:rsidRPr="006863E2">
        <w:t>Self-determination</w:t>
      </w:r>
      <w:r w:rsidR="008A0829" w:rsidRPr="006863E2">
        <w:t>,</w:t>
      </w:r>
      <w:r w:rsidR="00ED4ECD" w:rsidRPr="006863E2">
        <w:t>”</w:t>
      </w:r>
      <w:r w:rsidR="008A0829" w:rsidRPr="006863E2">
        <w:t xml:space="preserve"> </w:t>
      </w:r>
      <w:r w:rsidR="00DF506E" w:rsidRPr="006863E2">
        <w:t>which</w:t>
      </w:r>
      <w:r w:rsidR="00BC75ED" w:rsidRPr="006863E2">
        <w:t xml:space="preserve"> was executed between 2014 and 2015 at 18 courts in A</w:t>
      </w:r>
      <w:r w:rsidR="001148AE" w:rsidRPr="006863E2">
        <w:t>u</w:t>
      </w:r>
      <w:r w:rsidR="00BC75ED" w:rsidRPr="006863E2">
        <w:t>stria</w:t>
      </w:r>
      <w:r w:rsidR="00B0406F" w:rsidRPr="006863E2">
        <w:t>.</w:t>
      </w:r>
      <w:r w:rsidR="00877FA6" w:rsidRPr="006863E2">
        <w:rPr>
          <w:rStyle w:val="FootnoteReference"/>
        </w:rPr>
        <w:footnoteReference w:id="672"/>
      </w:r>
      <w:r w:rsidR="00B0406F" w:rsidRPr="006863E2">
        <w:t xml:space="preserve"> T</w:t>
      </w:r>
      <w:r w:rsidR="001148AE" w:rsidRPr="006863E2">
        <w:t xml:space="preserve">he goal </w:t>
      </w:r>
      <w:r w:rsidR="00D51DE4" w:rsidRPr="006863E2">
        <w:t>was</w:t>
      </w:r>
      <w:r w:rsidR="00F961B9" w:rsidRPr="006863E2">
        <w:t xml:space="preserve"> to</w:t>
      </w:r>
      <w:r w:rsidR="004D42AC" w:rsidRPr="006863E2">
        <w:t xml:space="preserve"> try to avoid the appointment of guardians by engaging a range of professionals such as psychologists and social workers</w:t>
      </w:r>
      <w:r w:rsidR="00A66358" w:rsidRPr="006863E2">
        <w:t xml:space="preserve"> to </w:t>
      </w:r>
      <w:r w:rsidR="002F3F9C" w:rsidRPr="006863E2">
        <w:t>investigate</w:t>
      </w:r>
      <w:r w:rsidR="00144EE5" w:rsidRPr="006863E2">
        <w:t xml:space="preserve"> alternatives to guardianship</w:t>
      </w:r>
      <w:r w:rsidR="004268DC" w:rsidRPr="006863E2">
        <w:t xml:space="preserve"> for </w:t>
      </w:r>
      <w:r w:rsidR="00892527" w:rsidRPr="006863E2">
        <w:t xml:space="preserve">the </w:t>
      </w:r>
      <w:r w:rsidR="00E55662" w:rsidRPr="006863E2">
        <w:t>affected person</w:t>
      </w:r>
      <w:r w:rsidR="00144EE5" w:rsidRPr="006863E2">
        <w:t xml:space="preserve"> </w:t>
      </w:r>
      <w:r w:rsidR="005E4F0E" w:rsidRPr="006863E2">
        <w:t>during</w:t>
      </w:r>
      <w:r w:rsidR="00BC6764" w:rsidRPr="006863E2">
        <w:t xml:space="preserve"> a lengthy pre-appointment</w:t>
      </w:r>
      <w:r w:rsidR="00D76A91" w:rsidRPr="006863E2">
        <w:t xml:space="preserve"> “clearing”</w:t>
      </w:r>
      <w:r w:rsidR="00BC6764" w:rsidRPr="006863E2">
        <w:t xml:space="preserve"> </w:t>
      </w:r>
      <w:r w:rsidR="00D814C5" w:rsidRPr="006863E2">
        <w:t>procedure</w:t>
      </w:r>
      <w:r w:rsidR="00BC6764" w:rsidRPr="006863E2">
        <w:t>.</w:t>
      </w:r>
      <w:r w:rsidR="004438D6" w:rsidRPr="006863E2">
        <w:rPr>
          <w:rStyle w:val="FootnoteReference"/>
        </w:rPr>
        <w:footnoteReference w:id="673"/>
      </w:r>
      <w:r w:rsidR="004249F6" w:rsidRPr="006863E2">
        <w:t xml:space="preserve"> The results of</w:t>
      </w:r>
      <w:r w:rsidR="00146242" w:rsidRPr="006863E2">
        <w:t xml:space="preserve"> this </w:t>
      </w:r>
      <w:r w:rsidR="00B16B41" w:rsidRPr="006863E2">
        <w:t xml:space="preserve">pilot project </w:t>
      </w:r>
      <w:proofErr w:type="gramStart"/>
      <w:r w:rsidR="00B4033A" w:rsidRPr="006863E2">
        <w:t xml:space="preserve">were </w:t>
      </w:r>
      <w:r w:rsidR="0004381B" w:rsidRPr="006863E2">
        <w:t>presented</w:t>
      </w:r>
      <w:proofErr w:type="gramEnd"/>
      <w:r w:rsidR="0004381B" w:rsidRPr="006863E2">
        <w:t xml:space="preserve"> in a research paper </w:t>
      </w:r>
      <w:r w:rsidR="00E50428" w:rsidRPr="006863E2">
        <w:t xml:space="preserve">prepared </w:t>
      </w:r>
      <w:r w:rsidR="0004381B" w:rsidRPr="006863E2">
        <w:t xml:space="preserve">by the </w:t>
      </w:r>
      <w:r w:rsidR="00E50428" w:rsidRPr="006863E2">
        <w:t xml:space="preserve">Austrian Institute for the Sociology of Law </w:t>
      </w:r>
      <w:r w:rsidR="006C3DB0" w:rsidRPr="006863E2">
        <w:t>and Criminology</w:t>
      </w:r>
      <w:r w:rsidR="008749FC" w:rsidRPr="006863E2">
        <w:t xml:space="preserve">, which is </w:t>
      </w:r>
      <w:r w:rsidR="00D84590" w:rsidRPr="006863E2">
        <w:t xml:space="preserve">viewed to have influenced </w:t>
      </w:r>
      <w:r w:rsidR="00371ED1" w:rsidRPr="006863E2">
        <w:t xml:space="preserve">the </w:t>
      </w:r>
      <w:r w:rsidR="00B1151B" w:rsidRPr="006863E2">
        <w:t>legislative reform.</w:t>
      </w:r>
      <w:r w:rsidR="00640B16" w:rsidRPr="006863E2">
        <w:rPr>
          <w:rStyle w:val="FootnoteReference"/>
        </w:rPr>
        <w:footnoteReference w:id="674"/>
      </w:r>
    </w:p>
    <w:p w14:paraId="17F4E71A" w14:textId="295291EF" w:rsidR="008B7991" w:rsidRDefault="008B7991"/>
    <w:p w14:paraId="5FB54E38" w14:textId="5CDC32B1" w:rsidR="008B7991" w:rsidRPr="002A28E1" w:rsidRDefault="008B7991">
      <w:r>
        <w:t xml:space="preserve">The </w:t>
      </w:r>
      <w:r w:rsidR="005233D3">
        <w:t>Adult Protection Law</w:t>
      </w:r>
      <w:r>
        <w:t xml:space="preserve"> stipulates that persons who are restricted in their decision-making capacity </w:t>
      </w:r>
      <w:proofErr w:type="gramStart"/>
      <w:r>
        <w:t>by reason of</w:t>
      </w:r>
      <w:proofErr w:type="gramEnd"/>
      <w:r>
        <w:t xml:space="preserve"> a mental illness or comparable impairment</w:t>
      </w:r>
      <w:r w:rsidR="00413374">
        <w:t xml:space="preserve"> should be able to </w:t>
      </w:r>
      <w:r w:rsidR="004F3B9D">
        <w:t xml:space="preserve">manage their affairs as independently as possible, with </w:t>
      </w:r>
      <w:r w:rsidR="00170F5E">
        <w:t>any support needed.</w:t>
      </w:r>
      <w:r w:rsidR="00EC0E61">
        <w:rPr>
          <w:rStyle w:val="FootnoteReference"/>
        </w:rPr>
        <w:footnoteReference w:id="675"/>
      </w:r>
      <w:r w:rsidR="00EC0E61">
        <w:t xml:space="preserve"> The Act proceeds to </w:t>
      </w:r>
      <w:r w:rsidR="00216CDA">
        <w:t>explain</w:t>
      </w:r>
      <w:r w:rsidR="00EC0E61">
        <w:t xml:space="preserve"> </w:t>
      </w:r>
      <w:r w:rsidR="00216CDA">
        <w:t>that</w:t>
      </w:r>
      <w:r w:rsidR="00EC0E61">
        <w:t xml:space="preserve"> </w:t>
      </w:r>
      <w:proofErr w:type="gramStart"/>
      <w:r w:rsidR="00216CDA">
        <w:t>support may be provided by family members</w:t>
      </w:r>
      <w:proofErr w:type="gramEnd"/>
      <w:r w:rsidR="00216CDA">
        <w:t>, care facilities,</w:t>
      </w:r>
      <w:r w:rsidR="00ED2482">
        <w:t xml:space="preserve"> social service institutions, peer groups, and counselling centers, among</w:t>
      </w:r>
      <w:r w:rsidR="00433D8C">
        <w:t xml:space="preserve"> other</w:t>
      </w:r>
      <w:r w:rsidR="00ED2482">
        <w:t xml:space="preserve"> sources.</w:t>
      </w:r>
      <w:r w:rsidR="00ED2482">
        <w:rPr>
          <w:rStyle w:val="FootnoteReference"/>
        </w:rPr>
        <w:footnoteReference w:id="676"/>
      </w:r>
      <w:r w:rsidR="00433D8C">
        <w:t xml:space="preserve"> </w:t>
      </w:r>
      <w:r w:rsidR="00E30CD0">
        <w:t xml:space="preserve">The law specifies that </w:t>
      </w:r>
      <w:r w:rsidR="00EA07AE">
        <w:t xml:space="preserve">a representative may only be appointed for persons if they provide for </w:t>
      </w:r>
      <w:proofErr w:type="gramStart"/>
      <w:r w:rsidR="00EA07AE">
        <w:t>this</w:t>
      </w:r>
      <w:proofErr w:type="gramEnd"/>
      <w:r w:rsidR="00EA07AE">
        <w:t xml:space="preserve"> themselves or if </w:t>
      </w:r>
      <w:r w:rsidR="008D1C43">
        <w:t>representation is required to protect their rights and interests.</w:t>
      </w:r>
      <w:r w:rsidR="008D1C43">
        <w:rPr>
          <w:rStyle w:val="FootnoteReference"/>
        </w:rPr>
        <w:footnoteReference w:id="677"/>
      </w:r>
      <w:r w:rsidR="00B21889">
        <w:t xml:space="preserve"> To the extent that a person receives adequate support</w:t>
      </w:r>
      <w:r w:rsidR="00A9610D">
        <w:t xml:space="preserve">, </w:t>
      </w:r>
      <w:r w:rsidR="00B313C5">
        <w:t xml:space="preserve">no adult representative </w:t>
      </w:r>
      <w:proofErr w:type="gramStart"/>
      <w:r w:rsidR="0074654F">
        <w:t>will be appointed</w:t>
      </w:r>
      <w:proofErr w:type="gramEnd"/>
      <w:r w:rsidR="0074654F">
        <w:t xml:space="preserve"> to act for them.</w:t>
      </w:r>
      <w:r w:rsidR="0074654F">
        <w:rPr>
          <w:rStyle w:val="FootnoteReference"/>
        </w:rPr>
        <w:footnoteReference w:id="678"/>
      </w:r>
      <w:r w:rsidR="00143880">
        <w:t xml:space="preserve"> The </w:t>
      </w:r>
      <w:r w:rsidR="00B40776">
        <w:t>law</w:t>
      </w:r>
      <w:r w:rsidR="00143880">
        <w:t xml:space="preserve"> also indicates that </w:t>
      </w:r>
      <w:r w:rsidR="00104D20">
        <w:t xml:space="preserve">where representation is in place, representatives should also seek to uphold the </w:t>
      </w:r>
      <w:r w:rsidR="005331E6">
        <w:t>autonomy</w:t>
      </w:r>
      <w:r w:rsidR="00104D20">
        <w:t xml:space="preserve"> of represented persons </w:t>
      </w:r>
      <w:r w:rsidR="00ED422F">
        <w:t>and to ensure that represented persons</w:t>
      </w:r>
      <w:r w:rsidR="00CA66D4">
        <w:t>, within</w:t>
      </w:r>
      <w:r w:rsidR="00EB1B37">
        <w:t xml:space="preserve"> </w:t>
      </w:r>
      <w:r w:rsidR="00CA66D4">
        <w:t xml:space="preserve">the scope of their abilities, are able to </w:t>
      </w:r>
      <w:r w:rsidR="00CB0E9B">
        <w:t>structure their living conditions</w:t>
      </w:r>
      <w:r w:rsidR="00B3500A">
        <w:t xml:space="preserve"> according to their own wishes and ideas.</w:t>
      </w:r>
      <w:r w:rsidR="00626048">
        <w:rPr>
          <w:rStyle w:val="FootnoteReference"/>
        </w:rPr>
        <w:footnoteReference w:id="679"/>
      </w:r>
    </w:p>
    <w:p w14:paraId="577B86D5" w14:textId="52608A9B" w:rsidR="00584D1D" w:rsidRPr="002A28E1" w:rsidRDefault="00584D1D"/>
    <w:p w14:paraId="05C2F2EA" w14:textId="6CD9C216" w:rsidR="00E53764" w:rsidRPr="002B259C" w:rsidRDefault="004E2DAB">
      <w:r w:rsidRPr="002A28E1">
        <w:t xml:space="preserve">The </w:t>
      </w:r>
      <w:r w:rsidR="00D75E05">
        <w:t>new legislation</w:t>
      </w:r>
      <w:r w:rsidRPr="002A28E1">
        <w:t xml:space="preserve"> introduces four “pillars” for representing adults</w:t>
      </w:r>
      <w:r w:rsidR="00D77031" w:rsidRPr="002A28E1">
        <w:t xml:space="preserve"> needing assistance</w:t>
      </w:r>
      <w:r w:rsidR="00E86E5E" w:rsidRPr="002A28E1">
        <w:t xml:space="preserve">: </w:t>
      </w:r>
      <w:r w:rsidR="007F6580" w:rsidRPr="002A28E1">
        <w:t xml:space="preserve">the </w:t>
      </w:r>
      <w:r w:rsidR="00E86E5E" w:rsidRPr="002A28E1">
        <w:t>enduring power of attorney, elective representation, statutory representation</w:t>
      </w:r>
      <w:r w:rsidR="00712713">
        <w:t>,</w:t>
      </w:r>
      <w:r w:rsidR="00E86E5E" w:rsidRPr="002A28E1">
        <w:t xml:space="preserve"> and court</w:t>
      </w:r>
      <w:r w:rsidR="00970785" w:rsidRPr="002A28E1">
        <w:t>-</w:t>
      </w:r>
      <w:r w:rsidR="00E86E5E" w:rsidRPr="002A28E1">
        <w:t xml:space="preserve">appointed </w:t>
      </w:r>
      <w:r w:rsidR="00F34E8C" w:rsidRPr="002A28E1">
        <w:t>representation</w:t>
      </w:r>
      <w:r w:rsidR="00D77031" w:rsidRPr="002A28E1">
        <w:t>.</w:t>
      </w:r>
      <w:r w:rsidR="00F34E8C" w:rsidRPr="002A28E1">
        <w:t xml:space="preserve"> </w:t>
      </w:r>
      <w:r w:rsidR="00C304B5" w:rsidRPr="002A28E1">
        <w:t>Agreements</w:t>
      </w:r>
      <w:r w:rsidR="007111C7" w:rsidRPr="002A28E1">
        <w:t xml:space="preserve"> under each of the four pillars</w:t>
      </w:r>
      <w:r w:rsidR="00272D00" w:rsidRPr="002A28E1">
        <w:t xml:space="preserve"> </w:t>
      </w:r>
      <w:proofErr w:type="gramStart"/>
      <w:r w:rsidR="00272D00" w:rsidRPr="002A28E1">
        <w:t xml:space="preserve">must be </w:t>
      </w:r>
      <w:r w:rsidR="00EB6F0E" w:rsidRPr="002A28E1">
        <w:t>recorded</w:t>
      </w:r>
      <w:proofErr w:type="gramEnd"/>
      <w:r w:rsidR="00EB6F0E" w:rsidRPr="002A28E1">
        <w:t xml:space="preserve"> in a </w:t>
      </w:r>
      <w:r w:rsidR="00214EFD" w:rsidRPr="002A28E1">
        <w:t xml:space="preserve">centralized </w:t>
      </w:r>
      <w:r w:rsidR="000317B7" w:rsidRPr="002A28E1">
        <w:t xml:space="preserve">national </w:t>
      </w:r>
      <w:r w:rsidR="00C95EA6" w:rsidRPr="002B259C">
        <w:t>register</w:t>
      </w:r>
      <w:r w:rsidR="00A927ED" w:rsidRPr="002B259C">
        <w:t xml:space="preserve"> managed by </w:t>
      </w:r>
      <w:r w:rsidR="00086A48" w:rsidRPr="002B259C">
        <w:t>notaries (</w:t>
      </w:r>
      <w:r w:rsidR="00DC799D" w:rsidRPr="002B259C">
        <w:t>the Central Austrian Representation Register).</w:t>
      </w:r>
      <w:r w:rsidR="00B73C67" w:rsidRPr="002B259C">
        <w:rPr>
          <w:rStyle w:val="FootnoteReference"/>
        </w:rPr>
        <w:footnoteReference w:id="680"/>
      </w:r>
      <w:r w:rsidR="00A53CCD" w:rsidRPr="002B259C">
        <w:t xml:space="preserve"> </w:t>
      </w:r>
      <w:r w:rsidR="00D77031" w:rsidRPr="002B259C">
        <w:t xml:space="preserve"> </w:t>
      </w:r>
    </w:p>
    <w:p w14:paraId="5E9FAD5F" w14:textId="77777777" w:rsidR="009C77B9" w:rsidRPr="002B259C" w:rsidRDefault="009C77B9"/>
    <w:p w14:paraId="59883902" w14:textId="00799D8F" w:rsidR="00E53764" w:rsidRPr="002A28E1" w:rsidRDefault="009C77B9">
      <w:pPr>
        <w:rPr>
          <w:highlight w:val="lightGray"/>
        </w:rPr>
      </w:pPr>
      <w:r w:rsidRPr="002B259C">
        <w:t xml:space="preserve">Those who have contractual capacity may </w:t>
      </w:r>
      <w:r w:rsidR="00D1207F" w:rsidRPr="002B259C">
        <w:t>create</w:t>
      </w:r>
      <w:r w:rsidRPr="002B259C">
        <w:t xml:space="preserve"> enduring powers of attorney</w:t>
      </w:r>
      <w:r w:rsidR="00377ED5" w:rsidRPr="002B259C">
        <w:t xml:space="preserve"> whereby they appoint a representative</w:t>
      </w:r>
      <w:r w:rsidR="00377ED5" w:rsidRPr="00490CB7">
        <w:t xml:space="preserve"> to act for them</w:t>
      </w:r>
      <w:r w:rsidRPr="00490CB7">
        <w:t>.</w:t>
      </w:r>
      <w:r w:rsidRPr="00490CB7">
        <w:rPr>
          <w:rStyle w:val="FootnoteReference"/>
        </w:rPr>
        <w:footnoteReference w:id="681"/>
      </w:r>
      <w:r w:rsidRPr="00490CB7">
        <w:t xml:space="preserve"> “E</w:t>
      </w:r>
      <w:r w:rsidR="008A54C6" w:rsidRPr="00490CB7">
        <w:t>nduring power</w:t>
      </w:r>
      <w:r w:rsidRPr="00490CB7">
        <w:t>s</w:t>
      </w:r>
      <w:r w:rsidR="008A54C6" w:rsidRPr="00490CB7">
        <w:t xml:space="preserve"> of attorney” </w:t>
      </w:r>
      <w:r w:rsidRPr="00490CB7">
        <w:t>may cover a range of matters - Austrian law does not restrict the scope of powers that an attorney may detain</w:t>
      </w:r>
      <w:r w:rsidR="00696C01" w:rsidRPr="00490CB7">
        <w:t>.</w:t>
      </w:r>
      <w:r w:rsidR="00963C3F" w:rsidRPr="00490CB7">
        <w:rPr>
          <w:rStyle w:val="FootnoteReference"/>
        </w:rPr>
        <w:footnoteReference w:id="682"/>
      </w:r>
      <w:r w:rsidR="004E743B" w:rsidRPr="00490CB7">
        <w:t xml:space="preserve"> Enduring powers of attorney may be set up with the assistance of a </w:t>
      </w:r>
      <w:r w:rsidR="0002037D" w:rsidRPr="00490CB7">
        <w:t>lawyer, notary, or employee of an adult representation agency.</w:t>
      </w:r>
      <w:r w:rsidR="00912D18" w:rsidRPr="00490CB7">
        <w:rPr>
          <w:rStyle w:val="FootnoteReference"/>
        </w:rPr>
        <w:footnoteReference w:id="683"/>
      </w:r>
      <w:r w:rsidR="00640D23" w:rsidRPr="00490CB7">
        <w:t xml:space="preserve"> </w:t>
      </w:r>
      <w:r w:rsidR="009B1162" w:rsidRPr="00490CB7">
        <w:t>An</w:t>
      </w:r>
      <w:r w:rsidR="005C4603" w:rsidRPr="00490CB7">
        <w:t xml:space="preserve"> enduring power of attorney enter</w:t>
      </w:r>
      <w:r w:rsidR="0038283F" w:rsidRPr="00490CB7">
        <w:t>s</w:t>
      </w:r>
      <w:r w:rsidR="005C4603" w:rsidRPr="00490CB7">
        <w:t xml:space="preserve"> into effect</w:t>
      </w:r>
      <w:r w:rsidR="00781C91" w:rsidRPr="00490CB7">
        <w:t xml:space="preserve"> when</w:t>
      </w:r>
      <w:r w:rsidR="005C4603" w:rsidRPr="00490CB7">
        <w:t xml:space="preserve"> the given person must </w:t>
      </w:r>
      <w:r w:rsidR="0013476E" w:rsidRPr="00490CB7">
        <w:t>is deemed to have</w:t>
      </w:r>
      <w:r w:rsidR="00FD11F2" w:rsidRPr="00490CB7">
        <w:t xml:space="preserve"> lost the ability </w:t>
      </w:r>
      <w:r w:rsidR="005C4603" w:rsidRPr="00490CB7">
        <w:t>to make their own decisions.</w:t>
      </w:r>
      <w:r w:rsidR="001A3435" w:rsidRPr="00490CB7">
        <w:rPr>
          <w:rStyle w:val="FootnoteReference"/>
        </w:rPr>
        <w:footnoteReference w:id="684"/>
      </w:r>
      <w:r w:rsidR="0036440E" w:rsidRPr="00490CB7">
        <w:t xml:space="preserve"> </w:t>
      </w:r>
      <w:r w:rsidR="00675773" w:rsidRPr="00490CB7">
        <w:t xml:space="preserve">A person under an enduring power of attorney </w:t>
      </w:r>
      <w:proofErr w:type="gramStart"/>
      <w:r w:rsidR="00675773" w:rsidRPr="00490CB7">
        <w:t>is not stripped</w:t>
      </w:r>
      <w:proofErr w:type="gramEnd"/>
      <w:r w:rsidR="00675773" w:rsidRPr="00490CB7">
        <w:t xml:space="preserve"> of their civil rights.</w:t>
      </w:r>
      <w:r w:rsidR="00675773" w:rsidRPr="00490CB7">
        <w:rPr>
          <w:rStyle w:val="FootnoteReference"/>
        </w:rPr>
        <w:footnoteReference w:id="685"/>
      </w:r>
      <w:r w:rsidR="00675773" w:rsidRPr="00490CB7">
        <w:t xml:space="preserve"> </w:t>
      </w:r>
      <w:r w:rsidR="0036440E" w:rsidRPr="00490CB7">
        <w:t>Judicial supervision over enduring powers of attorney generally only occurs</w:t>
      </w:r>
      <w:r w:rsidR="00E93BC8" w:rsidRPr="00490CB7">
        <w:t xml:space="preserve"> when there is a disagreement between the attorney and the </w:t>
      </w:r>
      <w:r w:rsidR="00080F52" w:rsidRPr="00490CB7">
        <w:t xml:space="preserve">appointer </w:t>
      </w:r>
      <w:proofErr w:type="gramStart"/>
      <w:r w:rsidR="00080F52" w:rsidRPr="00490CB7">
        <w:t>with regards to</w:t>
      </w:r>
      <w:proofErr w:type="gramEnd"/>
      <w:r w:rsidR="00080F52" w:rsidRPr="00490CB7">
        <w:t xml:space="preserve"> medical treatment.</w:t>
      </w:r>
      <w:r w:rsidR="007E2F69" w:rsidRPr="00490CB7">
        <w:rPr>
          <w:rStyle w:val="FootnoteReference"/>
        </w:rPr>
        <w:footnoteReference w:id="686"/>
      </w:r>
      <w:r w:rsidR="0036440E">
        <w:t xml:space="preserve"> </w:t>
      </w:r>
    </w:p>
    <w:p w14:paraId="4C2796BD" w14:textId="77777777" w:rsidR="00E53764" w:rsidRPr="0088745A" w:rsidRDefault="00E53764"/>
    <w:p w14:paraId="22AEC5E3" w14:textId="77777777" w:rsidR="001C2E95" w:rsidRDefault="005F1E81">
      <w:r w:rsidRPr="0088745A">
        <w:t>T</w:t>
      </w:r>
      <w:r w:rsidR="009431D1" w:rsidRPr="0088745A">
        <w:t>hose</w:t>
      </w:r>
      <w:r w:rsidR="00B92FE9" w:rsidRPr="0088745A">
        <w:t xml:space="preserve"> who do not </w:t>
      </w:r>
      <w:r w:rsidR="00EE1392" w:rsidRPr="0088745A">
        <w:t xml:space="preserve">have the requisite </w:t>
      </w:r>
      <w:r w:rsidR="00F80197" w:rsidRPr="0088745A">
        <w:t>contractual</w:t>
      </w:r>
      <w:r w:rsidR="00EE1392" w:rsidRPr="0088745A">
        <w:t xml:space="preserve"> capacity to </w:t>
      </w:r>
      <w:r w:rsidR="001A0243" w:rsidRPr="0088745A">
        <w:t>set up a power of attorney</w:t>
      </w:r>
      <w:r w:rsidR="00002396" w:rsidRPr="0088745A">
        <w:t xml:space="preserve">, but </w:t>
      </w:r>
      <w:r w:rsidR="006F7260" w:rsidRPr="0088745A">
        <w:t xml:space="preserve">who </w:t>
      </w:r>
      <w:r w:rsidR="00002396" w:rsidRPr="0088745A">
        <w:t xml:space="preserve">are still able to comprehend the </w:t>
      </w:r>
      <w:r w:rsidR="00ED1A96" w:rsidRPr="0088745A">
        <w:t xml:space="preserve">general </w:t>
      </w:r>
      <w:r w:rsidR="00002396" w:rsidRPr="0088745A">
        <w:t>meaning and consequences of a power of attorney</w:t>
      </w:r>
      <w:r w:rsidR="007114C8" w:rsidRPr="0088745A">
        <w:t xml:space="preserve"> and are able to express their will</w:t>
      </w:r>
      <w:r w:rsidR="00D561BB" w:rsidRPr="0088745A">
        <w:t>,</w:t>
      </w:r>
      <w:r w:rsidR="009221EA" w:rsidRPr="0088745A">
        <w:t xml:space="preserve"> </w:t>
      </w:r>
      <w:r w:rsidR="00D40AA2" w:rsidRPr="0088745A">
        <w:t>may opt for “elective representation</w:t>
      </w:r>
      <w:r w:rsidR="00D561BB" w:rsidRPr="0088745A">
        <w:t>.</w:t>
      </w:r>
      <w:r w:rsidR="00D40AA2" w:rsidRPr="0088745A">
        <w:t>”</w:t>
      </w:r>
      <w:r w:rsidR="00D561BB" w:rsidRPr="0088745A">
        <w:rPr>
          <w:rStyle w:val="FootnoteReference"/>
        </w:rPr>
        <w:footnoteReference w:id="687"/>
      </w:r>
      <w:r w:rsidR="00D40AA2" w:rsidRPr="0088745A">
        <w:t xml:space="preserve"> </w:t>
      </w:r>
      <w:r w:rsidR="00546782" w:rsidRPr="0088745A">
        <w:t xml:space="preserve">Under elective representation, </w:t>
      </w:r>
      <w:r w:rsidR="00D66D49" w:rsidRPr="0088745A">
        <w:t xml:space="preserve">a person </w:t>
      </w:r>
      <w:r w:rsidR="0008620F" w:rsidRPr="0088745A">
        <w:t>select</w:t>
      </w:r>
      <w:r w:rsidR="00D66D49" w:rsidRPr="0088745A">
        <w:t>s</w:t>
      </w:r>
      <w:r w:rsidR="0008620F" w:rsidRPr="0088745A">
        <w:t xml:space="preserve"> one or more trusted people</w:t>
      </w:r>
      <w:r w:rsidR="005F49F2" w:rsidRPr="0088745A">
        <w:t xml:space="preserve"> (friends or family members)</w:t>
      </w:r>
      <w:r w:rsidR="0008620F" w:rsidRPr="0088745A">
        <w:t xml:space="preserve"> to support and represent them.</w:t>
      </w:r>
      <w:r w:rsidR="002D710A" w:rsidRPr="0088745A">
        <w:t xml:space="preserve"> </w:t>
      </w:r>
      <w:r w:rsidR="00123694" w:rsidRPr="0088745A">
        <w:t>The representative’s powers may pertain to individual matters or specified types of affairs.</w:t>
      </w:r>
      <w:r w:rsidR="00123694" w:rsidRPr="0088745A">
        <w:rPr>
          <w:rStyle w:val="FootnoteReference"/>
        </w:rPr>
        <w:footnoteReference w:id="688"/>
      </w:r>
      <w:r w:rsidR="00123694" w:rsidRPr="0088745A">
        <w:t xml:space="preserve"> </w:t>
      </w:r>
      <w:r w:rsidR="002D710A" w:rsidRPr="0088745A">
        <w:t xml:space="preserve">An agreement </w:t>
      </w:r>
      <w:proofErr w:type="gramStart"/>
      <w:r w:rsidR="002D710A" w:rsidRPr="0088745A">
        <w:t xml:space="preserve">must be </w:t>
      </w:r>
      <w:r w:rsidR="00FA5BAE" w:rsidRPr="0088745A">
        <w:t>made</w:t>
      </w:r>
      <w:proofErr w:type="gramEnd"/>
      <w:r w:rsidR="00FA5BAE" w:rsidRPr="0088745A">
        <w:t xml:space="preserve"> in writing</w:t>
      </w:r>
      <w:r w:rsidR="00443B8C" w:rsidRPr="0088745A">
        <w:t xml:space="preserve"> before a notary, a lawyer or </w:t>
      </w:r>
      <w:r w:rsidR="00443B8C" w:rsidRPr="0088745A">
        <w:lastRenderedPageBreak/>
        <w:t>an employee of an adult representation agency.</w:t>
      </w:r>
      <w:r w:rsidR="00A242A2" w:rsidRPr="0088745A">
        <w:rPr>
          <w:rStyle w:val="FootnoteReference"/>
        </w:rPr>
        <w:footnoteReference w:id="689"/>
      </w:r>
      <w:r w:rsidR="00CF5424" w:rsidRPr="00CF5424">
        <w:t xml:space="preserve"> </w:t>
      </w:r>
      <w:proofErr w:type="gramStart"/>
      <w:r w:rsidR="00CF5424">
        <w:t>If a notary, lawyer or adult representation agency</w:t>
      </w:r>
      <w:r w:rsidR="004858FA">
        <w:t xml:space="preserve"> employee</w:t>
      </w:r>
      <w:r w:rsidR="00CF5424">
        <w:t xml:space="preserve"> has any “justified doubts” about whether a given arrangement fulfils the requirements</w:t>
      </w:r>
      <w:r w:rsidR="00AE0893">
        <w:t xml:space="preserve"> set out in law or</w:t>
      </w:r>
      <w:r w:rsidR="00CF5424">
        <w:t xml:space="preserve"> </w:t>
      </w:r>
      <w:r w:rsidR="00AE0893">
        <w:t>should they have</w:t>
      </w:r>
      <w:r w:rsidR="00CF5424">
        <w:t xml:space="preserve"> as any “justified doubts” about the suitability of a prospective representative, they must refuse registration and, if there is a reasonable risk to the well-being of the person concerned, they must notify the court.</w:t>
      </w:r>
      <w:r w:rsidR="00CF5424">
        <w:rPr>
          <w:rStyle w:val="FootnoteReference"/>
        </w:rPr>
        <w:footnoteReference w:id="690"/>
      </w:r>
      <w:proofErr w:type="gramEnd"/>
      <w:r w:rsidR="001C2E95">
        <w:t xml:space="preserve">  </w:t>
      </w:r>
      <w:r w:rsidR="00D32E3C" w:rsidRPr="0088745A">
        <w:t>An</w:t>
      </w:r>
      <w:r w:rsidR="00B94177" w:rsidRPr="0088745A">
        <w:t xml:space="preserve"> </w:t>
      </w:r>
      <w:r w:rsidR="00D32E3C" w:rsidRPr="0088745A">
        <w:t>elective representation agreement</w:t>
      </w:r>
      <w:r w:rsidR="00C117B5" w:rsidRPr="0088745A">
        <w:t xml:space="preserve"> remains in force in</w:t>
      </w:r>
      <w:r w:rsidR="00FD0B57" w:rsidRPr="0088745A">
        <w:t>definitely</w:t>
      </w:r>
      <w:r w:rsidR="00636A55" w:rsidRPr="0088745A">
        <w:t>.</w:t>
      </w:r>
      <w:r w:rsidR="00FD0B57" w:rsidRPr="0088745A">
        <w:rPr>
          <w:rStyle w:val="FootnoteReference"/>
        </w:rPr>
        <w:footnoteReference w:id="691"/>
      </w:r>
      <w:r w:rsidR="009F5096" w:rsidRPr="0088745A">
        <w:t xml:space="preserve"> The </w:t>
      </w:r>
      <w:r w:rsidR="0055602F" w:rsidRPr="0088745A">
        <w:t xml:space="preserve">courts supervise these </w:t>
      </w:r>
      <w:r w:rsidR="009F5096" w:rsidRPr="0088745A">
        <w:t xml:space="preserve">agreements </w:t>
      </w:r>
      <w:r w:rsidR="0055602F" w:rsidRPr="0088745A">
        <w:t>through ann</w:t>
      </w:r>
      <w:r w:rsidR="00EC21F9" w:rsidRPr="0088745A">
        <w:t>ual reports.</w:t>
      </w:r>
      <w:r w:rsidR="00693865" w:rsidRPr="0088745A">
        <w:rPr>
          <w:rStyle w:val="FootnoteReference"/>
        </w:rPr>
        <w:footnoteReference w:id="692"/>
      </w:r>
      <w:r w:rsidR="006067B6" w:rsidRPr="0088745A">
        <w:t xml:space="preserve"> </w:t>
      </w:r>
    </w:p>
    <w:p w14:paraId="29AC43D3" w14:textId="77777777" w:rsidR="001C2E95" w:rsidRDefault="001C2E95"/>
    <w:p w14:paraId="5CB23E50" w14:textId="7D36DC92" w:rsidR="004E2DAB" w:rsidRPr="0088745A" w:rsidRDefault="00D82396">
      <w:r w:rsidRPr="0088745A">
        <w:t>Austrian law</w:t>
      </w:r>
      <w:r w:rsidR="00343B9C" w:rsidRPr="0088745A">
        <w:t xml:space="preserve"> lays out</w:t>
      </w:r>
      <w:r w:rsidRPr="0088745A">
        <w:t xml:space="preserve"> </w:t>
      </w:r>
      <w:r w:rsidR="00194EBD" w:rsidRPr="0088745A">
        <w:t xml:space="preserve">three possible forms </w:t>
      </w:r>
      <w:r w:rsidR="0065294F" w:rsidRPr="0088745A">
        <w:t xml:space="preserve">of </w:t>
      </w:r>
      <w:r w:rsidR="00392C50" w:rsidRPr="0088745A">
        <w:t>elective representation agreement</w:t>
      </w:r>
      <w:r w:rsidR="009C067E" w:rsidRPr="0088745A">
        <w:t>s</w:t>
      </w:r>
      <w:r w:rsidR="00C22317" w:rsidRPr="0088745A">
        <w:t xml:space="preserve">. </w:t>
      </w:r>
      <w:r w:rsidR="002F430D" w:rsidRPr="0088745A">
        <w:t xml:space="preserve">Firstly, </w:t>
      </w:r>
      <w:r w:rsidR="005702F9" w:rsidRPr="0088745A">
        <w:t>with the</w:t>
      </w:r>
      <w:r w:rsidR="00B91BF6" w:rsidRPr="0088745A">
        <w:t xml:space="preserve"> “informational support</w:t>
      </w:r>
      <w:r w:rsidR="003B0110" w:rsidRPr="0088745A">
        <w:t>” option</w:t>
      </w:r>
      <w:r w:rsidR="00373077" w:rsidRPr="0088745A">
        <w:t xml:space="preserve">, a representative assists </w:t>
      </w:r>
      <w:r w:rsidR="00055635" w:rsidRPr="0088745A">
        <w:t xml:space="preserve">a person to </w:t>
      </w:r>
      <w:r w:rsidR="00FB5919" w:rsidRPr="0088745A">
        <w:t>come to</w:t>
      </w:r>
      <w:r w:rsidR="00055635" w:rsidRPr="0088745A">
        <w:t xml:space="preserve"> an informed decision</w:t>
      </w:r>
      <w:r w:rsidR="00F205E4" w:rsidRPr="00490CB7">
        <w:t>.</w:t>
      </w:r>
      <w:r w:rsidR="00954F83" w:rsidRPr="00490CB7">
        <w:rPr>
          <w:rStyle w:val="FootnoteReference"/>
        </w:rPr>
        <w:footnoteReference w:id="693"/>
      </w:r>
      <w:r w:rsidR="008317AC" w:rsidRPr="00490CB7">
        <w:t xml:space="preserve"> </w:t>
      </w:r>
      <w:r w:rsidR="003F51E1" w:rsidRPr="00490CB7">
        <w:t xml:space="preserve">The representative </w:t>
      </w:r>
      <w:proofErr w:type="gramStart"/>
      <w:r w:rsidR="003F51E1" w:rsidRPr="00490CB7">
        <w:t xml:space="preserve">is </w:t>
      </w:r>
      <w:r w:rsidR="00867F86" w:rsidRPr="00490CB7">
        <w:t>provided</w:t>
      </w:r>
      <w:proofErr w:type="gramEnd"/>
      <w:r w:rsidR="00867F86" w:rsidRPr="00490CB7">
        <w:t xml:space="preserve"> with access to the </w:t>
      </w:r>
      <w:r w:rsidR="0070398A" w:rsidRPr="00490CB7">
        <w:t>individual’s personal information</w:t>
      </w:r>
      <w:r w:rsidR="00B15330" w:rsidRPr="00490CB7">
        <w:t xml:space="preserve"> </w:t>
      </w:r>
      <w:r w:rsidR="00F17248" w:rsidRPr="00490CB7">
        <w:t>in the possession of clinics, schools, tax and welfare offices, banks and other third parties.</w:t>
      </w:r>
      <w:r w:rsidR="00BD3AE2" w:rsidRPr="00490CB7">
        <w:rPr>
          <w:rStyle w:val="FootnoteReference"/>
        </w:rPr>
        <w:footnoteReference w:id="694"/>
      </w:r>
      <w:r w:rsidR="00570691" w:rsidRPr="00490CB7">
        <w:t xml:space="preserve"> Next,</w:t>
      </w:r>
      <w:r w:rsidR="00075015" w:rsidRPr="00490CB7">
        <w:t xml:space="preserve"> “co-decision-making”</w:t>
      </w:r>
      <w:r w:rsidR="00075015" w:rsidRPr="0088745A">
        <w:t xml:space="preserve"> agreements</w:t>
      </w:r>
      <w:r w:rsidR="00E91866" w:rsidRPr="0088745A">
        <w:t xml:space="preserve"> </w:t>
      </w:r>
      <w:r w:rsidR="00920484" w:rsidRPr="0088745A">
        <w:t xml:space="preserve">may be signed, </w:t>
      </w:r>
      <w:r w:rsidR="008B1EBC" w:rsidRPr="0088745A">
        <w:t xml:space="preserve">specifying that the </w:t>
      </w:r>
      <w:r w:rsidR="000C226C" w:rsidRPr="0088745A">
        <w:t xml:space="preserve">representative cannot </w:t>
      </w:r>
      <w:r w:rsidR="00CE2BE6" w:rsidRPr="0088745A">
        <w:t>legally</w:t>
      </w:r>
      <w:r w:rsidR="000C226C" w:rsidRPr="0088745A">
        <w:t xml:space="preserve"> </w:t>
      </w:r>
      <w:r w:rsidR="00CE2BE6" w:rsidRPr="0088745A">
        <w:t xml:space="preserve">act </w:t>
      </w:r>
      <w:r w:rsidR="001B22AC" w:rsidRPr="0088745A">
        <w:t>without the consent of the concerned person.</w:t>
      </w:r>
      <w:r w:rsidR="00954F83" w:rsidRPr="0088745A">
        <w:rPr>
          <w:rStyle w:val="FootnoteReference"/>
        </w:rPr>
        <w:footnoteReference w:id="695"/>
      </w:r>
      <w:r w:rsidR="00E634B1" w:rsidRPr="0088745A">
        <w:t xml:space="preserve"> Finally, </w:t>
      </w:r>
      <w:r w:rsidR="00D1406E" w:rsidRPr="0088745A">
        <w:t xml:space="preserve">there is </w:t>
      </w:r>
      <w:r w:rsidR="00313315" w:rsidRPr="0088745A">
        <w:t xml:space="preserve">also </w:t>
      </w:r>
      <w:r w:rsidR="004574F7" w:rsidRPr="0088745A">
        <w:t xml:space="preserve">a possibility to agree to a “representative’s veto,” </w:t>
      </w:r>
      <w:r w:rsidR="00C17DDD" w:rsidRPr="0088745A">
        <w:t xml:space="preserve">in which a person is only </w:t>
      </w:r>
      <w:r w:rsidR="0009730F" w:rsidRPr="0088745A">
        <w:t xml:space="preserve">entitled to </w:t>
      </w:r>
      <w:r w:rsidR="006F70B7" w:rsidRPr="0088745A">
        <w:t>make legally valid acts with the</w:t>
      </w:r>
      <w:r w:rsidR="00CD4643" w:rsidRPr="0088745A">
        <w:t>ir</w:t>
      </w:r>
      <w:r w:rsidR="00505BE7" w:rsidRPr="0088745A">
        <w:t xml:space="preserve"> representative’s consent.</w:t>
      </w:r>
      <w:r w:rsidR="00954F83" w:rsidRPr="0088745A">
        <w:rPr>
          <w:rStyle w:val="FootnoteReference"/>
        </w:rPr>
        <w:footnoteReference w:id="696"/>
      </w:r>
      <w:r w:rsidR="006F705A" w:rsidRPr="0088745A">
        <w:t xml:space="preserve"> T</w:t>
      </w:r>
      <w:r w:rsidR="00221260" w:rsidRPr="0088745A">
        <w:t>he person</w:t>
      </w:r>
      <w:r w:rsidR="00490CB7">
        <w:t xml:space="preserve"> concerned</w:t>
      </w:r>
      <w:r w:rsidR="00221260" w:rsidRPr="0088745A">
        <w:t xml:space="preserve"> can </w:t>
      </w:r>
      <w:r w:rsidR="0042290E" w:rsidRPr="0088745A">
        <w:t xml:space="preserve">terminate the agreement </w:t>
      </w:r>
      <w:r w:rsidR="00044673">
        <w:t>at any moment.</w:t>
      </w:r>
      <w:r w:rsidR="00044673">
        <w:rPr>
          <w:rStyle w:val="FootnoteReference"/>
        </w:rPr>
        <w:footnoteReference w:id="697"/>
      </w:r>
    </w:p>
    <w:p w14:paraId="6508A476" w14:textId="179A40F9" w:rsidR="00E53764" w:rsidRPr="002A28E1" w:rsidRDefault="00E53764"/>
    <w:p w14:paraId="13BB5ED6" w14:textId="0D10775A" w:rsidR="00E53764" w:rsidRPr="002A28E1" w:rsidRDefault="00E53764">
      <w:r w:rsidRPr="002A28E1">
        <w:t>The third measure, “statutory representation”</w:t>
      </w:r>
      <w:r w:rsidR="0034269D">
        <w:t xml:space="preserve"> is intended for persons who are unable to manage their affairs without risk of harm to themselves </w:t>
      </w:r>
      <w:proofErr w:type="gramStart"/>
      <w:r w:rsidR="0034269D">
        <w:t>as a result</w:t>
      </w:r>
      <w:proofErr w:type="gramEnd"/>
      <w:r w:rsidR="0034269D">
        <w:t xml:space="preserve"> of a mental illness or other impairment in their decision-making capacity.</w:t>
      </w:r>
      <w:r w:rsidR="0034269D">
        <w:rPr>
          <w:rStyle w:val="FootnoteReference"/>
        </w:rPr>
        <w:footnoteReference w:id="698"/>
      </w:r>
      <w:r w:rsidRPr="002A28E1">
        <w:t xml:space="preserve"> </w:t>
      </w:r>
      <w:r w:rsidR="0034269D">
        <w:t xml:space="preserve">Under statutory representation, </w:t>
      </w:r>
      <w:r w:rsidR="00DD7F46" w:rsidRPr="002A28E1">
        <w:t xml:space="preserve">a relative of </w:t>
      </w:r>
      <w:r w:rsidR="00CB348A">
        <w:t xml:space="preserve">the person concerned </w:t>
      </w:r>
      <w:r w:rsidR="00AF1141" w:rsidRPr="002A28E1">
        <w:t>legally</w:t>
      </w:r>
      <w:r w:rsidR="00A131C4" w:rsidRPr="002A28E1">
        <w:t xml:space="preserve"> intervene</w:t>
      </w:r>
      <w:r w:rsidR="006F2D8B">
        <w:t>s</w:t>
      </w:r>
      <w:r w:rsidR="00A131C4" w:rsidRPr="002A28E1">
        <w:t xml:space="preserve"> to aid </w:t>
      </w:r>
      <w:r w:rsidR="00B41D32" w:rsidRPr="002A28E1">
        <w:t xml:space="preserve">and </w:t>
      </w:r>
      <w:r w:rsidR="00B41D32" w:rsidRPr="000E40B2">
        <w:t>represent</w:t>
      </w:r>
      <w:r w:rsidR="00AD7614" w:rsidRPr="000E40B2">
        <w:t xml:space="preserve"> the person.</w:t>
      </w:r>
      <w:r w:rsidR="006374A7" w:rsidRPr="000E40B2">
        <w:rPr>
          <w:rStyle w:val="FootnoteReference"/>
        </w:rPr>
        <w:footnoteReference w:id="699"/>
      </w:r>
      <w:r w:rsidR="00AD7614" w:rsidRPr="000E40B2">
        <w:t xml:space="preserve"> </w:t>
      </w:r>
      <w:r w:rsidR="00505C76" w:rsidRPr="000E40B2">
        <w:t xml:space="preserve">Statutory representation </w:t>
      </w:r>
      <w:r w:rsidR="00CF059A" w:rsidRPr="000E40B2">
        <w:t>can cover</w:t>
      </w:r>
      <w:r w:rsidR="00505C76" w:rsidRPr="000E40B2">
        <w:t xml:space="preserve"> </w:t>
      </w:r>
      <w:r w:rsidR="007C3E71" w:rsidRPr="000E40B2">
        <w:t xml:space="preserve">representation in administrative and court proceedings; administration of income, assets and liabilities; conclusion of legal transactions pertaining to care and support; decisions relating to medical treatment; </w:t>
      </w:r>
      <w:r w:rsidR="00D14851" w:rsidRPr="000E40B2">
        <w:t xml:space="preserve">decisions about place of residence; </w:t>
      </w:r>
      <w:r w:rsidR="008330F7" w:rsidRPr="000E40B2">
        <w:t xml:space="preserve">as well as other personal </w:t>
      </w:r>
      <w:r w:rsidR="00443EC8" w:rsidRPr="000E40B2">
        <w:t xml:space="preserve">matters </w:t>
      </w:r>
      <w:r w:rsidR="008330F7" w:rsidRPr="000E40B2">
        <w:t xml:space="preserve">and </w:t>
      </w:r>
      <w:r w:rsidR="00443EC8" w:rsidRPr="000E40B2">
        <w:t xml:space="preserve">other types of </w:t>
      </w:r>
      <w:r w:rsidR="008330F7" w:rsidRPr="000E40B2">
        <w:t xml:space="preserve">legal </w:t>
      </w:r>
      <w:r w:rsidR="00443EC8" w:rsidRPr="000E40B2">
        <w:t>transactions</w:t>
      </w:r>
      <w:r w:rsidR="00505C76" w:rsidRPr="000E40B2">
        <w:t>.</w:t>
      </w:r>
      <w:r w:rsidR="006374A7" w:rsidRPr="000E40B2">
        <w:rPr>
          <w:rStyle w:val="FootnoteReference"/>
        </w:rPr>
        <w:footnoteReference w:id="700"/>
      </w:r>
      <w:r w:rsidR="0013643E" w:rsidRPr="000E40B2">
        <w:t xml:space="preserve"> </w:t>
      </w:r>
      <w:proofErr w:type="gramStart"/>
      <w:r w:rsidR="00171965" w:rsidRPr="000E40B2">
        <w:t xml:space="preserve">The statutory representation must be entered into the </w:t>
      </w:r>
      <w:r w:rsidR="00C470C1" w:rsidRPr="000E40B2">
        <w:t>Central Austrian Representation Register by a notary</w:t>
      </w:r>
      <w:r w:rsidR="00C470C1">
        <w:t xml:space="preserve">, lawyer, or adult </w:t>
      </w:r>
      <w:r w:rsidR="00783AA0">
        <w:t>representation</w:t>
      </w:r>
      <w:r w:rsidR="00C470C1">
        <w:t xml:space="preserve"> </w:t>
      </w:r>
      <w:r w:rsidR="00783AA0">
        <w:t>agency</w:t>
      </w:r>
      <w:r w:rsidR="00C470C1">
        <w:t xml:space="preserve"> </w:t>
      </w:r>
      <w:r w:rsidR="004458C4">
        <w:t>staff member</w:t>
      </w:r>
      <w:proofErr w:type="gramEnd"/>
      <w:r w:rsidR="001609D3">
        <w:t>.</w:t>
      </w:r>
      <w:r w:rsidR="001609D3">
        <w:rPr>
          <w:rStyle w:val="FootnoteReference"/>
        </w:rPr>
        <w:footnoteReference w:id="701"/>
      </w:r>
      <w:r w:rsidR="004458C4">
        <w:t xml:space="preserve"> </w:t>
      </w:r>
      <w:r w:rsidR="00783AA0">
        <w:t xml:space="preserve">If a notary, lawyer or adult </w:t>
      </w:r>
      <w:r w:rsidR="00932913">
        <w:t xml:space="preserve">representation agency </w:t>
      </w:r>
      <w:r w:rsidR="004858FA">
        <w:t xml:space="preserve">employee </w:t>
      </w:r>
      <w:r w:rsidR="000001BB">
        <w:t xml:space="preserve">has any “justified doubts” </w:t>
      </w:r>
      <w:r w:rsidR="002D52BA">
        <w:t xml:space="preserve">about </w:t>
      </w:r>
      <w:r w:rsidR="00F51310">
        <w:t>whether a</w:t>
      </w:r>
      <w:r w:rsidR="00CE33AF">
        <w:t xml:space="preserve"> given </w:t>
      </w:r>
      <w:r w:rsidR="00F51310">
        <w:t>statutory</w:t>
      </w:r>
      <w:r w:rsidR="00CE33AF">
        <w:t xml:space="preserve"> representation arrangement</w:t>
      </w:r>
      <w:r w:rsidR="002526FB">
        <w:t xml:space="preserve"> fulfils the requirements</w:t>
      </w:r>
      <w:r w:rsidR="002D52BA">
        <w:t xml:space="preserve"> as well as any “justified doubts” about the suitability of a prospective adult representative, they must refuse registration </w:t>
      </w:r>
      <w:r w:rsidR="003E6F0C">
        <w:t>and, if there is a reasonable risk to the well-being of the person concerned,</w:t>
      </w:r>
      <w:r w:rsidR="00F07858">
        <w:t xml:space="preserve"> they must notify the court.</w:t>
      </w:r>
      <w:r w:rsidR="00AE0E6E">
        <w:rPr>
          <w:rStyle w:val="FootnoteReference"/>
        </w:rPr>
        <w:footnoteReference w:id="702"/>
      </w:r>
      <w:r w:rsidR="002526FB">
        <w:t xml:space="preserve"> </w:t>
      </w:r>
      <w:r w:rsidR="00CE33AF">
        <w:t xml:space="preserve"> </w:t>
      </w:r>
      <w:r w:rsidR="0013643E" w:rsidRPr="002A28E1">
        <w:t xml:space="preserve">Statutory representation </w:t>
      </w:r>
      <w:r w:rsidR="00AD09D7" w:rsidRPr="002A28E1">
        <w:t xml:space="preserve">measures </w:t>
      </w:r>
      <w:r w:rsidR="009927BF" w:rsidRPr="002A28E1">
        <w:t xml:space="preserve">may remain in force for up to three years, </w:t>
      </w:r>
      <w:r w:rsidR="00D10FD7" w:rsidRPr="002A28E1">
        <w:t>with the</w:t>
      </w:r>
      <w:r w:rsidR="004D24E4" w:rsidRPr="002A28E1">
        <w:t xml:space="preserve"> </w:t>
      </w:r>
      <w:r w:rsidR="00D10FD7" w:rsidRPr="002A28E1">
        <w:t>possibility for renewal.</w:t>
      </w:r>
      <w:r w:rsidR="003B26D9">
        <w:rPr>
          <w:rStyle w:val="FootnoteReference"/>
        </w:rPr>
        <w:footnoteReference w:id="703"/>
      </w:r>
      <w:r w:rsidR="00B950B7" w:rsidRPr="002A28E1">
        <w:t xml:space="preserve"> The affected person </w:t>
      </w:r>
      <w:proofErr w:type="gramStart"/>
      <w:r w:rsidR="00B950B7" w:rsidRPr="002A28E1">
        <w:t>is not stripped</w:t>
      </w:r>
      <w:proofErr w:type="gramEnd"/>
      <w:r w:rsidR="00B950B7" w:rsidRPr="002A28E1">
        <w:t xml:space="preserve"> of </w:t>
      </w:r>
      <w:r w:rsidR="00B950B7" w:rsidRPr="002A28E1">
        <w:lastRenderedPageBreak/>
        <w:t>their civil rights</w:t>
      </w:r>
      <w:r w:rsidR="00B950B7" w:rsidRPr="000E40B2">
        <w:t>.</w:t>
      </w:r>
      <w:r w:rsidR="005F640A" w:rsidRPr="000E40B2">
        <w:rPr>
          <w:rStyle w:val="FootnoteReference"/>
        </w:rPr>
        <w:footnoteReference w:id="704"/>
      </w:r>
      <w:r w:rsidR="00B950B7" w:rsidRPr="000E40B2">
        <w:t xml:space="preserve"> </w:t>
      </w:r>
      <w:r w:rsidR="004F199B" w:rsidRPr="000E40B2">
        <w:t xml:space="preserve">The </w:t>
      </w:r>
      <w:r w:rsidR="004D24E4" w:rsidRPr="000E40B2">
        <w:t xml:space="preserve">new law </w:t>
      </w:r>
      <w:r w:rsidR="001A1284" w:rsidRPr="000E40B2">
        <w:t xml:space="preserve">puts into place </w:t>
      </w:r>
      <w:r w:rsidR="00075A49" w:rsidRPr="000E40B2">
        <w:t>measure</w:t>
      </w:r>
      <w:r w:rsidR="008405CA" w:rsidRPr="000E40B2">
        <w:t>s for judicial supervision of statutory representatives</w:t>
      </w:r>
      <w:r w:rsidR="008300B4" w:rsidRPr="000E40B2">
        <w:t xml:space="preserve"> through the submission of annual reports</w:t>
      </w:r>
      <w:r w:rsidR="009E4228" w:rsidRPr="000E40B2">
        <w:t>.</w:t>
      </w:r>
      <w:r w:rsidR="000C189D" w:rsidRPr="000E40B2">
        <w:rPr>
          <w:rStyle w:val="FootnoteReference"/>
        </w:rPr>
        <w:footnoteReference w:id="705"/>
      </w:r>
      <w:r w:rsidR="00EC176B" w:rsidRPr="000E40B2">
        <w:t xml:space="preserve"> </w:t>
      </w:r>
    </w:p>
    <w:p w14:paraId="16E6E22D" w14:textId="327F981D" w:rsidR="009F0BF8" w:rsidRPr="002A28E1" w:rsidRDefault="009F0BF8"/>
    <w:p w14:paraId="4A7F2FA2" w14:textId="29EA8EF0" w:rsidR="00292465" w:rsidRDefault="009F0BF8">
      <w:r w:rsidRPr="002A28E1">
        <w:t xml:space="preserve">Finally, </w:t>
      </w:r>
      <w:r w:rsidR="00DD018D" w:rsidRPr="002A28E1">
        <w:t xml:space="preserve">“court-appointed representation” </w:t>
      </w:r>
      <w:r w:rsidR="00EF6D2E" w:rsidRPr="002A28E1">
        <w:t xml:space="preserve">replaces Austria’s previous </w:t>
      </w:r>
      <w:r w:rsidR="00C248F8" w:rsidRPr="002A28E1">
        <w:t>guardianship regime.</w:t>
      </w:r>
      <w:r w:rsidR="00C248F8" w:rsidRPr="002A28E1">
        <w:rPr>
          <w:rStyle w:val="FootnoteReference"/>
        </w:rPr>
        <w:footnoteReference w:id="706"/>
      </w:r>
      <w:r w:rsidR="00256FDF" w:rsidRPr="002A28E1">
        <w:t xml:space="preserve"> </w:t>
      </w:r>
      <w:r w:rsidR="007D6DEC">
        <w:t xml:space="preserve">The court may appoint </w:t>
      </w:r>
      <w:proofErr w:type="gramStart"/>
      <w:r w:rsidR="007D6DEC" w:rsidRPr="000E40B2">
        <w:t xml:space="preserve">a representative </w:t>
      </w:r>
      <w:r w:rsidR="00810958" w:rsidRPr="000E40B2">
        <w:t>at their</w:t>
      </w:r>
      <w:proofErr w:type="gramEnd"/>
      <w:r w:rsidR="00810958" w:rsidRPr="000E40B2">
        <w:t xml:space="preserve"> own </w:t>
      </w:r>
      <w:r w:rsidR="003C7B75" w:rsidRPr="000E40B2">
        <w:t>ini</w:t>
      </w:r>
      <w:r w:rsidR="00225B87" w:rsidRPr="000E40B2">
        <w:t>ti</w:t>
      </w:r>
      <w:r w:rsidR="003C7B75" w:rsidRPr="000E40B2">
        <w:t>ative</w:t>
      </w:r>
      <w:r w:rsidR="00810958" w:rsidRPr="000E40B2">
        <w:t xml:space="preserve"> or</w:t>
      </w:r>
      <w:r w:rsidR="00C37D0E" w:rsidRPr="000E40B2">
        <w:t xml:space="preserve"> </w:t>
      </w:r>
      <w:r w:rsidR="004A1A4C" w:rsidRPr="000E40B2">
        <w:t xml:space="preserve">upon </w:t>
      </w:r>
      <w:r w:rsidR="00C37D0E" w:rsidRPr="000E40B2">
        <w:t>the request of the person concerned</w:t>
      </w:r>
      <w:r w:rsidR="003C7B75" w:rsidRPr="000E40B2">
        <w:t>.</w:t>
      </w:r>
      <w:r w:rsidR="003C7B75" w:rsidRPr="000E40B2">
        <w:rPr>
          <w:rStyle w:val="FootnoteReference"/>
        </w:rPr>
        <w:footnoteReference w:id="707"/>
      </w:r>
      <w:r w:rsidR="00180E59" w:rsidRPr="000E40B2">
        <w:t xml:space="preserve"> This arrangement </w:t>
      </w:r>
      <w:proofErr w:type="gramStart"/>
      <w:r w:rsidR="00180E59" w:rsidRPr="000E40B2">
        <w:t>is intended</w:t>
      </w:r>
      <w:proofErr w:type="gramEnd"/>
      <w:r w:rsidR="00180E59" w:rsidRPr="000E40B2">
        <w:t xml:space="preserve"> for</w:t>
      </w:r>
      <w:r w:rsidR="00AD2DF2" w:rsidRPr="000E40B2">
        <w:t xml:space="preserve"> person</w:t>
      </w:r>
      <w:r w:rsidR="007326CD" w:rsidRPr="000E40B2">
        <w:t>s</w:t>
      </w:r>
      <w:r w:rsidR="00AD2DF2" w:rsidRPr="000E40B2">
        <w:t xml:space="preserve"> who cannot manage their own affairs due to a mental illness or other impairment in decision-making capacity</w:t>
      </w:r>
      <w:r w:rsidR="00485C5C" w:rsidRPr="000E40B2">
        <w:t>.</w:t>
      </w:r>
      <w:r w:rsidR="00991FB9" w:rsidRPr="000E40B2">
        <w:rPr>
          <w:rStyle w:val="FootnoteReference"/>
        </w:rPr>
        <w:footnoteReference w:id="708"/>
      </w:r>
      <w:r w:rsidR="00C37D0E" w:rsidRPr="000E40B2">
        <w:t xml:space="preserve"> </w:t>
      </w:r>
      <w:r w:rsidR="00256FDF" w:rsidRPr="000E40B2">
        <w:t>Thi</w:t>
      </w:r>
      <w:r w:rsidR="00D0690B" w:rsidRPr="000E40B2">
        <w:t>s</w:t>
      </w:r>
      <w:r w:rsidR="00256FDF" w:rsidRPr="000E40B2">
        <w:t xml:space="preserve"> is</w:t>
      </w:r>
      <w:r w:rsidR="00991B53" w:rsidRPr="000E40B2">
        <w:t xml:space="preserve"> also</w:t>
      </w:r>
      <w:r w:rsidR="00D0690B" w:rsidRPr="000E40B2">
        <w:t xml:space="preserve"> </w:t>
      </w:r>
      <w:r w:rsidR="00E92868" w:rsidRPr="000E40B2">
        <w:t>a measure</w:t>
      </w:r>
      <w:r w:rsidR="005C47A1" w:rsidRPr="000E40B2">
        <w:t xml:space="preserve"> </w:t>
      </w:r>
      <w:r w:rsidR="00CF72B2" w:rsidRPr="000E40B2">
        <w:t xml:space="preserve">of last resort, to </w:t>
      </w:r>
      <w:proofErr w:type="gramStart"/>
      <w:r w:rsidR="00CF72B2" w:rsidRPr="000E40B2">
        <w:t>be applied</w:t>
      </w:r>
      <w:proofErr w:type="gramEnd"/>
      <w:r w:rsidR="00CF72B2" w:rsidRPr="000E40B2">
        <w:t xml:space="preserve"> where the person</w:t>
      </w:r>
      <w:r w:rsidR="007B156B" w:rsidRPr="000E40B2">
        <w:t xml:space="preserve"> </w:t>
      </w:r>
      <w:r w:rsidR="00DA3294" w:rsidRPr="000E40B2">
        <w:t xml:space="preserve">has no enduring power of attorney, </w:t>
      </w:r>
      <w:r w:rsidR="00CF72B2" w:rsidRPr="000E40B2">
        <w:t xml:space="preserve">is </w:t>
      </w:r>
      <w:r w:rsidR="00095782" w:rsidRPr="000E40B2">
        <w:t>un</w:t>
      </w:r>
      <w:r w:rsidR="00CF72B2" w:rsidRPr="000E40B2">
        <w:t xml:space="preserve">able to </w:t>
      </w:r>
      <w:r w:rsidR="00DA629F" w:rsidRPr="000E40B2">
        <w:t>select</w:t>
      </w:r>
      <w:r w:rsidR="00CF72B2" w:rsidRPr="000E40B2">
        <w:t xml:space="preserve"> a representative </w:t>
      </w:r>
      <w:r w:rsidR="00127B43" w:rsidRPr="000E40B2">
        <w:t xml:space="preserve">and has no </w:t>
      </w:r>
      <w:r w:rsidR="005B0745" w:rsidRPr="000E40B2">
        <w:t xml:space="preserve">close relative </w:t>
      </w:r>
      <w:r w:rsidR="000A20AB" w:rsidRPr="000E40B2">
        <w:t xml:space="preserve">who is </w:t>
      </w:r>
      <w:r w:rsidR="005B0745" w:rsidRPr="000E40B2">
        <w:t>able or prepared</w:t>
      </w:r>
      <w:r w:rsidR="00391CE7" w:rsidRPr="000E40B2">
        <w:t xml:space="preserve"> </w:t>
      </w:r>
      <w:r w:rsidR="00AD498D" w:rsidRPr="000E40B2">
        <w:t xml:space="preserve">to </w:t>
      </w:r>
      <w:r w:rsidR="003D5350" w:rsidRPr="000E40B2">
        <w:t>intervene through statutory representation.</w:t>
      </w:r>
      <w:r w:rsidR="006633BC" w:rsidRPr="000E40B2">
        <w:rPr>
          <w:rStyle w:val="FootnoteReference"/>
        </w:rPr>
        <w:footnoteReference w:id="709"/>
      </w:r>
      <w:r w:rsidR="007F2287" w:rsidRPr="000E40B2">
        <w:t xml:space="preserve"> </w:t>
      </w:r>
      <w:r w:rsidR="00A33BB2" w:rsidRPr="000E40B2">
        <w:t xml:space="preserve">The court </w:t>
      </w:r>
      <w:r w:rsidR="00DA1F60" w:rsidRPr="000E40B2">
        <w:t xml:space="preserve">will give </w:t>
      </w:r>
      <w:r w:rsidR="00543A03" w:rsidRPr="000E40B2">
        <w:t>priority</w:t>
      </w:r>
      <w:r w:rsidR="00DA1F60" w:rsidRPr="000E40B2">
        <w:t xml:space="preserve"> to </w:t>
      </w:r>
      <w:r w:rsidR="007C4AC3" w:rsidRPr="000E40B2">
        <w:t xml:space="preserve">the individual’s </w:t>
      </w:r>
      <w:r w:rsidR="00B84B7C" w:rsidRPr="000E40B2">
        <w:t>will</w:t>
      </w:r>
      <w:r w:rsidR="007C4AC3" w:rsidRPr="000E40B2">
        <w:t xml:space="preserve"> when </w:t>
      </w:r>
      <w:r w:rsidR="00B910A7" w:rsidRPr="000E40B2">
        <w:t xml:space="preserve">choosing </w:t>
      </w:r>
      <w:r w:rsidR="00004DC0" w:rsidRPr="000E40B2">
        <w:t>a representative,</w:t>
      </w:r>
      <w:r w:rsidR="007B18DC" w:rsidRPr="000E40B2">
        <w:t xml:space="preserve"> but will also consider the suitability of the prospective representative.</w:t>
      </w:r>
      <w:r w:rsidR="001C2511" w:rsidRPr="000E40B2">
        <w:rPr>
          <w:rStyle w:val="FootnoteReference"/>
        </w:rPr>
        <w:footnoteReference w:id="710"/>
      </w:r>
      <w:r w:rsidR="000F44A1" w:rsidRPr="000E40B2">
        <w:t xml:space="preserve"> Priority </w:t>
      </w:r>
      <w:proofErr w:type="gramStart"/>
      <w:r w:rsidR="000F44A1" w:rsidRPr="000E40B2">
        <w:t>is given</w:t>
      </w:r>
      <w:proofErr w:type="gramEnd"/>
      <w:r w:rsidR="000F44A1" w:rsidRPr="000E40B2">
        <w:t xml:space="preserve"> to </w:t>
      </w:r>
      <w:r w:rsidR="00CD13BC" w:rsidRPr="000E40B2">
        <w:t>appointing</w:t>
      </w:r>
      <w:r w:rsidR="000F44A1" w:rsidRPr="000E40B2">
        <w:t xml:space="preserve"> a person who has been</w:t>
      </w:r>
      <w:r w:rsidR="00416ED4" w:rsidRPr="000E40B2">
        <w:t xml:space="preserve"> previously</w:t>
      </w:r>
      <w:r w:rsidR="000F44A1" w:rsidRPr="000E40B2">
        <w:t xml:space="preserve"> designated </w:t>
      </w:r>
      <w:r w:rsidR="00416ED4" w:rsidRPr="000E40B2">
        <w:t>in</w:t>
      </w:r>
      <w:r w:rsidR="00163677" w:rsidRPr="000E40B2">
        <w:t xml:space="preserve"> a power of attorney</w:t>
      </w:r>
      <w:r w:rsidR="00544A2E" w:rsidRPr="000E40B2">
        <w:t>, elective representation, or court appointed representation, but if such a person is not available or suitable, the court will favour appointing a person who is close to the adult.</w:t>
      </w:r>
      <w:r w:rsidR="00544A2E" w:rsidRPr="000E40B2">
        <w:rPr>
          <w:rStyle w:val="FootnoteReference"/>
        </w:rPr>
        <w:footnoteReference w:id="711"/>
      </w:r>
      <w:r w:rsidR="00544A2E" w:rsidRPr="000E40B2">
        <w:t xml:space="preserve"> </w:t>
      </w:r>
      <w:r w:rsidR="00004DC0" w:rsidRPr="000E40B2">
        <w:t xml:space="preserve"> </w:t>
      </w:r>
      <w:r w:rsidR="00544A2E" w:rsidRPr="000E40B2">
        <w:t>Finally,</w:t>
      </w:r>
      <w:r w:rsidR="00004DC0" w:rsidRPr="000E40B2">
        <w:t xml:space="preserve"> if the person is socially isolated, the court will </w:t>
      </w:r>
      <w:r w:rsidR="00B25664" w:rsidRPr="000E40B2">
        <w:t xml:space="preserve">select an adult representation agency or </w:t>
      </w:r>
      <w:r w:rsidR="00264B2E" w:rsidRPr="000E40B2">
        <w:t>a legal practitioner.</w:t>
      </w:r>
      <w:r w:rsidR="000175CF" w:rsidRPr="000E40B2">
        <w:rPr>
          <w:rStyle w:val="FootnoteReference"/>
        </w:rPr>
        <w:footnoteReference w:id="712"/>
      </w:r>
      <w:r w:rsidR="00FF5F4B" w:rsidRPr="002A28E1">
        <w:t xml:space="preserve"> </w:t>
      </w:r>
    </w:p>
    <w:p w14:paraId="6E0449B4" w14:textId="77777777" w:rsidR="00292465" w:rsidRDefault="00292465"/>
    <w:p w14:paraId="63FB5A1D" w14:textId="6D5BC354" w:rsidR="009F0BF8" w:rsidRPr="002A28E1" w:rsidRDefault="00292465">
      <w:r>
        <w:t>Court-appointed</w:t>
      </w:r>
      <w:r w:rsidR="00E035F7" w:rsidRPr="002A28E1">
        <w:t xml:space="preserve"> </w:t>
      </w:r>
      <w:r w:rsidR="00E035F7" w:rsidRPr="000E40B2">
        <w:t xml:space="preserve">representatives </w:t>
      </w:r>
      <w:proofErr w:type="gramStart"/>
      <w:r w:rsidR="00E035F7" w:rsidRPr="000E40B2">
        <w:t>are supervised</w:t>
      </w:r>
      <w:proofErr w:type="gramEnd"/>
      <w:r w:rsidR="00E035F7" w:rsidRPr="000E40B2">
        <w:t xml:space="preserve"> by the court</w:t>
      </w:r>
      <w:r w:rsidR="00681DA4" w:rsidRPr="000E40B2">
        <w:t xml:space="preserve"> through the submission of reports</w:t>
      </w:r>
      <w:r w:rsidR="00E035F7" w:rsidRPr="000E40B2">
        <w:t>.</w:t>
      </w:r>
      <w:r w:rsidR="00AE1C8E" w:rsidRPr="000E40B2">
        <w:rPr>
          <w:rStyle w:val="FootnoteReference"/>
        </w:rPr>
        <w:footnoteReference w:id="713"/>
      </w:r>
      <w:r w:rsidR="00F83C11" w:rsidRPr="000E40B2">
        <w:t xml:space="preserve"> </w:t>
      </w:r>
      <w:r w:rsidR="00C64BA9" w:rsidRPr="000E40B2">
        <w:t xml:space="preserve">Court-appointed representation </w:t>
      </w:r>
      <w:r w:rsidR="003A10DC" w:rsidRPr="000E40B2">
        <w:t xml:space="preserve">must be restricted to </w:t>
      </w:r>
      <w:r w:rsidR="001F7B82" w:rsidRPr="000E40B2">
        <w:t>particular</w:t>
      </w:r>
      <w:r w:rsidR="001F7B82" w:rsidRPr="002A28E1">
        <w:t xml:space="preserve"> areas</w:t>
      </w:r>
      <w:r w:rsidR="00DE3BA0" w:rsidRPr="002A28E1">
        <w:t>,</w:t>
      </w:r>
      <w:r w:rsidR="006F7EC8">
        <w:rPr>
          <w:rStyle w:val="FootnoteReference"/>
        </w:rPr>
        <w:footnoteReference w:id="714"/>
      </w:r>
      <w:r w:rsidR="00DE3BA0" w:rsidRPr="002A28E1">
        <w:t xml:space="preserve"> which marks a shift from Austria’s previous legal reg</w:t>
      </w:r>
      <w:r w:rsidR="0010541D" w:rsidRPr="002A28E1">
        <w:t>i</w:t>
      </w:r>
      <w:r w:rsidR="00DE3BA0" w:rsidRPr="002A28E1">
        <w:t>me that allowed for plenary guardianship.</w:t>
      </w:r>
      <w:r w:rsidR="0045320D">
        <w:rPr>
          <w:rStyle w:val="FootnoteReference"/>
        </w:rPr>
        <w:footnoteReference w:id="715"/>
      </w:r>
      <w:r w:rsidR="00A141C2" w:rsidRPr="002A28E1">
        <w:t xml:space="preserve"> Court appointed representation measures </w:t>
      </w:r>
      <w:r w:rsidR="00E46875" w:rsidRPr="002A28E1">
        <w:t xml:space="preserve">may be in place for up to three years, </w:t>
      </w:r>
      <w:r w:rsidR="00742FD2" w:rsidRPr="002A28E1">
        <w:t xml:space="preserve">with </w:t>
      </w:r>
      <w:r w:rsidR="006F36AD" w:rsidRPr="002A28E1">
        <w:t>the possibility for renewal.</w:t>
      </w:r>
      <w:r w:rsidR="008D22C4">
        <w:rPr>
          <w:rStyle w:val="FootnoteReference"/>
        </w:rPr>
        <w:footnoteReference w:id="716"/>
      </w:r>
      <w:r w:rsidR="006F36AD" w:rsidRPr="002A28E1">
        <w:t xml:space="preserve"> </w:t>
      </w:r>
      <w:r w:rsidR="008C0CC7" w:rsidRPr="002A28E1">
        <w:t xml:space="preserve">The </w:t>
      </w:r>
      <w:r w:rsidR="0010541D" w:rsidRPr="002A28E1">
        <w:t>represented</w:t>
      </w:r>
      <w:r w:rsidR="001F3AA5" w:rsidRPr="002A28E1">
        <w:t xml:space="preserve"> </w:t>
      </w:r>
      <w:r w:rsidR="005777D7" w:rsidRPr="002A28E1">
        <w:t xml:space="preserve">person </w:t>
      </w:r>
      <w:proofErr w:type="gramStart"/>
      <w:r w:rsidR="00F87FCF" w:rsidRPr="002A28E1">
        <w:t>is not stripped</w:t>
      </w:r>
      <w:proofErr w:type="gramEnd"/>
      <w:r w:rsidR="00F87FCF" w:rsidRPr="002A28E1">
        <w:t xml:space="preserve"> of their civil rights</w:t>
      </w:r>
      <w:r w:rsidR="005B4246" w:rsidRPr="002A28E1">
        <w:t xml:space="preserve">, although </w:t>
      </w:r>
      <w:r w:rsidR="006C66ED" w:rsidRPr="002A28E1">
        <w:t>t</w:t>
      </w:r>
      <w:r w:rsidR="005B4246" w:rsidRPr="002A28E1">
        <w:t>he court may grant the</w:t>
      </w:r>
      <w:r w:rsidR="001548D3" w:rsidRPr="002A28E1">
        <w:t xml:space="preserve"> </w:t>
      </w:r>
      <w:r w:rsidR="005B4246" w:rsidRPr="002A28E1">
        <w:t xml:space="preserve">representative </w:t>
      </w:r>
      <w:r w:rsidR="00D93E96" w:rsidRPr="002A28E1">
        <w:t xml:space="preserve">the ability to veto certain decisions </w:t>
      </w:r>
      <w:r w:rsidR="00695A34" w:rsidRPr="002A28E1">
        <w:t xml:space="preserve">made by the person in order to protect their </w:t>
      </w:r>
      <w:r w:rsidR="00601E5B" w:rsidRPr="002A28E1">
        <w:t>fundamental interests.</w:t>
      </w:r>
      <w:r w:rsidR="00601E5B" w:rsidRPr="002A28E1">
        <w:rPr>
          <w:rStyle w:val="FootnoteReference"/>
        </w:rPr>
        <w:footnoteReference w:id="717"/>
      </w:r>
      <w:r w:rsidR="003F0BA2">
        <w:t xml:space="preserve"> Court-appointed representatives are also entitled to annual compensation amounting to five percent of the income of the represented person.</w:t>
      </w:r>
      <w:r w:rsidR="003F0BA2">
        <w:rPr>
          <w:rStyle w:val="FootnoteReference"/>
        </w:rPr>
        <w:footnoteReference w:id="718"/>
      </w:r>
    </w:p>
    <w:p w14:paraId="7D3E223F" w14:textId="53B4C04C" w:rsidR="00084EA2" w:rsidRPr="002A28E1" w:rsidRDefault="00084EA2"/>
    <w:p w14:paraId="34D8D549" w14:textId="6C3537E8" w:rsidR="00EF2434" w:rsidRPr="002A28E1" w:rsidRDefault="00084EA2" w:rsidP="00F30081">
      <w:r w:rsidRPr="006D3046">
        <w:t>The new legislation</w:t>
      </w:r>
      <w:r w:rsidRPr="000E40B2">
        <w:t xml:space="preserve"> </w:t>
      </w:r>
      <w:proofErr w:type="gramStart"/>
      <w:r w:rsidRPr="000E40B2">
        <w:t>is grounded</w:t>
      </w:r>
      <w:proofErr w:type="gramEnd"/>
      <w:r w:rsidRPr="000E40B2">
        <w:t xml:space="preserve"> in respect for a person’s will and preferences</w:t>
      </w:r>
      <w:r w:rsidR="00395DD0" w:rsidRPr="000E40B2">
        <w:t xml:space="preserve">. If a representative makes a decision that </w:t>
      </w:r>
      <w:r w:rsidR="00EF1226" w:rsidRPr="000E40B2">
        <w:t>is not in line with the will of the person</w:t>
      </w:r>
      <w:r w:rsidR="005F340E" w:rsidRPr="000E40B2">
        <w:t xml:space="preserve"> with disabilities, </w:t>
      </w:r>
      <w:r w:rsidR="00B002A0" w:rsidRPr="000E40B2">
        <w:t xml:space="preserve">a complaint </w:t>
      </w:r>
      <w:proofErr w:type="gramStart"/>
      <w:r w:rsidR="00B002A0" w:rsidRPr="000E40B2">
        <w:t>can be filed</w:t>
      </w:r>
      <w:proofErr w:type="gramEnd"/>
      <w:r w:rsidR="00461F49" w:rsidRPr="000E40B2">
        <w:t xml:space="preserve">, with the possibility for the </w:t>
      </w:r>
      <w:r w:rsidR="00327BFB" w:rsidRPr="000E40B2">
        <w:t>application</w:t>
      </w:r>
      <w:r w:rsidR="00E17FD3" w:rsidRPr="000E40B2">
        <w:t xml:space="preserve"> of corrective actions.</w:t>
      </w:r>
      <w:r w:rsidR="00FA6212" w:rsidRPr="000E40B2">
        <w:rPr>
          <w:rStyle w:val="FootnoteReference"/>
        </w:rPr>
        <w:footnoteReference w:id="719"/>
      </w:r>
    </w:p>
    <w:p w14:paraId="4E73344A" w14:textId="34A9CC68" w:rsidR="00F30081" w:rsidRPr="002A28E1" w:rsidRDefault="00F30081" w:rsidP="00F30081"/>
    <w:p w14:paraId="1AFFAAFE" w14:textId="3806E1C1" w:rsidR="0041462C" w:rsidRPr="000E40B2" w:rsidRDefault="00F30081" w:rsidP="0058528A">
      <w:proofErr w:type="gramStart"/>
      <w:r w:rsidRPr="002A28E1">
        <w:t xml:space="preserve">In terms of its conformity with Article 12 CRPD, </w:t>
      </w:r>
      <w:r w:rsidR="00E524F8" w:rsidRPr="002A28E1">
        <w:t xml:space="preserve">the </w:t>
      </w:r>
      <w:r w:rsidR="00592C1D" w:rsidRPr="002A28E1">
        <w:t>Austrian law does stipulate that a person’s legal capacity can never be removed in certain areas</w:t>
      </w:r>
      <w:r w:rsidR="00427B7D" w:rsidRPr="002A28E1">
        <w:t xml:space="preserve"> - t</w:t>
      </w:r>
      <w:r w:rsidR="00AF241D" w:rsidRPr="002A28E1">
        <w:t xml:space="preserve">he legislation stipulates that making a will </w:t>
      </w:r>
      <w:r w:rsidR="00AF241D" w:rsidRPr="002A28E1">
        <w:lastRenderedPageBreak/>
        <w:t>or advance healthcare</w:t>
      </w:r>
      <w:r w:rsidR="00DA1FF3" w:rsidRPr="002A28E1">
        <w:t xml:space="preserve"> directive, establishing an enduring power of attorney, </w:t>
      </w:r>
      <w:r w:rsidR="00C8138F" w:rsidRPr="002A28E1">
        <w:t xml:space="preserve">getting married, adopting a child or acknowledging paternity </w:t>
      </w:r>
      <w:r w:rsidR="00EB240A" w:rsidRPr="002A28E1">
        <w:t>can never be decided by</w:t>
      </w:r>
      <w:r w:rsidR="00EE04C3" w:rsidRPr="002A28E1">
        <w:t xml:space="preserve"> someone other than the individual concerned.</w:t>
      </w:r>
      <w:r w:rsidR="00EE04C3" w:rsidRPr="002A28E1">
        <w:rPr>
          <w:rStyle w:val="FootnoteReference"/>
        </w:rPr>
        <w:footnoteReference w:id="720"/>
      </w:r>
      <w:proofErr w:type="gramEnd"/>
      <w:r w:rsidR="00AF241D" w:rsidRPr="002A28E1">
        <w:t xml:space="preserve"> </w:t>
      </w:r>
      <w:r w:rsidR="00732B7B">
        <w:t>Moreover, n</w:t>
      </w:r>
      <w:r w:rsidR="00C40129" w:rsidRPr="002A28E1">
        <w:t>one of the options described in the four pillars result in an “automatic” loss of legal capacity</w:t>
      </w:r>
      <w:r w:rsidR="00C40129" w:rsidRPr="000E40B2">
        <w:t xml:space="preserve">, </w:t>
      </w:r>
      <w:r w:rsidR="007A2E2D" w:rsidRPr="000E40B2">
        <w:t>although</w:t>
      </w:r>
      <w:r w:rsidR="00C40129" w:rsidRPr="000E40B2">
        <w:t xml:space="preserve"> with respect to court-appointed representatives,</w:t>
      </w:r>
      <w:r w:rsidR="00B4432F" w:rsidRPr="000E40B2">
        <w:t xml:space="preserve"> where the court detects a major risk to the person concerned,</w:t>
      </w:r>
      <w:r w:rsidR="00C40129" w:rsidRPr="000E40B2">
        <w:t xml:space="preserve"> the court is authorised to order that some legal acts will only be valid upon approval by the representative.</w:t>
      </w:r>
      <w:r w:rsidR="00C5259E" w:rsidRPr="000E40B2">
        <w:rPr>
          <w:rStyle w:val="FootnoteReference"/>
        </w:rPr>
        <w:footnoteReference w:id="721"/>
      </w:r>
      <w:r w:rsidR="00953130" w:rsidRPr="000E40B2">
        <w:t xml:space="preserve"> </w:t>
      </w:r>
      <w:r w:rsidR="00616D3B" w:rsidRPr="000E40B2">
        <w:t xml:space="preserve">The “representative’s veto” form of elective representation also seems to restrict the exercise of </w:t>
      </w:r>
      <w:r w:rsidR="000B015D" w:rsidRPr="000E40B2">
        <w:t>a person’s legal capacity</w:t>
      </w:r>
      <w:r w:rsidR="0046112D" w:rsidRPr="000E40B2">
        <w:t xml:space="preserve"> as well</w:t>
      </w:r>
      <w:r w:rsidR="000B015D" w:rsidRPr="000E40B2">
        <w:t xml:space="preserve">. </w:t>
      </w:r>
      <w:r w:rsidR="00C01778" w:rsidRPr="000E40B2">
        <w:t xml:space="preserve">In fact, most of the forms of “representation” contemplated </w:t>
      </w:r>
      <w:r w:rsidR="00E85F48" w:rsidRPr="000E40B2">
        <w:t>by</w:t>
      </w:r>
      <w:r w:rsidR="00C01778" w:rsidRPr="000E40B2">
        <w:t xml:space="preserve"> the </w:t>
      </w:r>
      <w:r w:rsidR="0055131E" w:rsidRPr="000E40B2">
        <w:t>law</w:t>
      </w:r>
      <w:r w:rsidR="00C01778" w:rsidRPr="000E40B2">
        <w:t xml:space="preserve"> (perhaps with the </w:t>
      </w:r>
      <w:r w:rsidR="00BD6E48" w:rsidRPr="000E40B2">
        <w:t>exception</w:t>
      </w:r>
      <w:r w:rsidR="00C01778" w:rsidRPr="000E40B2">
        <w:t xml:space="preserve"> of informational support and co-decision-making)</w:t>
      </w:r>
      <w:r w:rsidR="00191D21" w:rsidRPr="000E40B2">
        <w:t xml:space="preserve"> seem to embody </w:t>
      </w:r>
      <w:r w:rsidR="00634456" w:rsidRPr="000E40B2">
        <w:t xml:space="preserve">features of substitute decision-making, </w:t>
      </w:r>
      <w:r w:rsidR="00463201" w:rsidRPr="000E40B2">
        <w:t xml:space="preserve">in that </w:t>
      </w:r>
      <w:r w:rsidR="00920F1F" w:rsidRPr="000E40B2">
        <w:t xml:space="preserve">decisions </w:t>
      </w:r>
      <w:r w:rsidR="00DF4E1B" w:rsidRPr="000E40B2">
        <w:t>can</w:t>
      </w:r>
      <w:r w:rsidR="00920F1F" w:rsidRPr="000E40B2">
        <w:t xml:space="preserve"> presumably </w:t>
      </w:r>
      <w:r w:rsidR="005266C6" w:rsidRPr="000E40B2">
        <w:t>be</w:t>
      </w:r>
      <w:r w:rsidR="00920F1F" w:rsidRPr="000E40B2">
        <w:t xml:space="preserve"> made on a </w:t>
      </w:r>
      <w:r w:rsidR="00C640C7" w:rsidRPr="000E40B2">
        <w:t>person’s behalf.</w:t>
      </w:r>
      <w:r w:rsidR="00567922" w:rsidRPr="000E40B2">
        <w:t xml:space="preserve"> As </w:t>
      </w:r>
      <w:r w:rsidR="007969AE" w:rsidRPr="000E40B2">
        <w:t xml:space="preserve">affirmed by the Austrian Disability Council, </w:t>
      </w:r>
      <w:r w:rsidR="00777C34" w:rsidRPr="000E40B2">
        <w:t xml:space="preserve">“the law by itself cannot grant full protection from heteronomous decision-making and thus guarantee the right to autonomy for persons with disabilities </w:t>
      </w:r>
      <w:r w:rsidR="008913E4" w:rsidRPr="000E40B2">
        <w:t>in accordance with the CRPD.”</w:t>
      </w:r>
      <w:bookmarkStart w:id="85" w:name="_Ref15487602"/>
      <w:r w:rsidR="00254AF5" w:rsidRPr="000E40B2">
        <w:rPr>
          <w:rStyle w:val="FootnoteReference"/>
        </w:rPr>
        <w:footnoteReference w:id="722"/>
      </w:r>
      <w:bookmarkEnd w:id="85"/>
    </w:p>
    <w:p w14:paraId="5894A021" w14:textId="77777777" w:rsidR="00352F9C" w:rsidRPr="002A28E1" w:rsidRDefault="00352F9C" w:rsidP="0058528A"/>
    <w:p w14:paraId="4339D4C8" w14:textId="5A1AED86" w:rsidR="00F47D54" w:rsidRPr="000E40B2" w:rsidRDefault="001C4565" w:rsidP="0058528A">
      <w:r>
        <w:t xml:space="preserve">The </w:t>
      </w:r>
      <w:r w:rsidR="0055131E">
        <w:t>Austrian legislation</w:t>
      </w:r>
      <w:r>
        <w:t xml:space="preserve"> </w:t>
      </w:r>
      <w:r w:rsidRPr="000E40B2">
        <w:t>mentions some informal forms of support, such as the provision of support by family members, peers, and social services, but does not guarantee access to support for persons with disabilities</w:t>
      </w:r>
      <w:r w:rsidR="00C7528A" w:rsidRPr="000E40B2">
        <w:t xml:space="preserve"> or explain how the state might be involved in </w:t>
      </w:r>
      <w:r w:rsidR="00AB631B" w:rsidRPr="000E40B2">
        <w:t xml:space="preserve">facilitating access to </w:t>
      </w:r>
      <w:r w:rsidR="00C7528A" w:rsidRPr="000E40B2">
        <w:t>any</w:t>
      </w:r>
      <w:r w:rsidR="00AB631B" w:rsidRPr="000E40B2">
        <w:t xml:space="preserve"> of</w:t>
      </w:r>
      <w:r w:rsidR="00DE09C6" w:rsidRPr="000E40B2">
        <w:t xml:space="preserve"> these</w:t>
      </w:r>
      <w:r w:rsidR="00C7528A" w:rsidRPr="000E40B2">
        <w:t xml:space="preserve"> types of supports</w:t>
      </w:r>
      <w:r w:rsidRPr="000E40B2">
        <w:t xml:space="preserve">. </w:t>
      </w:r>
      <w:r w:rsidR="00A16CF9" w:rsidRPr="000E40B2">
        <w:t xml:space="preserve">Austria’s legislation seems to </w:t>
      </w:r>
      <w:r w:rsidR="00EA551B" w:rsidRPr="000E40B2">
        <w:t>leave many forms of support outside the scope of</w:t>
      </w:r>
      <w:r w:rsidR="002E6424" w:rsidRPr="000E40B2">
        <w:t xml:space="preserve"> regulation by law. </w:t>
      </w:r>
      <w:r w:rsidR="00D95253" w:rsidRPr="000E40B2">
        <w:t xml:space="preserve">The legislation </w:t>
      </w:r>
      <w:r w:rsidR="00BB0DF8" w:rsidRPr="000E40B2">
        <w:t>arguably</w:t>
      </w:r>
      <w:r w:rsidR="00D95253" w:rsidRPr="000E40B2">
        <w:t xml:space="preserve"> appear</w:t>
      </w:r>
      <w:r w:rsidR="00BB0DF8" w:rsidRPr="000E40B2">
        <w:t>s</w:t>
      </w:r>
      <w:r w:rsidR="00D95253" w:rsidRPr="000E40B2">
        <w:t xml:space="preserve"> to provide </w:t>
      </w:r>
      <w:r w:rsidR="00147143" w:rsidRPr="000E40B2">
        <w:t>for</w:t>
      </w:r>
      <w:r w:rsidR="00D95253" w:rsidRPr="000E40B2">
        <w:t xml:space="preserve"> support mechanism</w:t>
      </w:r>
      <w:r w:rsidR="008B76A4" w:rsidRPr="000E40B2">
        <w:t>s</w:t>
      </w:r>
      <w:r w:rsidR="00D95253" w:rsidRPr="000E40B2">
        <w:t xml:space="preserve"> through the </w:t>
      </w:r>
      <w:r w:rsidR="00C67B1E" w:rsidRPr="000E40B2">
        <w:t xml:space="preserve">“co-decision-making” and </w:t>
      </w:r>
      <w:r w:rsidR="00D95253" w:rsidRPr="000E40B2">
        <w:t>“informa</w:t>
      </w:r>
      <w:r w:rsidR="00CA61B4" w:rsidRPr="000E40B2">
        <w:t>tiona</w:t>
      </w:r>
      <w:r w:rsidR="00D95253" w:rsidRPr="000E40B2">
        <w:t>l support” option</w:t>
      </w:r>
      <w:r w:rsidR="003E57BD" w:rsidRPr="000E40B2">
        <w:t>s</w:t>
      </w:r>
      <w:r w:rsidR="00BA56D1" w:rsidRPr="000E40B2">
        <w:t xml:space="preserve">. However, it is undoubtedly problematic that </w:t>
      </w:r>
      <w:r w:rsidR="00083B1E" w:rsidRPr="000E40B2">
        <w:t>these</w:t>
      </w:r>
      <w:r w:rsidR="00BA56D1" w:rsidRPr="000E40B2">
        <w:t xml:space="preserve"> measure</w:t>
      </w:r>
      <w:r w:rsidR="00083B1E" w:rsidRPr="000E40B2">
        <w:t>s</w:t>
      </w:r>
      <w:r w:rsidR="00BA56D1" w:rsidRPr="000E40B2">
        <w:t xml:space="preserve"> of support are not available to all persons with disabilities</w:t>
      </w:r>
      <w:r w:rsidR="006E0054" w:rsidRPr="000E40B2">
        <w:t xml:space="preserve"> (s</w:t>
      </w:r>
      <w:r w:rsidR="00BA56D1" w:rsidRPr="000E40B2">
        <w:t xml:space="preserve">ince “elective representation” is only </w:t>
      </w:r>
      <w:r w:rsidR="006269F4" w:rsidRPr="000E40B2">
        <w:t>a possibility for those who have an ability to understand the general meaning and consequences of a power of attorney</w:t>
      </w:r>
      <w:r w:rsidR="00E551C6" w:rsidRPr="000E40B2">
        <w:t xml:space="preserve"> </w:t>
      </w:r>
      <w:r w:rsidR="006269F4" w:rsidRPr="000E40B2">
        <w:t>and an ability to express their will and act accordingly</w:t>
      </w:r>
      <w:r w:rsidR="0045334D" w:rsidRPr="000E40B2">
        <w:rPr>
          <w:rStyle w:val="FootnoteReference"/>
        </w:rPr>
        <w:footnoteReference w:id="723"/>
      </w:r>
      <w:r w:rsidR="0022147A" w:rsidRPr="000E40B2">
        <w:t>)</w:t>
      </w:r>
      <w:r w:rsidR="006269F4" w:rsidRPr="000E40B2">
        <w:t xml:space="preserve">. </w:t>
      </w:r>
      <w:r w:rsidR="00B02AF4" w:rsidRPr="000E40B2">
        <w:t xml:space="preserve">The UN Committee on the Rights of Persons with Disabilities has stated that the provision of supported decision-making </w:t>
      </w:r>
      <w:proofErr w:type="gramStart"/>
      <w:r w:rsidR="00B02AF4" w:rsidRPr="000E40B2">
        <w:t>should not be made</w:t>
      </w:r>
      <w:proofErr w:type="gramEnd"/>
      <w:r w:rsidR="00B02AF4" w:rsidRPr="000E40B2">
        <w:t xml:space="preserve"> contingent on an evaluation of mental capacity.</w:t>
      </w:r>
      <w:r w:rsidR="006F33D9" w:rsidRPr="000E40B2">
        <w:rPr>
          <w:rStyle w:val="FootnoteReference"/>
        </w:rPr>
        <w:footnoteReference w:id="724"/>
      </w:r>
      <w:r w:rsidR="00DE202A" w:rsidRPr="000E40B2">
        <w:t xml:space="preserve"> </w:t>
      </w:r>
      <w:r w:rsidR="00F47D54" w:rsidRPr="000E40B2">
        <w:t xml:space="preserve">Moreover, </w:t>
      </w:r>
      <w:r w:rsidR="00D44BDB" w:rsidRPr="000E40B2">
        <w:t xml:space="preserve">given the fact that informal support and co-decision-making </w:t>
      </w:r>
      <w:proofErr w:type="gramStart"/>
      <w:r w:rsidR="00D44BDB" w:rsidRPr="000E40B2">
        <w:t>are labelled</w:t>
      </w:r>
      <w:proofErr w:type="gramEnd"/>
      <w:r w:rsidR="00D44BDB" w:rsidRPr="000E40B2">
        <w:t xml:space="preserve"> as forms of “representation,” this calls into question whether these </w:t>
      </w:r>
      <w:r w:rsidR="00E0750D" w:rsidRPr="000E40B2">
        <w:t xml:space="preserve">can </w:t>
      </w:r>
      <w:r w:rsidR="00D44BDB" w:rsidRPr="000E40B2">
        <w:t xml:space="preserve">truly </w:t>
      </w:r>
      <w:r w:rsidR="00E0750D" w:rsidRPr="000E40B2">
        <w:t>be considered measures</w:t>
      </w:r>
      <w:r w:rsidR="00FB7922" w:rsidRPr="000E40B2">
        <w:t xml:space="preserve"> </w:t>
      </w:r>
      <w:r w:rsidR="00387745" w:rsidRPr="000E40B2">
        <w:t>based on “support.”</w:t>
      </w:r>
      <w:r w:rsidR="000369F2" w:rsidRPr="000E40B2">
        <w:t xml:space="preserve"> The Act appears to </w:t>
      </w:r>
      <w:proofErr w:type="gramStart"/>
      <w:r w:rsidR="000369F2" w:rsidRPr="000E40B2">
        <w:t>be grounded</w:t>
      </w:r>
      <w:proofErr w:type="gramEnd"/>
      <w:r w:rsidR="000369F2" w:rsidRPr="000E40B2">
        <w:t>, however, in the notion that</w:t>
      </w:r>
      <w:r w:rsidR="006A2451" w:rsidRPr="000E40B2">
        <w:t xml:space="preserve"> the will and preferences</w:t>
      </w:r>
      <w:r w:rsidR="008F308F" w:rsidRPr="000E40B2">
        <w:t xml:space="preserve"> of</w:t>
      </w:r>
      <w:r w:rsidR="000369F2" w:rsidRPr="000E40B2">
        <w:t xml:space="preserve"> represented persons should be respected.</w:t>
      </w:r>
      <w:r w:rsidR="000369F2" w:rsidRPr="000E40B2">
        <w:rPr>
          <w:rStyle w:val="FootnoteReference"/>
        </w:rPr>
        <w:footnoteReference w:id="725"/>
      </w:r>
      <w:r w:rsidR="000369F2" w:rsidRPr="000E40B2">
        <w:t xml:space="preserve"> </w:t>
      </w:r>
      <w:r w:rsidR="00B5045D" w:rsidRPr="000E40B2">
        <w:t xml:space="preserve">The </w:t>
      </w:r>
      <w:proofErr w:type="gramStart"/>
      <w:r w:rsidR="00B5045D" w:rsidRPr="000E40B2">
        <w:t>Act’s</w:t>
      </w:r>
      <w:proofErr w:type="gramEnd"/>
      <w:r w:rsidR="00B5045D" w:rsidRPr="000E40B2">
        <w:t xml:space="preserve"> guiding focus on the person’s “will and preferences” rather than “best interests” is undoubtedly a step towards fulfilling the requirements of Article 12.</w:t>
      </w:r>
    </w:p>
    <w:p w14:paraId="79418944" w14:textId="77777777" w:rsidR="00F47D54" w:rsidRPr="000E40B2" w:rsidRDefault="00F47D54" w:rsidP="0058528A"/>
    <w:p w14:paraId="18FBCE30" w14:textId="77777777" w:rsidR="00B5045D" w:rsidRPr="000E40B2" w:rsidRDefault="00801985" w:rsidP="0058528A">
      <w:r w:rsidRPr="000E40B2">
        <w:t xml:space="preserve">The law does </w:t>
      </w:r>
      <w:r w:rsidR="006979BB" w:rsidRPr="000E40B2">
        <w:t xml:space="preserve">provide for </w:t>
      </w:r>
      <w:r w:rsidR="00DA716F" w:rsidRPr="000E40B2">
        <w:t>some</w:t>
      </w:r>
      <w:r w:rsidR="006979BB" w:rsidRPr="000E40B2">
        <w:t xml:space="preserve"> important safeguards against abuse, including the</w:t>
      </w:r>
      <w:r w:rsidR="00377B97" w:rsidRPr="000E40B2">
        <w:t xml:space="preserve"> establishment of a central registry and the</w:t>
      </w:r>
      <w:r w:rsidR="006979BB" w:rsidRPr="000E40B2">
        <w:t xml:space="preserve"> </w:t>
      </w:r>
      <w:r w:rsidR="00912A8D" w:rsidRPr="000E40B2">
        <w:t>judicial supervision of</w:t>
      </w:r>
      <w:r w:rsidR="00642C19" w:rsidRPr="000E40B2">
        <w:t xml:space="preserve"> representatives</w:t>
      </w:r>
      <w:r w:rsidR="00912A8D" w:rsidRPr="000E40B2">
        <w:t>.</w:t>
      </w:r>
      <w:r w:rsidR="00377B97" w:rsidRPr="000E40B2">
        <w:rPr>
          <w:rStyle w:val="FootnoteReference"/>
        </w:rPr>
        <w:footnoteReference w:id="726"/>
      </w:r>
      <w:r w:rsidR="00912A8D" w:rsidRPr="000E40B2">
        <w:t xml:space="preserve"> </w:t>
      </w:r>
      <w:r w:rsidR="003F05AF" w:rsidRPr="000E40B2">
        <w:t xml:space="preserve">The possibility for the filing of complaints </w:t>
      </w:r>
      <w:proofErr w:type="gramStart"/>
      <w:r w:rsidR="003F05AF" w:rsidRPr="000E40B2">
        <w:t>on the grounds that</w:t>
      </w:r>
      <w:proofErr w:type="gramEnd"/>
      <w:r w:rsidR="003F05AF" w:rsidRPr="000E40B2">
        <w:t xml:space="preserve"> representatives are not acting in accordance with the affected person’s will and preferences also constitutes an important safeguard. </w:t>
      </w:r>
    </w:p>
    <w:p w14:paraId="1C3A729D" w14:textId="77777777" w:rsidR="00B5045D" w:rsidRPr="000E40B2" w:rsidRDefault="00B5045D" w:rsidP="0058528A"/>
    <w:p w14:paraId="5693AF8D" w14:textId="675D6E58" w:rsidR="003F7498" w:rsidRPr="00117438" w:rsidRDefault="00B5045D">
      <w:r w:rsidRPr="000E40B2">
        <w:t xml:space="preserve">While Austria has </w:t>
      </w:r>
      <w:r w:rsidR="00411607" w:rsidRPr="000E40B2">
        <w:t>eliminat</w:t>
      </w:r>
      <w:r w:rsidRPr="000E40B2">
        <w:t>ed</w:t>
      </w:r>
      <w:r w:rsidR="00411607" w:rsidRPr="000E40B2">
        <w:t xml:space="preserve"> </w:t>
      </w:r>
      <w:r w:rsidRPr="000E40B2">
        <w:t>its</w:t>
      </w:r>
      <w:r w:rsidR="00411607" w:rsidRPr="000E40B2">
        <w:t xml:space="preserve"> plenary guardianship</w:t>
      </w:r>
      <w:r w:rsidR="00E375DE" w:rsidRPr="000E40B2">
        <w:t xml:space="preserve"> </w:t>
      </w:r>
      <w:r w:rsidRPr="000E40B2">
        <w:t>regime</w:t>
      </w:r>
      <w:r w:rsidR="0030492E" w:rsidRPr="000E40B2">
        <w:t xml:space="preserve">, Austria’s reform </w:t>
      </w:r>
      <w:r w:rsidR="000D6CC1" w:rsidRPr="000E40B2">
        <w:t xml:space="preserve">arguably does not go far enough to </w:t>
      </w:r>
      <w:r w:rsidR="00632968" w:rsidRPr="000E40B2">
        <w:t>secure</w:t>
      </w:r>
      <w:r w:rsidR="00F52A90" w:rsidRPr="000E40B2">
        <w:t xml:space="preserve"> </w:t>
      </w:r>
      <w:r w:rsidR="00950483" w:rsidRPr="000E40B2">
        <w:t xml:space="preserve">legal capacity </w:t>
      </w:r>
      <w:r w:rsidR="008A54B5" w:rsidRPr="000E40B2">
        <w:t xml:space="preserve">for persons with disabilities in all </w:t>
      </w:r>
      <w:r w:rsidR="00B47976" w:rsidRPr="000E40B2">
        <w:t>areas of life</w:t>
      </w:r>
      <w:r w:rsidR="002410F1" w:rsidRPr="000E40B2">
        <w:t xml:space="preserve"> through a genuine and accessible supported decision-making </w:t>
      </w:r>
      <w:r w:rsidR="00C36089" w:rsidRPr="000E40B2">
        <w:t>system.</w:t>
      </w:r>
      <w:r w:rsidR="003F7498" w:rsidRPr="002A28E1">
        <w:br w:type="page"/>
      </w:r>
    </w:p>
    <w:p w14:paraId="060B471A" w14:textId="3DA0A2D6" w:rsidR="007C31D1" w:rsidRPr="002A28E1" w:rsidRDefault="007C31D1" w:rsidP="00BB5803">
      <w:pPr>
        <w:pStyle w:val="Heading1"/>
      </w:pPr>
      <w:bookmarkStart w:id="86" w:name="_Toc16081765"/>
      <w:r w:rsidRPr="002A28E1">
        <w:lastRenderedPageBreak/>
        <w:t>Belgium</w:t>
      </w:r>
      <w:bookmarkEnd w:id="86"/>
    </w:p>
    <w:p w14:paraId="79B360D9" w14:textId="21E7C112" w:rsidR="007C31D1" w:rsidRPr="002A28E1" w:rsidRDefault="007C31D1" w:rsidP="007C31D1">
      <w:pPr>
        <w:pStyle w:val="NormalWeb"/>
        <w:spacing w:before="0" w:beforeAutospacing="0" w:after="0" w:afterAutospacing="0"/>
        <w:jc w:val="both"/>
      </w:pPr>
      <w:r w:rsidRPr="002A28E1">
        <w:rPr>
          <w:color w:val="000000"/>
        </w:rPr>
        <w:t>Belgium ratified the CRPD in 2009.</w:t>
      </w:r>
      <w:r w:rsidR="00FF5C57">
        <w:rPr>
          <w:rStyle w:val="FootnoteReference"/>
          <w:color w:val="000000"/>
        </w:rPr>
        <w:footnoteReference w:id="727"/>
      </w:r>
      <w:r w:rsidRPr="002A28E1">
        <w:rPr>
          <w:color w:val="000000"/>
        </w:rPr>
        <w:t xml:space="preserve"> Belgium has since adopted the </w:t>
      </w:r>
      <w:r w:rsidR="00642710">
        <w:rPr>
          <w:color w:val="000000"/>
        </w:rPr>
        <w:t>“</w:t>
      </w:r>
      <w:r w:rsidRPr="002A28E1">
        <w:rPr>
          <w:color w:val="000000"/>
        </w:rPr>
        <w:t xml:space="preserve">Act </w:t>
      </w:r>
      <w:r w:rsidRPr="002A28E1">
        <w:t>of 17 March 2013, reforming the arrangements with regard to incapacitation and introducing a new protection status in line with human dignity.”</w:t>
      </w:r>
      <w:bookmarkStart w:id="87" w:name="_Ref15303198"/>
      <w:r w:rsidRPr="002A28E1">
        <w:rPr>
          <w:rStyle w:val="FootnoteReference"/>
        </w:rPr>
        <w:footnoteReference w:id="728"/>
      </w:r>
      <w:bookmarkEnd w:id="87"/>
      <w:r w:rsidRPr="002A28E1">
        <w:t xml:space="preserve"> One of the purported objectives of the legislative reform was to align Belgian legislation with the CRPD.</w:t>
      </w:r>
      <w:r w:rsidRPr="002A28E1">
        <w:rPr>
          <w:rStyle w:val="FootnoteReference"/>
        </w:rPr>
        <w:footnoteReference w:id="729"/>
      </w:r>
      <w:r w:rsidRPr="002A28E1">
        <w:t xml:space="preserve"> The </w:t>
      </w:r>
      <w:r w:rsidR="00642710">
        <w:t>legislative reform</w:t>
      </w:r>
      <w:r w:rsidRPr="002A28E1">
        <w:t xml:space="preserve"> establishes a new regime of assisted decision-making, while also providing for the possibility of substituted decision-making.</w:t>
      </w:r>
    </w:p>
    <w:p w14:paraId="71974BB5" w14:textId="77777777" w:rsidR="007C31D1" w:rsidRPr="002A28E1" w:rsidRDefault="007C31D1" w:rsidP="007C31D1">
      <w:pPr>
        <w:pStyle w:val="NormalWeb"/>
        <w:spacing w:before="0" w:beforeAutospacing="0" w:after="0" w:afterAutospacing="0"/>
        <w:jc w:val="both"/>
        <w:rPr>
          <w:color w:val="000000"/>
        </w:rPr>
      </w:pPr>
    </w:p>
    <w:p w14:paraId="544047BA" w14:textId="149E1814" w:rsidR="007C31D1" w:rsidRPr="002A28E1" w:rsidRDefault="007C31D1" w:rsidP="007C31D1">
      <w:pPr>
        <w:pStyle w:val="NormalWeb"/>
        <w:spacing w:before="0" w:beforeAutospacing="0" w:after="0" w:afterAutospacing="0"/>
        <w:jc w:val="both"/>
        <w:rPr>
          <w:color w:val="000000"/>
        </w:rPr>
      </w:pPr>
      <w:r w:rsidRPr="002A28E1">
        <w:rPr>
          <w:color w:val="000000"/>
        </w:rPr>
        <w:t xml:space="preserve">The legislative text </w:t>
      </w:r>
      <w:proofErr w:type="gramStart"/>
      <w:r w:rsidRPr="002A28E1">
        <w:rPr>
          <w:color w:val="000000"/>
        </w:rPr>
        <w:t>was drafted</w:t>
      </w:r>
      <w:proofErr w:type="gramEnd"/>
      <w:r w:rsidRPr="002A28E1">
        <w:rPr>
          <w:color w:val="000000"/>
        </w:rPr>
        <w:t xml:space="preserve"> with the input of central players in the disability field.</w:t>
      </w:r>
      <w:r w:rsidRPr="002A28E1">
        <w:rPr>
          <w:rStyle w:val="FootnoteReference"/>
          <w:color w:val="000000"/>
        </w:rPr>
        <w:footnoteReference w:id="730"/>
      </w:r>
      <w:r w:rsidRPr="002A28E1">
        <w:rPr>
          <w:color w:val="000000"/>
        </w:rPr>
        <w:t xml:space="preserve"> The law reform was “long awaited” by Belgian civil society organizations as well as by the country’s Advisory Structures of Persons with Disabilities (advisory bodies operating at different levels of government).</w:t>
      </w:r>
      <w:r w:rsidRPr="002A28E1">
        <w:rPr>
          <w:rStyle w:val="FootnoteReference"/>
          <w:color w:val="000000"/>
        </w:rPr>
        <w:footnoteReference w:id="731"/>
      </w:r>
      <w:r w:rsidRPr="002A28E1">
        <w:rPr>
          <w:color w:val="000000"/>
        </w:rPr>
        <w:t xml:space="preserve"> The new law </w:t>
      </w:r>
      <w:proofErr w:type="gramStart"/>
      <w:r w:rsidRPr="002A28E1">
        <w:rPr>
          <w:color w:val="000000"/>
        </w:rPr>
        <w:t>was passed by the Belgian Parliament in 2013 and entered into force in 2014</w:t>
      </w:r>
      <w:proofErr w:type="gramEnd"/>
      <w:r w:rsidRPr="002A28E1">
        <w:rPr>
          <w:color w:val="000000"/>
        </w:rPr>
        <w:t>.</w:t>
      </w:r>
      <w:r w:rsidR="00254245">
        <w:rPr>
          <w:rStyle w:val="FootnoteReference"/>
          <w:color w:val="000000"/>
        </w:rPr>
        <w:footnoteReference w:id="732"/>
      </w:r>
    </w:p>
    <w:p w14:paraId="410C96D8" w14:textId="77777777" w:rsidR="007C31D1" w:rsidRPr="002A28E1" w:rsidRDefault="007C31D1" w:rsidP="007C31D1">
      <w:pPr>
        <w:pStyle w:val="NormalWeb"/>
        <w:spacing w:before="0" w:beforeAutospacing="0" w:after="0" w:afterAutospacing="0"/>
        <w:jc w:val="both"/>
        <w:rPr>
          <w:color w:val="000000"/>
        </w:rPr>
      </w:pPr>
    </w:p>
    <w:p w14:paraId="1B03A201" w14:textId="77777777" w:rsidR="007C31D1" w:rsidRPr="002A28E1" w:rsidRDefault="007C31D1" w:rsidP="007C31D1">
      <w:pPr>
        <w:pStyle w:val="NormalWeb"/>
        <w:spacing w:before="0" w:beforeAutospacing="0" w:after="0" w:afterAutospacing="0"/>
        <w:jc w:val="both"/>
        <w:rPr>
          <w:color w:val="000000"/>
        </w:rPr>
      </w:pPr>
      <w:r w:rsidRPr="002A28E1">
        <w:rPr>
          <w:color w:val="000000"/>
        </w:rPr>
        <w:t>Belgium’s legislative reform replaces its former regimes of extended minority, guardianship, judicial advisory and temporary administration with two systems aimed at safeguarding the rights of vulnerable peoples (persons with intellectual disabilities, persons with mental disorders, and some elderly people).</w:t>
      </w:r>
      <w:r w:rsidRPr="002A28E1">
        <w:rPr>
          <w:rStyle w:val="FootnoteReference"/>
          <w:color w:val="000000"/>
        </w:rPr>
        <w:footnoteReference w:id="733"/>
      </w:r>
      <w:r w:rsidRPr="002A28E1">
        <w:rPr>
          <w:color w:val="000000"/>
        </w:rPr>
        <w:t xml:space="preserve"> The two regimes outlined in Belgium’s new legislation are extra-judicial protection and judicial protection. </w:t>
      </w:r>
    </w:p>
    <w:p w14:paraId="756AC96A" w14:textId="77777777" w:rsidR="007C31D1" w:rsidRPr="002A28E1" w:rsidRDefault="007C31D1" w:rsidP="007C31D1">
      <w:pPr>
        <w:pStyle w:val="NormalWeb"/>
        <w:spacing w:before="0" w:beforeAutospacing="0" w:after="0" w:afterAutospacing="0"/>
        <w:jc w:val="both"/>
        <w:rPr>
          <w:color w:val="000000"/>
        </w:rPr>
      </w:pPr>
    </w:p>
    <w:p w14:paraId="1CBDEB89" w14:textId="16CEDDEC" w:rsidR="007C31D1" w:rsidRPr="002A28E1" w:rsidRDefault="007C31D1" w:rsidP="007C31D1">
      <w:pPr>
        <w:pStyle w:val="NormalWeb"/>
        <w:spacing w:before="0" w:beforeAutospacing="0" w:after="0" w:afterAutospacing="0"/>
        <w:jc w:val="both"/>
        <w:rPr>
          <w:color w:val="000000"/>
        </w:rPr>
      </w:pPr>
      <w:r w:rsidRPr="002A28E1">
        <w:rPr>
          <w:color w:val="000000"/>
        </w:rPr>
        <w:t xml:space="preserve">With extra-judicial protection, a person who is capable of expressing their will can sign a contract to authorize someone to represent them in matters pertaining to their </w:t>
      </w:r>
      <w:r w:rsidRPr="00E61B94">
        <w:rPr>
          <w:color w:val="000000"/>
        </w:rPr>
        <w:t>person or property, or in administrative actions.</w:t>
      </w:r>
      <w:r w:rsidRPr="00E61B94">
        <w:rPr>
          <w:rStyle w:val="FootnoteReference"/>
          <w:color w:val="000000"/>
        </w:rPr>
        <w:footnoteReference w:id="734"/>
      </w:r>
      <w:r w:rsidRPr="00E61B94">
        <w:rPr>
          <w:color w:val="000000"/>
        </w:rPr>
        <w:t xml:space="preserve"> The person requesting extra-judicial protection </w:t>
      </w:r>
      <w:r w:rsidR="005661B7" w:rsidRPr="00E61B94">
        <w:rPr>
          <w:color w:val="000000"/>
        </w:rPr>
        <w:t>can chose whether</w:t>
      </w:r>
      <w:r w:rsidRPr="00E61B94">
        <w:rPr>
          <w:color w:val="000000"/>
        </w:rPr>
        <w:t xml:space="preserve"> the contract will take effect </w:t>
      </w:r>
      <w:r w:rsidR="00663ED9" w:rsidRPr="00E61B94">
        <w:rPr>
          <w:color w:val="000000"/>
        </w:rPr>
        <w:t xml:space="preserve">either </w:t>
      </w:r>
      <w:r w:rsidRPr="00E61B94">
        <w:rPr>
          <w:color w:val="000000"/>
        </w:rPr>
        <w:t>immediately or at the moment when the person is incapable (in fact)</w:t>
      </w:r>
      <w:r w:rsidRPr="002A28E1">
        <w:rPr>
          <w:color w:val="000000"/>
        </w:rPr>
        <w:t xml:space="preserve"> </w:t>
      </w:r>
      <w:r w:rsidRPr="002A28E1">
        <w:rPr>
          <w:color w:val="000000"/>
        </w:rPr>
        <w:lastRenderedPageBreak/>
        <w:t>of carrying out certain acts.</w:t>
      </w:r>
      <w:bookmarkStart w:id="88" w:name="_Ref15305646"/>
      <w:r w:rsidRPr="002A28E1">
        <w:rPr>
          <w:rStyle w:val="FootnoteReference"/>
          <w:color w:val="000000"/>
        </w:rPr>
        <w:footnoteReference w:id="735"/>
      </w:r>
      <w:bookmarkEnd w:id="88"/>
      <w:r w:rsidRPr="002A28E1">
        <w:rPr>
          <w:color w:val="000000"/>
        </w:rPr>
        <w:t xml:space="preserve"> Such contracts </w:t>
      </w:r>
      <w:proofErr w:type="gramStart"/>
      <w:r w:rsidRPr="002A28E1">
        <w:rPr>
          <w:color w:val="000000"/>
        </w:rPr>
        <w:t>must be registered</w:t>
      </w:r>
      <w:proofErr w:type="gramEnd"/>
      <w:r w:rsidRPr="002A28E1">
        <w:rPr>
          <w:color w:val="000000"/>
        </w:rPr>
        <w:t xml:space="preserve"> via a notary or a clerk of the justice of the peace.</w:t>
      </w:r>
      <w:r w:rsidRPr="002A28E1">
        <w:rPr>
          <w:rStyle w:val="FootnoteReference"/>
          <w:color w:val="000000"/>
        </w:rPr>
        <w:footnoteReference w:id="736"/>
      </w:r>
    </w:p>
    <w:p w14:paraId="3D019C58" w14:textId="77777777" w:rsidR="007C31D1" w:rsidRPr="002A28E1" w:rsidRDefault="007C31D1" w:rsidP="007C31D1">
      <w:pPr>
        <w:pStyle w:val="NormalWeb"/>
        <w:spacing w:before="0" w:beforeAutospacing="0" w:after="0" w:afterAutospacing="0"/>
        <w:jc w:val="both"/>
        <w:rPr>
          <w:color w:val="000000"/>
        </w:rPr>
      </w:pPr>
    </w:p>
    <w:p w14:paraId="01D7B0F1" w14:textId="575C0EB6" w:rsidR="007C31D1" w:rsidRPr="002A28E1" w:rsidRDefault="007C31D1" w:rsidP="007C31D1">
      <w:pPr>
        <w:pStyle w:val="NormalWeb"/>
        <w:spacing w:before="0" w:beforeAutospacing="0" w:after="0" w:afterAutospacing="0"/>
        <w:jc w:val="both"/>
        <w:rPr>
          <w:color w:val="000000"/>
        </w:rPr>
      </w:pPr>
      <w:r w:rsidRPr="002A28E1">
        <w:rPr>
          <w:color w:val="000000"/>
        </w:rPr>
        <w:t xml:space="preserve">The new legislation also outlines two forms of judicial protection: assistance and representation. The amended Belgian Civil Code allows a justice of the peace, </w:t>
      </w:r>
      <w:r w:rsidR="00CD2476">
        <w:rPr>
          <w:color w:val="000000"/>
        </w:rPr>
        <w:t xml:space="preserve">upon </w:t>
      </w:r>
      <w:r w:rsidR="006F6AA9">
        <w:rPr>
          <w:color w:val="000000"/>
        </w:rPr>
        <w:t>consider</w:t>
      </w:r>
      <w:r w:rsidR="00CD2476">
        <w:rPr>
          <w:color w:val="000000"/>
        </w:rPr>
        <w:t>ation of</w:t>
      </w:r>
      <w:r w:rsidRPr="002A28E1">
        <w:rPr>
          <w:color w:val="000000"/>
        </w:rPr>
        <w:t xml:space="preserve"> </w:t>
      </w:r>
      <w:r w:rsidR="007F0A4D">
        <w:rPr>
          <w:color w:val="000000"/>
        </w:rPr>
        <w:t>“health status” and “personal circumstances</w:t>
      </w:r>
      <w:r w:rsidRPr="002A28E1">
        <w:rPr>
          <w:color w:val="000000"/>
        </w:rPr>
        <w:t>,</w:t>
      </w:r>
      <w:r w:rsidR="007F0A4D">
        <w:rPr>
          <w:color w:val="000000"/>
        </w:rPr>
        <w:t>”</w:t>
      </w:r>
      <w:r w:rsidRPr="002A28E1">
        <w:rPr>
          <w:color w:val="000000"/>
        </w:rPr>
        <w:t xml:space="preserve"> to declare a person incapable of accomplishing one or more acts relating to their person or property and to impose a measure of judicial protection upon this person in these areas.</w:t>
      </w:r>
      <w:r w:rsidRPr="002A28E1">
        <w:rPr>
          <w:rStyle w:val="FootnoteReference"/>
          <w:color w:val="000000"/>
        </w:rPr>
        <w:footnoteReference w:id="737"/>
      </w:r>
      <w:r w:rsidRPr="002A28E1">
        <w:rPr>
          <w:color w:val="000000"/>
        </w:rPr>
        <w:t xml:space="preserve"> A justice of the peace can impose measures of “assistance” when the </w:t>
      </w:r>
      <w:proofErr w:type="gramStart"/>
      <w:r w:rsidRPr="002A28E1">
        <w:rPr>
          <w:color w:val="000000"/>
        </w:rPr>
        <w:t>person is able to carry out a certain act themselves</w:t>
      </w:r>
      <w:proofErr w:type="gramEnd"/>
      <w:r w:rsidRPr="002A28E1">
        <w:rPr>
          <w:color w:val="000000"/>
        </w:rPr>
        <w:t>, but is not able to do so autonomously.</w:t>
      </w:r>
      <w:r w:rsidRPr="002A28E1">
        <w:rPr>
          <w:rStyle w:val="FootnoteReference"/>
          <w:color w:val="000000"/>
        </w:rPr>
        <w:footnoteReference w:id="738"/>
      </w:r>
      <w:r w:rsidRPr="002A28E1">
        <w:rPr>
          <w:color w:val="000000"/>
        </w:rPr>
        <w:t xml:space="preserve"> With the regime of assistance, a judge appoints an administrator tasked with “perfecting the validity of an act posed by the protected person themselves.”</w:t>
      </w:r>
      <w:r w:rsidRPr="002A28E1">
        <w:rPr>
          <w:rStyle w:val="FootnoteReference"/>
          <w:color w:val="000000"/>
        </w:rPr>
        <w:footnoteReference w:id="739"/>
      </w:r>
      <w:r w:rsidRPr="002A28E1">
        <w:rPr>
          <w:color w:val="000000"/>
        </w:rPr>
        <w:t xml:space="preserve"> Ostensibly, assistance consists of the administrator giving prior written consent to the performance of certain acts.</w:t>
      </w:r>
      <w:r w:rsidRPr="002A28E1">
        <w:rPr>
          <w:rStyle w:val="FootnoteReference"/>
          <w:color w:val="000000"/>
        </w:rPr>
        <w:footnoteReference w:id="740"/>
      </w:r>
      <w:r w:rsidRPr="002A28E1">
        <w:rPr>
          <w:color w:val="000000"/>
        </w:rPr>
        <w:t xml:space="preserve"> The administrator </w:t>
      </w:r>
      <w:proofErr w:type="gramStart"/>
      <w:r w:rsidRPr="002A28E1">
        <w:rPr>
          <w:color w:val="000000"/>
        </w:rPr>
        <w:t>is tasked</w:t>
      </w:r>
      <w:proofErr w:type="gramEnd"/>
      <w:r w:rsidRPr="002A28E1">
        <w:rPr>
          <w:color w:val="000000"/>
        </w:rPr>
        <w:t xml:space="preserve"> with assisting the protected person when they are carrying out a specified act, “unless the act envisaged is manifestly prejudicial to the interests of the protected person.”</w:t>
      </w:r>
      <w:r w:rsidRPr="002A28E1">
        <w:rPr>
          <w:rStyle w:val="FootnoteReference"/>
          <w:color w:val="000000"/>
        </w:rPr>
        <w:footnoteReference w:id="741"/>
      </w:r>
      <w:r w:rsidRPr="002A28E1">
        <w:rPr>
          <w:color w:val="000000"/>
        </w:rPr>
        <w:t xml:space="preserve"> The Code establishes</w:t>
      </w:r>
      <w:r w:rsidR="0033663D">
        <w:rPr>
          <w:color w:val="000000"/>
        </w:rPr>
        <w:t xml:space="preserve"> </w:t>
      </w:r>
      <w:r w:rsidRPr="002A28E1">
        <w:rPr>
          <w:color w:val="000000"/>
        </w:rPr>
        <w:t xml:space="preserve">a preference for assistance over representation: representation </w:t>
      </w:r>
      <w:proofErr w:type="gramStart"/>
      <w:r w:rsidRPr="002A28E1">
        <w:rPr>
          <w:color w:val="000000"/>
        </w:rPr>
        <w:t>can only be ordered</w:t>
      </w:r>
      <w:proofErr w:type="gramEnd"/>
      <w:r w:rsidRPr="002A28E1">
        <w:rPr>
          <w:color w:val="000000"/>
        </w:rPr>
        <w:t xml:space="preserve"> where assistance in the carrying out of a certain act “does not suffice.”</w:t>
      </w:r>
      <w:r w:rsidRPr="002A28E1">
        <w:rPr>
          <w:rStyle w:val="FootnoteReference"/>
          <w:color w:val="000000"/>
        </w:rPr>
        <w:footnoteReference w:id="742"/>
      </w:r>
    </w:p>
    <w:p w14:paraId="4AABC047" w14:textId="77777777" w:rsidR="007C31D1" w:rsidRPr="002A28E1" w:rsidRDefault="007C31D1" w:rsidP="007C31D1">
      <w:pPr>
        <w:pStyle w:val="NormalWeb"/>
        <w:spacing w:before="0" w:beforeAutospacing="0" w:after="0" w:afterAutospacing="0"/>
        <w:jc w:val="both"/>
        <w:rPr>
          <w:color w:val="000000"/>
        </w:rPr>
      </w:pPr>
    </w:p>
    <w:p w14:paraId="39FC3C83" w14:textId="54D0B8B0" w:rsidR="007C31D1" w:rsidRPr="002A28E1" w:rsidRDefault="00066AF6" w:rsidP="007C31D1">
      <w:pPr>
        <w:pStyle w:val="NormalWeb"/>
        <w:spacing w:before="0" w:beforeAutospacing="0" w:after="0" w:afterAutospacing="0"/>
        <w:jc w:val="both"/>
        <w:rPr>
          <w:color w:val="000000"/>
        </w:rPr>
      </w:pPr>
      <w:r w:rsidRPr="00E61B94">
        <w:rPr>
          <w:color w:val="000000"/>
        </w:rPr>
        <w:t xml:space="preserve">A justice of the peace can opt for measures of </w:t>
      </w:r>
      <w:proofErr w:type="gramStart"/>
      <w:r w:rsidRPr="00E61B94">
        <w:rPr>
          <w:color w:val="000000"/>
        </w:rPr>
        <w:t>representation where a person can neither</w:t>
      </w:r>
      <w:proofErr w:type="gramEnd"/>
      <w:r w:rsidRPr="00E61B94">
        <w:rPr>
          <w:color w:val="000000"/>
        </w:rPr>
        <w:t xml:space="preserve"> carry out a certain act autonomously nor themselves</w:t>
      </w:r>
      <w:r w:rsidR="006552B1" w:rsidRPr="00E61B94">
        <w:rPr>
          <w:color w:val="000000"/>
        </w:rPr>
        <w:t xml:space="preserve"> in any way</w:t>
      </w:r>
      <w:r w:rsidRPr="00E61B94">
        <w:rPr>
          <w:color w:val="000000"/>
        </w:rPr>
        <w:t>.</w:t>
      </w:r>
      <w:r w:rsidRPr="00E61B94">
        <w:rPr>
          <w:rStyle w:val="FootnoteReference"/>
          <w:color w:val="000000"/>
        </w:rPr>
        <w:footnoteReference w:id="743"/>
      </w:r>
      <w:r w:rsidR="00446AE5" w:rsidRPr="00E61B94">
        <w:rPr>
          <w:color w:val="000000"/>
        </w:rPr>
        <w:t xml:space="preserve"> </w:t>
      </w:r>
      <w:r w:rsidR="007C31D1" w:rsidRPr="00E61B94">
        <w:rPr>
          <w:color w:val="000000"/>
        </w:rPr>
        <w:t>With the regime of representation, a justice of the peace designate</w:t>
      </w:r>
      <w:r w:rsidRPr="00E61B94">
        <w:rPr>
          <w:color w:val="000000"/>
        </w:rPr>
        <w:t>s</w:t>
      </w:r>
      <w:r w:rsidR="007C31D1" w:rsidRPr="00E61B94">
        <w:rPr>
          <w:color w:val="000000"/>
        </w:rPr>
        <w:t xml:space="preserve"> an administrator to intervene in the name of and on behalf of the protected person.</w:t>
      </w:r>
      <w:r w:rsidR="007C31D1" w:rsidRPr="00E61B94">
        <w:rPr>
          <w:rStyle w:val="FootnoteReference"/>
          <w:color w:val="000000"/>
        </w:rPr>
        <w:footnoteReference w:id="744"/>
      </w:r>
      <w:r w:rsidR="007C31D1" w:rsidRPr="00E61B94">
        <w:rPr>
          <w:color w:val="000000"/>
        </w:rPr>
        <w:t xml:space="preserve"> The representative</w:t>
      </w:r>
      <w:r w:rsidR="007C31D1" w:rsidRPr="002A28E1">
        <w:rPr>
          <w:color w:val="000000"/>
        </w:rPr>
        <w:t xml:space="preserve"> acts in the personal or property matters in which the justice of the peace has declared the person incapable.</w:t>
      </w:r>
      <w:r w:rsidR="007C31D1" w:rsidRPr="002A28E1">
        <w:rPr>
          <w:rStyle w:val="FootnoteReference"/>
          <w:color w:val="000000"/>
        </w:rPr>
        <w:footnoteReference w:id="745"/>
      </w:r>
      <w:r w:rsidR="00DE20F5">
        <w:rPr>
          <w:color w:val="000000"/>
        </w:rPr>
        <w:t xml:space="preserve"> </w:t>
      </w:r>
    </w:p>
    <w:p w14:paraId="1CAA3A78" w14:textId="77777777" w:rsidR="007C31D1" w:rsidRPr="002A28E1" w:rsidRDefault="007C31D1" w:rsidP="007C31D1">
      <w:pPr>
        <w:pStyle w:val="NormalWeb"/>
        <w:spacing w:before="0" w:beforeAutospacing="0" w:after="0" w:afterAutospacing="0"/>
        <w:jc w:val="both"/>
        <w:rPr>
          <w:color w:val="000000"/>
        </w:rPr>
      </w:pPr>
    </w:p>
    <w:p w14:paraId="4991CF02" w14:textId="59307881" w:rsidR="007C31D1" w:rsidRPr="002A28E1" w:rsidRDefault="007C31D1" w:rsidP="007C31D1">
      <w:pPr>
        <w:pStyle w:val="NormalWeb"/>
        <w:spacing w:before="0" w:beforeAutospacing="0" w:after="0" w:afterAutospacing="0"/>
        <w:jc w:val="both"/>
        <w:rPr>
          <w:color w:val="000000"/>
        </w:rPr>
      </w:pPr>
      <w:r w:rsidRPr="002A28E1">
        <w:rPr>
          <w:color w:val="000000"/>
        </w:rPr>
        <w:t>Administrators</w:t>
      </w:r>
      <w:r w:rsidR="0033663D">
        <w:rPr>
          <w:color w:val="000000"/>
        </w:rPr>
        <w:t xml:space="preserve"> in both assistance and representation arrangements</w:t>
      </w:r>
      <w:r w:rsidRPr="002A28E1">
        <w:rPr>
          <w:color w:val="000000"/>
        </w:rPr>
        <w:t xml:space="preserve"> are subject to judicial oversight through the submission of reports to the justice of the peace.</w:t>
      </w:r>
      <w:r w:rsidRPr="002A28E1">
        <w:rPr>
          <w:rStyle w:val="FootnoteReference"/>
          <w:color w:val="000000"/>
        </w:rPr>
        <w:footnoteReference w:id="746"/>
      </w:r>
      <w:r w:rsidR="001A0EA3">
        <w:rPr>
          <w:color w:val="000000"/>
        </w:rPr>
        <w:t xml:space="preserve"> </w:t>
      </w:r>
      <w:r w:rsidR="001A0EA3">
        <w:t xml:space="preserve">Moreover, the justice of the peace </w:t>
      </w:r>
      <w:proofErr w:type="gramStart"/>
      <w:r w:rsidR="001A0EA3">
        <w:t>is authorized</w:t>
      </w:r>
      <w:proofErr w:type="gramEnd"/>
      <w:r w:rsidR="001A0EA3">
        <w:t xml:space="preserve"> to replace the administrator or modify their powers, either on justice of the peace’s own initiative or at the request of a prosecutor, the protected person, the trusted person, the administrator, or any interested person.</w:t>
      </w:r>
      <w:r w:rsidR="001A0EA3">
        <w:rPr>
          <w:rStyle w:val="FootnoteReference"/>
        </w:rPr>
        <w:footnoteReference w:id="747"/>
      </w:r>
    </w:p>
    <w:p w14:paraId="79BF4927" w14:textId="77777777" w:rsidR="007C31D1" w:rsidRPr="002A28E1" w:rsidRDefault="007C31D1" w:rsidP="007C31D1">
      <w:pPr>
        <w:pStyle w:val="NormalWeb"/>
        <w:spacing w:before="0" w:beforeAutospacing="0" w:after="0" w:afterAutospacing="0"/>
        <w:jc w:val="both"/>
        <w:rPr>
          <w:color w:val="000000"/>
        </w:rPr>
      </w:pPr>
    </w:p>
    <w:p w14:paraId="3A665DAC" w14:textId="520A1A62" w:rsidR="007C31D1" w:rsidRPr="002A28E1" w:rsidRDefault="007C31D1" w:rsidP="007C31D1">
      <w:pPr>
        <w:pStyle w:val="NormalWeb"/>
        <w:spacing w:before="0" w:beforeAutospacing="0" w:after="0" w:afterAutospacing="0"/>
        <w:jc w:val="both"/>
      </w:pPr>
      <w:r w:rsidRPr="002A28E1">
        <w:rPr>
          <w:color w:val="000000"/>
        </w:rPr>
        <w:t>Wit</w:t>
      </w:r>
      <w:r w:rsidR="009E087C">
        <w:rPr>
          <w:color w:val="000000"/>
        </w:rPr>
        <w:t>h</w:t>
      </w:r>
      <w:r w:rsidRPr="002A28E1">
        <w:rPr>
          <w:color w:val="000000"/>
        </w:rPr>
        <w:t xml:space="preserve"> both types of judicial protection, the protected person also has the right to </w:t>
      </w:r>
      <w:proofErr w:type="gramStart"/>
      <w:r w:rsidRPr="002A28E1">
        <w:rPr>
          <w:color w:val="000000"/>
        </w:rPr>
        <w:t>be supported</w:t>
      </w:r>
      <w:proofErr w:type="gramEnd"/>
      <w:r w:rsidRPr="002A28E1">
        <w:rPr>
          <w:color w:val="000000"/>
        </w:rPr>
        <w:t xml:space="preserve"> by a “trusted person.”</w:t>
      </w:r>
      <w:r w:rsidRPr="002A28E1">
        <w:rPr>
          <w:rStyle w:val="FootnoteReference"/>
          <w:color w:val="000000"/>
        </w:rPr>
        <w:footnoteReference w:id="748"/>
      </w:r>
      <w:r w:rsidRPr="002A28E1">
        <w:rPr>
          <w:color w:val="000000"/>
        </w:rPr>
        <w:t xml:space="preserve"> The </w:t>
      </w:r>
      <w:r w:rsidRPr="002A28E1">
        <w:t>trusted person serves as an intermediary between the administrator and the protected person (they are to stay in close contact with each).</w:t>
      </w:r>
      <w:r w:rsidR="00BD71F1">
        <w:rPr>
          <w:rStyle w:val="FootnoteReference"/>
        </w:rPr>
        <w:footnoteReference w:id="749"/>
      </w:r>
      <w:r w:rsidRPr="002A28E1">
        <w:t xml:space="preserve"> The trusted person is tasked </w:t>
      </w:r>
      <w:r w:rsidRPr="002A28E1">
        <w:lastRenderedPageBreak/>
        <w:t>with expressing the opinion of the protected person if they are not able to do so themselves or to help them to express their opinion if she cannot do so autonomously.</w:t>
      </w:r>
      <w:r w:rsidR="008E23B1">
        <w:rPr>
          <w:rStyle w:val="FootnoteReference"/>
        </w:rPr>
        <w:footnoteReference w:id="750"/>
      </w:r>
      <w:r w:rsidRPr="002A28E1">
        <w:t xml:space="preserve"> They </w:t>
      </w:r>
      <w:proofErr w:type="gramStart"/>
      <w:r w:rsidRPr="002A28E1">
        <w:t>are also supposed</w:t>
      </w:r>
      <w:proofErr w:type="gramEnd"/>
      <w:r w:rsidRPr="002A28E1">
        <w:t xml:space="preserve"> to sees to the smooth functioning of the administration.</w:t>
      </w:r>
      <w:r w:rsidRPr="002A28E1">
        <w:rPr>
          <w:rStyle w:val="FootnoteReference"/>
        </w:rPr>
        <w:footnoteReference w:id="751"/>
      </w:r>
      <w:r w:rsidRPr="002A28E1">
        <w:t xml:space="preserve"> The trusted person receives all reports relating to the administration</w:t>
      </w:r>
      <w:r w:rsidR="007161B4">
        <w:t xml:space="preserve"> and</w:t>
      </w:r>
      <w:r w:rsidRPr="002A28E1">
        <w:t xml:space="preserve"> may request pertinent information from the administrator.</w:t>
      </w:r>
      <w:r w:rsidRPr="002A28E1">
        <w:rPr>
          <w:rStyle w:val="FootnoteReference"/>
        </w:rPr>
        <w:footnoteReference w:id="752"/>
      </w:r>
      <w:r w:rsidR="007161B4" w:rsidRPr="007161B4">
        <w:t xml:space="preserve"> </w:t>
      </w:r>
      <w:r w:rsidR="007161B4">
        <w:t xml:space="preserve"> T</w:t>
      </w:r>
      <w:r w:rsidR="007161B4" w:rsidRPr="002A28E1">
        <w:t xml:space="preserve">he administrator </w:t>
      </w:r>
      <w:r w:rsidR="007161B4">
        <w:t xml:space="preserve">must </w:t>
      </w:r>
      <w:r w:rsidR="007161B4" w:rsidRPr="002A28E1">
        <w:t xml:space="preserve">keep them </w:t>
      </w:r>
      <w:r w:rsidR="007161B4">
        <w:t xml:space="preserve">the trusted person </w:t>
      </w:r>
      <w:r w:rsidR="007161B4" w:rsidRPr="002A28E1">
        <w:t>up to date regarding all acts relating to the administration</w:t>
      </w:r>
      <w:r w:rsidR="00643BED">
        <w:t xml:space="preserve"> regime.</w:t>
      </w:r>
      <w:r w:rsidR="004E2C8A">
        <w:rPr>
          <w:rStyle w:val="FootnoteReference"/>
        </w:rPr>
        <w:footnoteReference w:id="753"/>
      </w:r>
    </w:p>
    <w:p w14:paraId="042456BF" w14:textId="77777777" w:rsidR="007C31D1" w:rsidRPr="002A28E1" w:rsidRDefault="007C31D1" w:rsidP="007C31D1"/>
    <w:p w14:paraId="012086E7" w14:textId="7DB322CF" w:rsidR="007C31D1" w:rsidRPr="002A28E1" w:rsidRDefault="007C31D1" w:rsidP="007C31D1">
      <w:r w:rsidRPr="002A28E1">
        <w:t xml:space="preserve">With both assistance and representation, the affected person themselves can make a declaration before a justice of the peace or a notary as to their preference regarding who </w:t>
      </w:r>
      <w:r w:rsidR="00506023">
        <w:t>should</w:t>
      </w:r>
      <w:r w:rsidRPr="002A28E1">
        <w:t xml:space="preserve"> be appointed as both their administrator and their trusted person.</w:t>
      </w:r>
      <w:r w:rsidRPr="002A28E1">
        <w:rPr>
          <w:rStyle w:val="FootnoteReference"/>
        </w:rPr>
        <w:footnoteReference w:id="754"/>
      </w:r>
      <w:r w:rsidRPr="002A28E1">
        <w:t xml:space="preserve"> If the persons designated as administrators or trusted persons accept these positions, the justice of the peace homologates the designation, unless they deem that serious reasons regarding the best interests of the protected person prevent them from following the choice.</w:t>
      </w:r>
      <w:r w:rsidRPr="002A28E1">
        <w:rPr>
          <w:rStyle w:val="FootnoteReference"/>
        </w:rPr>
        <w:footnoteReference w:id="755"/>
      </w:r>
      <w:r w:rsidRPr="002A28E1">
        <w:t xml:space="preserve"> </w:t>
      </w:r>
      <w:proofErr w:type="gramStart"/>
      <w:r w:rsidRPr="002A28E1">
        <w:t xml:space="preserve">If the protected person did not indicate a preference as to their administrator or their choice was not followed, the justice of the peace will select an administrator, appointing in order of preference: the parents or a parent, the spouse, the legal cohabitant, the person living </w:t>
      </w:r>
      <w:proofErr w:type="spellStart"/>
      <w:r w:rsidRPr="002A28E1">
        <w:t>maritally</w:t>
      </w:r>
      <w:proofErr w:type="spellEnd"/>
      <w:r w:rsidRPr="002A28E1">
        <w:t xml:space="preserve"> with the person to be protected, a close family member, a person in charge of the daily care of the person, a private foundation dedicated exclusively to the person to be protected.</w:t>
      </w:r>
      <w:r w:rsidRPr="002A28E1">
        <w:rPr>
          <w:rStyle w:val="FootnoteReference"/>
        </w:rPr>
        <w:footnoteReference w:id="756"/>
      </w:r>
      <w:proofErr w:type="gramEnd"/>
      <w:r w:rsidRPr="002A28E1">
        <w:t xml:space="preserve"> The justice of the peace is to make this choice taking into account the personal situation, the life conditions and the familial situation of the person </w:t>
      </w:r>
      <w:proofErr w:type="gramStart"/>
      <w:r w:rsidRPr="002A28E1">
        <w:t>be protected</w:t>
      </w:r>
      <w:proofErr w:type="gramEnd"/>
      <w:r w:rsidRPr="002A28E1">
        <w:t xml:space="preserve">. </w:t>
      </w:r>
      <w:r w:rsidRPr="002A28E1">
        <w:rPr>
          <w:rStyle w:val="FootnoteReference"/>
        </w:rPr>
        <w:footnoteReference w:id="757"/>
      </w:r>
      <w:r w:rsidRPr="002A28E1">
        <w:t xml:space="preserve"> If the protected person did not suggest an individual to act as their trusted person, the justice of the peace may look into designating a trusted person.</w:t>
      </w:r>
      <w:r w:rsidRPr="002A28E1">
        <w:rPr>
          <w:rStyle w:val="FootnoteReference"/>
        </w:rPr>
        <w:footnoteReference w:id="758"/>
      </w:r>
    </w:p>
    <w:p w14:paraId="57E3F128" w14:textId="77777777" w:rsidR="007C31D1" w:rsidRPr="002A28E1" w:rsidRDefault="007C31D1" w:rsidP="007C31D1"/>
    <w:p w14:paraId="5EA76FEF" w14:textId="7D3618E0" w:rsidR="007C31D1" w:rsidRPr="002A28E1" w:rsidRDefault="007C31D1" w:rsidP="007C31D1">
      <w:r w:rsidRPr="002A28E1">
        <w:t xml:space="preserve">With respect to its degree of compliance with Article 12 of the CRPD, Belgium’s legislative scheme does </w:t>
      </w:r>
      <w:r w:rsidRPr="009349FE">
        <w:t xml:space="preserve">not recognize universal legal capacity for persons with disabilities. Restrictions on legal capacity based on </w:t>
      </w:r>
      <w:r w:rsidR="005F6F56" w:rsidRPr="009349FE">
        <w:t>“health status” and “personal circumstances” are possible.</w:t>
      </w:r>
      <w:r w:rsidR="00565C9F" w:rsidRPr="009349FE">
        <w:rPr>
          <w:rStyle w:val="FootnoteReference"/>
        </w:rPr>
        <w:footnoteReference w:id="759"/>
      </w:r>
      <w:r w:rsidR="005F6F56" w:rsidRPr="009349FE">
        <w:t xml:space="preserve"> </w:t>
      </w:r>
      <w:r w:rsidR="000B4A90" w:rsidRPr="009349FE">
        <w:t xml:space="preserve">While these criteria appear to be vague, </w:t>
      </w:r>
      <w:r w:rsidR="00DA3E16" w:rsidRPr="009349FE">
        <w:t xml:space="preserve">this may problematically allow for restrictions of legal capacity based on </w:t>
      </w:r>
      <w:r w:rsidR="00853E76" w:rsidRPr="009349FE">
        <w:t>the diagnosis of an impairment</w:t>
      </w:r>
      <w:r w:rsidRPr="002A28E1">
        <w:t>.</w:t>
      </w:r>
      <w:r w:rsidR="001C7114">
        <w:rPr>
          <w:rStyle w:val="FootnoteReference"/>
        </w:rPr>
        <w:footnoteReference w:id="760"/>
      </w:r>
      <w:r w:rsidR="007E0006">
        <w:t xml:space="preserve"> </w:t>
      </w:r>
      <w:r w:rsidRPr="002A28E1">
        <w:t xml:space="preserve">The availability of representation, seemingly a form of substitute decision-making, is also problematic from the point of view of Article 12. </w:t>
      </w:r>
    </w:p>
    <w:p w14:paraId="587E1869" w14:textId="77777777" w:rsidR="007C31D1" w:rsidRPr="002A28E1" w:rsidRDefault="007C31D1" w:rsidP="007C31D1"/>
    <w:p w14:paraId="787B6642" w14:textId="239713B9" w:rsidR="007C31D1" w:rsidRPr="009349FE" w:rsidRDefault="007C31D1" w:rsidP="007C31D1">
      <w:r w:rsidRPr="002A28E1">
        <w:t xml:space="preserve">Moreover, it is debatable whether the </w:t>
      </w:r>
      <w:r w:rsidRPr="00483559">
        <w:t>act lays out supported decision-making in conformity with Article 12. The regime of assisted decision-making does empower the person with disabilities in that it gives them the power of initiative to propose to carry out a certain act. However, it would seem that the assisting administrator effectively possesses a “veto” power</w:t>
      </w:r>
      <w:r w:rsidRPr="002A28E1">
        <w:t xml:space="preserve"> over the protected person’s decisions, as the administrator’s prior consent is required for the assisted person’s actions to be valid in law.</w:t>
      </w:r>
      <w:r w:rsidR="00483559">
        <w:rPr>
          <w:rStyle w:val="FootnoteReference"/>
        </w:rPr>
        <w:footnoteReference w:id="761"/>
      </w:r>
      <w:r w:rsidRPr="002A28E1">
        <w:t xml:space="preserve"> The UN Special Rapporteur on the rights of persons with disabilities </w:t>
      </w:r>
      <w:r w:rsidRPr="002A28E1">
        <w:lastRenderedPageBreak/>
        <w:t xml:space="preserve">has criticized such veto powers inherent in co-decision arrangements, </w:t>
      </w:r>
      <w:r w:rsidR="00406005">
        <w:t>maintaining</w:t>
      </w:r>
      <w:r w:rsidRPr="002A28E1">
        <w:t xml:space="preserve"> that they restrict the exercise of a person’s legal capacity.</w:t>
      </w:r>
      <w:r w:rsidRPr="002A28E1">
        <w:rPr>
          <w:rStyle w:val="FootnoteReference"/>
        </w:rPr>
        <w:footnoteReference w:id="762"/>
      </w:r>
      <w:r w:rsidRPr="002A28E1">
        <w:t xml:space="preserve"> Moreover, the law authorises administrators to withdraw their assistance if they deem an act would be contrary to the interests of the protected person.</w:t>
      </w:r>
      <w:r w:rsidRPr="002A28E1">
        <w:rPr>
          <w:rStyle w:val="FootnoteReference"/>
        </w:rPr>
        <w:footnoteReference w:id="763"/>
      </w:r>
      <w:r w:rsidRPr="002A28E1">
        <w:t xml:space="preserve"> This would appear to go against the “will and preferences” paradigm characterising Article 12 of the CRPD, as the administrator is entitled to act in the </w:t>
      </w:r>
      <w:proofErr w:type="gramStart"/>
      <w:r w:rsidRPr="002A28E1">
        <w:t>person’s</w:t>
      </w:r>
      <w:proofErr w:type="gramEnd"/>
      <w:r w:rsidRPr="002A28E1">
        <w:t xml:space="preserve"> perceived “best interest” </w:t>
      </w:r>
      <w:r w:rsidRPr="009349FE">
        <w:t>rather than being required to uphold their will and preferences.</w:t>
      </w:r>
    </w:p>
    <w:p w14:paraId="310EE452" w14:textId="77777777" w:rsidR="007C31D1" w:rsidRPr="009349FE" w:rsidRDefault="007C31D1" w:rsidP="007C31D1"/>
    <w:p w14:paraId="2359D876" w14:textId="6C095A5D" w:rsidR="007C31D1" w:rsidRPr="002A28E1" w:rsidRDefault="007C31D1" w:rsidP="007C31D1">
      <w:r w:rsidRPr="009349FE">
        <w:t xml:space="preserve">Additionally, the assisted decision-making scheme outlined in the act is problematic with respect to Article 12, as assistance is only available to those who </w:t>
      </w:r>
      <w:proofErr w:type="gramStart"/>
      <w:r w:rsidRPr="009349FE">
        <w:t>have been deemed</w:t>
      </w:r>
      <w:proofErr w:type="gramEnd"/>
      <w:r w:rsidRPr="009349FE">
        <w:t xml:space="preserve"> incapacitated with respect </w:t>
      </w:r>
      <w:r w:rsidRPr="00730EC6">
        <w:t>to a given matter.</w:t>
      </w:r>
      <w:r w:rsidR="00C00C8C" w:rsidRPr="00730EC6">
        <w:rPr>
          <w:rStyle w:val="FootnoteReference"/>
        </w:rPr>
        <w:footnoteReference w:id="764"/>
      </w:r>
      <w:r w:rsidRPr="00730EC6">
        <w:t xml:space="preserve"> Supports envisaged by the CRPD </w:t>
      </w:r>
      <w:proofErr w:type="gramStart"/>
      <w:r w:rsidRPr="00730EC6">
        <w:t>are intended</w:t>
      </w:r>
      <w:proofErr w:type="gramEnd"/>
      <w:r w:rsidRPr="00730EC6">
        <w:t xml:space="preserve"> to help a person to exercise their legal capacity. Thus, the fact that assisted decision-making </w:t>
      </w:r>
      <w:proofErr w:type="gramStart"/>
      <w:r w:rsidRPr="00730EC6">
        <w:t>is made</w:t>
      </w:r>
      <w:proofErr w:type="gramEnd"/>
      <w:r w:rsidRPr="00730EC6">
        <w:t xml:space="preserve"> contingent on a restriction of legal capacity by the court is cause for concern.</w:t>
      </w:r>
      <w:r w:rsidR="00E61B94" w:rsidRPr="00730EC6">
        <w:t xml:space="preserve"> Additionally, in order to have access to assistance measures under Belgian law, the court must be satisfied that the person would have the ability to carry out a certain act themselves with help.</w:t>
      </w:r>
      <w:r w:rsidR="00E61B94" w:rsidRPr="00730EC6">
        <w:rPr>
          <w:rStyle w:val="FootnoteReference"/>
        </w:rPr>
        <w:footnoteReference w:id="765"/>
      </w:r>
      <w:r w:rsidR="00C05974" w:rsidRPr="00730EC6">
        <w:t xml:space="preserve"> If the court does not come to this con</w:t>
      </w:r>
      <w:r w:rsidR="00C05974">
        <w:t xml:space="preserve">clusion, then the person </w:t>
      </w:r>
      <w:proofErr w:type="gramStart"/>
      <w:r w:rsidR="00C05974">
        <w:t>is relegated</w:t>
      </w:r>
      <w:proofErr w:type="gramEnd"/>
      <w:r w:rsidR="00C05974">
        <w:t xml:space="preserve"> to the regime of representation.</w:t>
      </w:r>
      <w:r w:rsidR="00C05974">
        <w:rPr>
          <w:rStyle w:val="FootnoteReference"/>
        </w:rPr>
        <w:footnoteReference w:id="766"/>
      </w:r>
      <w:r w:rsidR="00E61B94">
        <w:t xml:space="preserve"> </w:t>
      </w:r>
      <w:r w:rsidR="00C05974">
        <w:t xml:space="preserve">Thus, </w:t>
      </w:r>
      <w:r w:rsidR="00201BBF">
        <w:t xml:space="preserve">the </w:t>
      </w:r>
      <w:r w:rsidR="00C05974">
        <w:t xml:space="preserve">Belgian </w:t>
      </w:r>
      <w:r w:rsidR="00201BBF">
        <w:t>legislative regime</w:t>
      </w:r>
      <w:r w:rsidR="00C05974">
        <w:t xml:space="preserve"> </w:t>
      </w:r>
      <w:r w:rsidR="00E61B94">
        <w:t xml:space="preserve">appears to make the provision of assistance measures contingent on </w:t>
      </w:r>
      <w:r w:rsidR="0023306E">
        <w:t>fulfilling</w:t>
      </w:r>
      <w:r w:rsidR="00E368F6">
        <w:t xml:space="preserve"> a certain</w:t>
      </w:r>
      <w:r w:rsidR="00D24DE2">
        <w:t xml:space="preserve"> </w:t>
      </w:r>
      <w:r w:rsidR="009E3820">
        <w:t xml:space="preserve">level of mental capacity, which is problematic </w:t>
      </w:r>
      <w:r w:rsidR="00477286">
        <w:t>with respect to Article 12.</w:t>
      </w:r>
      <w:r w:rsidR="00477286">
        <w:rPr>
          <w:rStyle w:val="FootnoteReference"/>
        </w:rPr>
        <w:footnoteReference w:id="767"/>
      </w:r>
      <w:r w:rsidR="00E368F6">
        <w:t xml:space="preserve">  </w:t>
      </w:r>
      <w:r w:rsidR="00E53B23" w:rsidRPr="009349FE">
        <w:t xml:space="preserve">Moreover, the amended Code also calls for the establishment of a list of health conditions known </w:t>
      </w:r>
      <w:proofErr w:type="gramStart"/>
      <w:r w:rsidR="00E53B23" w:rsidRPr="009349FE">
        <w:t>to “seriously and persistently” impair</w:t>
      </w:r>
      <w:proofErr w:type="gramEnd"/>
      <w:r w:rsidR="00E53B23" w:rsidRPr="009349FE">
        <w:t xml:space="preserve"> a person’s ability to manage patrimonial interests, even with assistance.</w:t>
      </w:r>
      <w:r w:rsidR="00FC767E" w:rsidRPr="009349FE">
        <w:rPr>
          <w:rStyle w:val="FootnoteReference"/>
        </w:rPr>
        <w:footnoteReference w:id="768"/>
      </w:r>
      <w:r w:rsidR="00E53B23" w:rsidRPr="009349FE">
        <w:t xml:space="preserve"> If a person has one of these listed conditions, they </w:t>
      </w:r>
      <w:proofErr w:type="gramStart"/>
      <w:r w:rsidR="00E53B23" w:rsidRPr="009349FE">
        <w:t>must be represented</w:t>
      </w:r>
      <w:proofErr w:type="gramEnd"/>
      <w:r w:rsidR="00E53B23" w:rsidRPr="009349FE">
        <w:t xml:space="preserve"> in all matters relating to their property and thus are not eligible for assistance.</w:t>
      </w:r>
      <w:r w:rsidR="00E53B23" w:rsidRPr="009349FE">
        <w:rPr>
          <w:rStyle w:val="FootnoteReference"/>
        </w:rPr>
        <w:footnoteReference w:id="769"/>
      </w:r>
      <w:r w:rsidR="00E53B23" w:rsidRPr="009349FE">
        <w:t xml:space="preserve"> This provision would seem </w:t>
      </w:r>
      <w:r w:rsidR="008B21BC" w:rsidRPr="009349FE">
        <w:t xml:space="preserve">to deny </w:t>
      </w:r>
      <w:r w:rsidR="00CE3E67" w:rsidRPr="009349FE">
        <w:t xml:space="preserve">people the right to assistance in a discriminatory fashion, based solely </w:t>
      </w:r>
      <w:r w:rsidR="00D47CAC" w:rsidRPr="009349FE">
        <w:t xml:space="preserve">on </w:t>
      </w:r>
      <w:r w:rsidR="007E235D" w:rsidRPr="009349FE">
        <w:t>the diagnosis of</w:t>
      </w:r>
      <w:r w:rsidR="009B66B8" w:rsidRPr="009349FE">
        <w:t xml:space="preserve"> a listed health condition. </w:t>
      </w:r>
      <w:r w:rsidR="00462BAC" w:rsidRPr="009349FE">
        <w:t>This could</w:t>
      </w:r>
      <w:r w:rsidR="00535AAD" w:rsidRPr="009349FE">
        <w:t xml:space="preserve"> potentially</w:t>
      </w:r>
      <w:r w:rsidR="00462BAC" w:rsidRPr="009349FE">
        <w:t xml:space="preserve"> serve to prevent people with higher support needs </w:t>
      </w:r>
      <w:r w:rsidR="00535AAD" w:rsidRPr="009349FE">
        <w:t xml:space="preserve">from </w:t>
      </w:r>
      <w:r w:rsidR="00FE4468" w:rsidRPr="009349FE">
        <w:t>accessing assistance.</w:t>
      </w:r>
    </w:p>
    <w:p w14:paraId="48D1E2F6" w14:textId="77777777" w:rsidR="007C31D1" w:rsidRPr="002A28E1" w:rsidRDefault="007C31D1" w:rsidP="007C31D1"/>
    <w:p w14:paraId="36FCC4C5" w14:textId="19B01488" w:rsidR="007C31D1" w:rsidRPr="002A28E1" w:rsidRDefault="007C31D1" w:rsidP="007C31D1">
      <w:r w:rsidRPr="002A28E1">
        <w:t xml:space="preserve">While the new figure </w:t>
      </w:r>
      <w:r w:rsidRPr="009349FE">
        <w:t xml:space="preserve">of the “trusted person” under Belgian legislation </w:t>
      </w:r>
      <w:proofErr w:type="gramStart"/>
      <w:r w:rsidRPr="009349FE">
        <w:t>could be said</w:t>
      </w:r>
      <w:proofErr w:type="gramEnd"/>
      <w:r w:rsidRPr="009349FE">
        <w:t xml:space="preserve"> to encompass certain elements of a support person (as they help persons with disabilities to communicate their will),</w:t>
      </w:r>
      <w:r w:rsidR="00D32416" w:rsidRPr="009349FE">
        <w:rPr>
          <w:rStyle w:val="FootnoteReference"/>
        </w:rPr>
        <w:footnoteReference w:id="770"/>
      </w:r>
      <w:r w:rsidRPr="009349FE">
        <w:t xml:space="preserve"> they cannot be said to be genuine supported decision-makers, since they do not partake in the formal decision-making process. Moreover, it would seem that the appointment of a “trusted person” is not mandatory, given that the Code states that the protected person has the “right” to </w:t>
      </w:r>
      <w:proofErr w:type="gramStart"/>
      <w:r w:rsidRPr="009349FE">
        <w:t>be supported</w:t>
      </w:r>
      <w:proofErr w:type="gramEnd"/>
      <w:r w:rsidRPr="009349FE">
        <w:t xml:space="preserve"> by a trusted person, </w:t>
      </w:r>
      <w:r w:rsidRPr="009349FE">
        <w:rPr>
          <w:rStyle w:val="FootnoteReference"/>
        </w:rPr>
        <w:footnoteReference w:id="771"/>
      </w:r>
      <w:r w:rsidRPr="009349FE">
        <w:t xml:space="preserve"> and that if the protected person does not suggest a trusted person, the justice of the peace “can” examine the possibility of designating a trusted person.</w:t>
      </w:r>
      <w:r w:rsidRPr="009349FE">
        <w:rPr>
          <w:rStyle w:val="FootnoteReference"/>
        </w:rPr>
        <w:footnoteReference w:id="772"/>
      </w:r>
      <w:r w:rsidRPr="009349FE">
        <w:t xml:space="preserve"> </w:t>
      </w:r>
      <w:proofErr w:type="gramStart"/>
      <w:r w:rsidRPr="009349FE">
        <w:t xml:space="preserve">It also does not appear that the court is required to verify the authenticity of the relationship of trust between a protected person and a proposed “trusted” person, although the law does admittedly stipulate that if the justice of the peace deems that the </w:t>
      </w:r>
      <w:r w:rsidRPr="009349FE">
        <w:lastRenderedPageBreak/>
        <w:t>appointment of the proposed trusted person would seriously contravene the best interests of the protected person, they may refuse to appoint this person</w:t>
      </w:r>
      <w:r w:rsidRPr="002A28E1">
        <w:t>.</w:t>
      </w:r>
      <w:r w:rsidRPr="002A28E1">
        <w:rPr>
          <w:rStyle w:val="FootnoteReference"/>
        </w:rPr>
        <w:footnoteReference w:id="773"/>
      </w:r>
      <w:proofErr w:type="gramEnd"/>
    </w:p>
    <w:p w14:paraId="1A158565" w14:textId="77777777" w:rsidR="007C31D1" w:rsidRPr="002A28E1" w:rsidRDefault="007C31D1" w:rsidP="007C31D1"/>
    <w:p w14:paraId="46AB46A3" w14:textId="679A5098" w:rsidR="007C31D1" w:rsidRPr="001B2753" w:rsidRDefault="007C31D1" w:rsidP="007C31D1">
      <w:r w:rsidRPr="002A28E1">
        <w:t>The new legislation does incorporate certain safeguards against abuse such as the court’s oversight of administrator’s through the submission of reports</w:t>
      </w:r>
      <w:r w:rsidR="005018B8">
        <w:t>,</w:t>
      </w:r>
      <w:r w:rsidR="005018B8">
        <w:rPr>
          <w:rStyle w:val="FootnoteReference"/>
        </w:rPr>
        <w:footnoteReference w:id="774"/>
      </w:r>
      <w:r w:rsidRPr="002A28E1">
        <w:t xml:space="preserve"> and arguably, the “trusted person” </w:t>
      </w:r>
      <w:proofErr w:type="gramStart"/>
      <w:r w:rsidRPr="002A28E1">
        <w:t>could be viewed</w:t>
      </w:r>
      <w:proofErr w:type="gramEnd"/>
      <w:r w:rsidRPr="002A28E1">
        <w:t xml:space="preserve"> as a sort of safeguard as well, </w:t>
      </w:r>
      <w:r w:rsidR="009349FE">
        <w:t xml:space="preserve">monitoring the administrator and </w:t>
      </w:r>
      <w:r w:rsidRPr="002A28E1">
        <w:t>ensuring that the opinion of the protected person is properly communicated.</w:t>
      </w:r>
      <w:r w:rsidR="00F90012">
        <w:rPr>
          <w:rStyle w:val="FootnoteReference"/>
        </w:rPr>
        <w:footnoteReference w:id="775"/>
      </w:r>
      <w:r w:rsidR="00340493">
        <w:t xml:space="preserve"> </w:t>
      </w:r>
      <w:r w:rsidR="0018650F">
        <w:t>Moreover,</w:t>
      </w:r>
      <w:r w:rsidR="0090549F">
        <w:t xml:space="preserve"> </w:t>
      </w:r>
      <w:r w:rsidR="0069219B">
        <w:t xml:space="preserve">the Belgian legislation establishes </w:t>
      </w:r>
      <w:r w:rsidR="0090549F">
        <w:t>another important safeguard</w:t>
      </w:r>
      <w:r w:rsidR="0018650F">
        <w:t xml:space="preserve"> </w:t>
      </w:r>
      <w:r w:rsidR="00F219EE">
        <w:t>by entitling</w:t>
      </w:r>
      <w:r w:rsidR="0090549F">
        <w:t xml:space="preserve"> </w:t>
      </w:r>
      <w:r w:rsidR="0018650F">
        <w:t>the</w:t>
      </w:r>
      <w:r w:rsidR="0090549F">
        <w:t xml:space="preserve"> </w:t>
      </w:r>
      <w:r w:rsidR="0018650F">
        <w:t xml:space="preserve">justice of the peace </w:t>
      </w:r>
      <w:r w:rsidR="00442075">
        <w:t>to replace the administrator or modify their powers</w:t>
      </w:r>
      <w:r w:rsidR="0090549F">
        <w:t xml:space="preserve"> following a request of a wide</w:t>
      </w:r>
      <w:r w:rsidR="00E63D43">
        <w:t xml:space="preserve"> </w:t>
      </w:r>
      <w:r w:rsidR="0090549F">
        <w:t>range of individuals</w:t>
      </w:r>
      <w:r w:rsidR="00F26CA5">
        <w:t>.</w:t>
      </w:r>
      <w:r w:rsidR="00F26CA5">
        <w:rPr>
          <w:rStyle w:val="FootnoteReference"/>
        </w:rPr>
        <w:footnoteReference w:id="776"/>
      </w:r>
    </w:p>
    <w:p w14:paraId="33C1B7FA" w14:textId="77777777" w:rsidR="007C31D1" w:rsidRPr="002A28E1" w:rsidRDefault="007C31D1" w:rsidP="007C31D1"/>
    <w:p w14:paraId="29BBC6B7" w14:textId="7914BACF" w:rsidR="007C31D1" w:rsidRPr="002A28E1" w:rsidRDefault="007C31D1" w:rsidP="007C31D1">
      <w:r w:rsidRPr="002A28E1">
        <w:t xml:space="preserve">It is also debatable whether the extra-judicial protection measures contemplated in Belgium’s legislation could be deemed </w:t>
      </w:r>
      <w:proofErr w:type="gramStart"/>
      <w:r w:rsidRPr="002A28E1">
        <w:t>to be a</w:t>
      </w:r>
      <w:proofErr w:type="gramEnd"/>
      <w:r w:rsidRPr="002A28E1">
        <w:t xml:space="preserve"> form supported decision-making in keeping with Article 12. It </w:t>
      </w:r>
      <w:proofErr w:type="gramStart"/>
      <w:r w:rsidRPr="002A28E1">
        <w:t>could be argued</w:t>
      </w:r>
      <w:proofErr w:type="gramEnd"/>
      <w:r w:rsidRPr="002A28E1">
        <w:t xml:space="preserve"> that Belgium’s extra-</w:t>
      </w:r>
      <w:r w:rsidRPr="00803DC9">
        <w:t>judicial protection is a measure that functions to ensure the will and preferences of a person are respected, as a person with disabilities can stipulate principles for their appointed representative to follow in the exercise of the mandate.</w:t>
      </w:r>
      <w:r w:rsidRPr="00803DC9">
        <w:rPr>
          <w:rStyle w:val="FootnoteReference"/>
        </w:rPr>
        <w:footnoteReference w:id="777"/>
      </w:r>
      <w:r w:rsidRPr="00803DC9">
        <w:t xml:space="preserve"> Additionally, the person with disabilities </w:t>
      </w:r>
      <w:proofErr w:type="gramStart"/>
      <w:r w:rsidRPr="00803DC9">
        <w:t xml:space="preserve">is </w:t>
      </w:r>
      <w:r w:rsidR="00633EF3" w:rsidRPr="00803DC9">
        <w:t>given some freedom in</w:t>
      </w:r>
      <w:r w:rsidRPr="00803DC9">
        <w:t xml:space="preserve"> determin</w:t>
      </w:r>
      <w:r w:rsidR="00633EF3" w:rsidRPr="00803DC9">
        <w:t>ing</w:t>
      </w:r>
      <w:r w:rsidRPr="00803DC9">
        <w:t xml:space="preserve"> the moment at which the measures are to enter into force</w:t>
      </w:r>
      <w:proofErr w:type="gramEnd"/>
      <w:r w:rsidR="00633EF3" w:rsidRPr="00803DC9">
        <w:t xml:space="preserve"> (</w:t>
      </w:r>
      <w:r w:rsidR="00F4420F" w:rsidRPr="00803DC9">
        <w:t>either</w:t>
      </w:r>
      <w:r w:rsidR="00633EF3" w:rsidRPr="00803DC9">
        <w:t xml:space="preserve"> immediately or </w:t>
      </w:r>
      <w:r w:rsidR="001841B3" w:rsidRPr="00803DC9">
        <w:t xml:space="preserve">at a time at </w:t>
      </w:r>
      <w:r w:rsidR="00633EF3" w:rsidRPr="00803DC9">
        <w:t>wh</w:t>
      </w:r>
      <w:r w:rsidR="001841B3" w:rsidRPr="00803DC9">
        <w:t>ich</w:t>
      </w:r>
      <w:r w:rsidR="00633EF3" w:rsidRPr="00803DC9">
        <w:t xml:space="preserve"> they are</w:t>
      </w:r>
      <w:r w:rsidR="001841B3" w:rsidRPr="00803DC9">
        <w:t xml:space="preserve"> later</w:t>
      </w:r>
      <w:r w:rsidR="00633EF3" w:rsidRPr="00803DC9">
        <w:t xml:space="preserve"> deemed to lack capacity)</w:t>
      </w:r>
      <w:r w:rsidRPr="00803DC9">
        <w:t>.</w:t>
      </w:r>
      <w:r w:rsidR="002A4FF7" w:rsidRPr="00803DC9">
        <w:rPr>
          <w:rStyle w:val="FootnoteReference"/>
        </w:rPr>
        <w:footnoteReference w:id="778"/>
      </w:r>
      <w:r w:rsidRPr="00803DC9">
        <w:t xml:space="preserve"> However, with extra-judicial protection, a person authorizes someone to </w:t>
      </w:r>
      <w:r w:rsidRPr="00803DC9">
        <w:rPr>
          <w:i/>
        </w:rPr>
        <w:t>represent</w:t>
      </w:r>
      <w:r w:rsidRPr="00803DC9">
        <w:t xml:space="preserve"> them,</w:t>
      </w:r>
      <w:r w:rsidRPr="00803DC9">
        <w:rPr>
          <w:rStyle w:val="FootnoteReference"/>
        </w:rPr>
        <w:footnoteReference w:id="779"/>
      </w:r>
      <w:r w:rsidRPr="00803DC9">
        <w:t xml:space="preserve"> and so this resembles</w:t>
      </w:r>
      <w:r w:rsidRPr="002A28E1">
        <w:t xml:space="preserve"> a form of substitute decision-making where a third party is acting on the person’s behalf, rather than a genuine form of supported decision-making.</w:t>
      </w:r>
    </w:p>
    <w:p w14:paraId="23C32C9B" w14:textId="77777777" w:rsidR="007C31D1" w:rsidRPr="002A28E1" w:rsidRDefault="007C31D1" w:rsidP="007C31D1"/>
    <w:p w14:paraId="1192ECC9" w14:textId="1EA94D06" w:rsidR="007C31D1" w:rsidRPr="002A28E1" w:rsidRDefault="007C31D1" w:rsidP="007C31D1">
      <w:r w:rsidRPr="002A28E1">
        <w:t xml:space="preserve">Thus, although the </w:t>
      </w:r>
      <w:r w:rsidRPr="00803DC9">
        <w:t xml:space="preserve">provisions regarding extra-judicial protection, assisted </w:t>
      </w:r>
      <w:proofErr w:type="gramStart"/>
      <w:r w:rsidRPr="00803DC9">
        <w:t>decision-making,</w:t>
      </w:r>
      <w:proofErr w:type="gramEnd"/>
      <w:r w:rsidRPr="00803DC9">
        <w:t xml:space="preserve"> and trusted persons encompass some of the essence of Article 12, the Belgian legislation seems to fall short of compliance with Article 12.</w:t>
      </w:r>
      <w:r w:rsidR="008F5E1D">
        <w:t xml:space="preserve"> </w:t>
      </w:r>
      <w:r w:rsidR="007208B0">
        <w:t xml:space="preserve">In 2014, the Committee on the Rights of Persons with Disabilities acknowledged Belgium’s legal capacity reform, but </w:t>
      </w:r>
      <w:proofErr w:type="gramStart"/>
      <w:r w:rsidR="007208B0">
        <w:t xml:space="preserve">stressed </w:t>
      </w:r>
      <w:r w:rsidR="00AB0674">
        <w:t>that</w:t>
      </w:r>
      <w:proofErr w:type="gramEnd"/>
      <w:r w:rsidR="00AB0674">
        <w:t xml:space="preserve"> “the new law continues to adhere to a substitute decision-making model and does not provide for the right to supported decision-making.”</w:t>
      </w:r>
      <w:r w:rsidR="005D1C3B">
        <w:rPr>
          <w:rStyle w:val="FootnoteReference"/>
        </w:rPr>
        <w:footnoteReference w:id="780"/>
      </w:r>
      <w:r w:rsidR="00AB0674">
        <w:t xml:space="preserve"> </w:t>
      </w:r>
      <w:r w:rsidR="00CB5AC3">
        <w:t>Additionally, o</w:t>
      </w:r>
      <w:r w:rsidRPr="00803DC9">
        <w:t>ne might also contend that the use of the terms “</w:t>
      </w:r>
      <w:r w:rsidRPr="00803DC9">
        <w:rPr>
          <w:i/>
        </w:rPr>
        <w:t>protected</w:t>
      </w:r>
      <w:r w:rsidRPr="00803DC9">
        <w:t xml:space="preserve"> person,” “extra-judicial </w:t>
      </w:r>
      <w:r w:rsidRPr="00803DC9">
        <w:rPr>
          <w:i/>
        </w:rPr>
        <w:t>protection</w:t>
      </w:r>
      <w:r w:rsidRPr="00803DC9">
        <w:t xml:space="preserve">,” and “judicial </w:t>
      </w:r>
      <w:r w:rsidRPr="00803DC9">
        <w:rPr>
          <w:i/>
        </w:rPr>
        <w:t>protection</w:t>
      </w:r>
      <w:r w:rsidRPr="00803DC9">
        <w:t>” indicate that Belgian legislation is grounded in paternalistic attitudes focused on safeguarding the interests of the person with disabilities, rather than empowering the person with disabilities in the decision-making process, in the spirit of Article 12.</w:t>
      </w:r>
    </w:p>
    <w:p w14:paraId="4DF689A4" w14:textId="77777777" w:rsidR="007C31D1" w:rsidRPr="002A28E1" w:rsidRDefault="007C31D1">
      <w:pPr>
        <w:rPr>
          <w:b/>
          <w:sz w:val="32"/>
          <w:szCs w:val="32"/>
        </w:rPr>
      </w:pPr>
    </w:p>
    <w:p w14:paraId="2E472147" w14:textId="05A3D7FE" w:rsidR="004A6EE5" w:rsidRPr="002A28E1" w:rsidRDefault="00421415" w:rsidP="00D93BFE">
      <w:pPr>
        <w:pStyle w:val="Heading1"/>
      </w:pPr>
      <w:bookmarkStart w:id="89" w:name="_Toc16081766"/>
      <w:r w:rsidRPr="002A28E1">
        <w:lastRenderedPageBreak/>
        <w:t xml:space="preserve">Canada: </w:t>
      </w:r>
      <w:r w:rsidR="00B57771" w:rsidRPr="002A28E1">
        <w:t>British Columbia</w:t>
      </w:r>
      <w:bookmarkEnd w:id="89"/>
    </w:p>
    <w:p w14:paraId="6BA7797B" w14:textId="34B658D2" w:rsidR="00EF2562" w:rsidRPr="00183F6F" w:rsidRDefault="008E615D" w:rsidP="004A7E7D">
      <w:pPr>
        <w:pStyle w:val="NormalWeb"/>
        <w:shd w:val="clear" w:color="auto" w:fill="FFFFFF"/>
        <w:spacing w:before="120" w:beforeAutospacing="0" w:after="216" w:afterAutospacing="0"/>
        <w:jc w:val="both"/>
      </w:pPr>
      <w:r w:rsidRPr="002A28E1">
        <w:t xml:space="preserve">Canada </w:t>
      </w:r>
      <w:r w:rsidR="00421415" w:rsidRPr="002A28E1">
        <w:t xml:space="preserve">ratified </w:t>
      </w:r>
      <w:r w:rsidR="000749D7" w:rsidRPr="002A28E1">
        <w:t>the CRPD in 2010</w:t>
      </w:r>
      <w:r w:rsidR="00F23DF4" w:rsidRPr="002A28E1">
        <w:t xml:space="preserve">, </w:t>
      </w:r>
      <w:r w:rsidR="00C80DFF" w:rsidRPr="002A28E1">
        <w:t xml:space="preserve">entering </w:t>
      </w:r>
      <w:r w:rsidR="00DE0F08" w:rsidRPr="002A28E1">
        <w:t xml:space="preserve">a reservation </w:t>
      </w:r>
      <w:r w:rsidR="00577F34" w:rsidRPr="002A28E1">
        <w:t>regarding</w:t>
      </w:r>
      <w:r w:rsidR="00DE0F08" w:rsidRPr="002A28E1">
        <w:t xml:space="preserve"> Article 12.</w:t>
      </w:r>
      <w:r w:rsidR="0098585B">
        <w:rPr>
          <w:rStyle w:val="FootnoteReference"/>
        </w:rPr>
        <w:footnoteReference w:id="781"/>
      </w:r>
      <w:r w:rsidR="000029DE" w:rsidRPr="002A28E1">
        <w:t xml:space="preserve"> </w:t>
      </w:r>
      <w:r w:rsidR="005C1538" w:rsidRPr="002A28E1">
        <w:t>Canada reserved the right to maintain substitute decision-mak</w:t>
      </w:r>
      <w:r w:rsidR="0036548A" w:rsidRPr="002A28E1">
        <w:t xml:space="preserve">ing </w:t>
      </w:r>
      <w:r w:rsidR="005E383E" w:rsidRPr="002A28E1">
        <w:t>measures</w:t>
      </w:r>
      <w:r w:rsidR="00FA21CE" w:rsidRPr="002A28E1">
        <w:t xml:space="preserve"> in certain</w:t>
      </w:r>
      <w:r w:rsidR="00BB4BB0" w:rsidRPr="002A28E1">
        <w:t xml:space="preserve"> situations</w:t>
      </w:r>
      <w:r w:rsidR="005D4DE1" w:rsidRPr="002A28E1">
        <w:t xml:space="preserve"> and subject to corresponding safeguards and regulations.</w:t>
      </w:r>
      <w:r w:rsidR="00696D1F" w:rsidRPr="002A28E1">
        <w:rPr>
          <w:rStyle w:val="FootnoteReference"/>
        </w:rPr>
        <w:footnoteReference w:id="782"/>
      </w:r>
      <w:r w:rsidR="00FE283F" w:rsidRPr="002A28E1">
        <w:t xml:space="preserve"> </w:t>
      </w:r>
      <w:r w:rsidR="0083476B" w:rsidRPr="002A28E1">
        <w:t xml:space="preserve">Canada’s implementation of Article 12 of the CRPD </w:t>
      </w:r>
      <w:r w:rsidR="00B2036E" w:rsidRPr="002A28E1">
        <w:t>i</w:t>
      </w:r>
      <w:r w:rsidR="00E22855" w:rsidRPr="002A28E1">
        <w:t xml:space="preserve">s </w:t>
      </w:r>
      <w:r w:rsidR="00AE09B3" w:rsidRPr="002A28E1">
        <w:t>made difficult</w:t>
      </w:r>
      <w:r w:rsidR="00E22855" w:rsidRPr="002A28E1">
        <w:t xml:space="preserve"> by </w:t>
      </w:r>
      <w:r w:rsidR="00BE153E" w:rsidRPr="002A28E1">
        <w:t>the</w:t>
      </w:r>
      <w:r w:rsidR="00805CA4" w:rsidRPr="002A28E1">
        <w:t xml:space="preserve"> </w:t>
      </w:r>
      <w:r w:rsidR="009F5719" w:rsidRPr="002A28E1">
        <w:t>Canadian Constitution</w:t>
      </w:r>
      <w:r w:rsidR="000C2A87" w:rsidRPr="002A28E1">
        <w:t xml:space="preserve">, </w:t>
      </w:r>
      <w:r w:rsidR="000C3259" w:rsidRPr="002A28E1">
        <w:t xml:space="preserve">which grants </w:t>
      </w:r>
      <w:r w:rsidR="00480866" w:rsidRPr="002A28E1">
        <w:t xml:space="preserve">jurisdiction over </w:t>
      </w:r>
      <w:r w:rsidR="00EA2EA8" w:rsidRPr="002A28E1">
        <w:t>“property and civil rights”</w:t>
      </w:r>
      <w:r w:rsidR="006B57DA" w:rsidRPr="002A28E1">
        <w:t xml:space="preserve"> </w:t>
      </w:r>
      <w:r w:rsidR="004410E9" w:rsidRPr="002A28E1">
        <w:t>to</w:t>
      </w:r>
      <w:r w:rsidR="00323E43" w:rsidRPr="002A28E1">
        <w:t xml:space="preserve"> </w:t>
      </w:r>
      <w:r w:rsidR="004410E9" w:rsidRPr="002A28E1">
        <w:t>the</w:t>
      </w:r>
      <w:r w:rsidR="00277D78" w:rsidRPr="002A28E1">
        <w:t xml:space="preserve"> </w:t>
      </w:r>
      <w:r w:rsidR="001D73D7" w:rsidRPr="002A28E1">
        <w:t xml:space="preserve">provincial and territorial </w:t>
      </w:r>
      <w:r w:rsidR="00472FEE" w:rsidRPr="002A28E1">
        <w:t>governments.</w:t>
      </w:r>
      <w:r w:rsidR="00BC3F0C" w:rsidRPr="002A28E1">
        <w:rPr>
          <w:rStyle w:val="FootnoteReference"/>
        </w:rPr>
        <w:footnoteReference w:id="783"/>
      </w:r>
      <w:r w:rsidR="00BB3DFE" w:rsidRPr="002A28E1">
        <w:t xml:space="preserve"> Thus, in Canada, </w:t>
      </w:r>
      <w:r w:rsidR="00CA1779" w:rsidRPr="005E3FE0">
        <w:t>jurisdiction over matters of legal</w:t>
      </w:r>
      <w:r w:rsidR="00D80A23" w:rsidRPr="005E3FE0">
        <w:t xml:space="preserve"> </w:t>
      </w:r>
      <w:r w:rsidR="00CA1779" w:rsidRPr="005E3FE0">
        <w:t>capacity</w:t>
      </w:r>
      <w:r w:rsidR="001A3ED9" w:rsidRPr="005E3FE0">
        <w:t xml:space="preserve"> generally belongs to the </w:t>
      </w:r>
      <w:r w:rsidR="001A3ED9" w:rsidRPr="007E627A">
        <w:t>provinces</w:t>
      </w:r>
      <w:r w:rsidR="00B05715" w:rsidRPr="007E627A">
        <w:t xml:space="preserve"> rather than</w:t>
      </w:r>
      <w:r w:rsidR="00384D34" w:rsidRPr="007E627A">
        <w:t xml:space="preserve"> to</w:t>
      </w:r>
      <w:r w:rsidR="00B05715" w:rsidRPr="007E627A">
        <w:t xml:space="preserve"> the federal government</w:t>
      </w:r>
      <w:r w:rsidR="001A3ED9" w:rsidRPr="007E627A">
        <w:t>.</w:t>
      </w:r>
      <w:r w:rsidR="00156D12" w:rsidRPr="007E627A">
        <w:rPr>
          <w:rStyle w:val="FootnoteReference"/>
        </w:rPr>
        <w:footnoteReference w:id="784"/>
      </w:r>
      <w:r w:rsidR="003E2AB2" w:rsidRPr="007E627A">
        <w:t xml:space="preserve"> </w:t>
      </w:r>
      <w:r w:rsidR="006429C8" w:rsidRPr="007E627A">
        <w:t>S</w:t>
      </w:r>
      <w:r w:rsidR="003E2AB2" w:rsidRPr="007E627A">
        <w:t>everal Canadian provinces</w:t>
      </w:r>
      <w:r w:rsidR="00BC0372" w:rsidRPr="007E627A">
        <w:t xml:space="preserve"> </w:t>
      </w:r>
      <w:r w:rsidR="000923B9" w:rsidRPr="007E627A">
        <w:t>have</w:t>
      </w:r>
      <w:r w:rsidR="00AF5284" w:rsidRPr="007E627A">
        <w:t xml:space="preserve"> </w:t>
      </w:r>
      <w:r w:rsidR="00D72D17" w:rsidRPr="007E627A">
        <w:t>enacted legislation referencing supported decision-making</w:t>
      </w:r>
      <w:r w:rsidR="005E1B8C" w:rsidRPr="007E627A">
        <w:t xml:space="preserve">, </w:t>
      </w:r>
      <w:r w:rsidR="00646EFA" w:rsidRPr="007E627A">
        <w:t xml:space="preserve">with </w:t>
      </w:r>
      <w:r w:rsidR="004D19AF" w:rsidRPr="007E627A">
        <w:t xml:space="preserve">some of these efforts </w:t>
      </w:r>
      <w:r w:rsidR="00CC3ECB" w:rsidRPr="007E627A">
        <w:t xml:space="preserve">even </w:t>
      </w:r>
      <w:r w:rsidR="0065683D" w:rsidRPr="007E627A">
        <w:t>preceding</w:t>
      </w:r>
      <w:r w:rsidR="000923B9" w:rsidRPr="007E627A">
        <w:t xml:space="preserve"> </w:t>
      </w:r>
      <w:r w:rsidR="0065683D" w:rsidRPr="007E627A">
        <w:t>the CRPD.</w:t>
      </w:r>
      <w:r w:rsidR="00053E50" w:rsidRPr="007E627A">
        <w:rPr>
          <w:rStyle w:val="FootnoteReference"/>
        </w:rPr>
        <w:footnoteReference w:id="785"/>
      </w:r>
      <w:r w:rsidR="00B6786A" w:rsidRPr="007E627A">
        <w:t xml:space="preserve"> </w:t>
      </w:r>
      <w:r w:rsidR="0080242F" w:rsidRPr="007E627A">
        <w:t xml:space="preserve">In fact, Article 12 of the CRPD </w:t>
      </w:r>
      <w:proofErr w:type="gramStart"/>
      <w:r w:rsidR="0080242F" w:rsidRPr="007E627A">
        <w:t>is said to have been spurred</w:t>
      </w:r>
      <w:proofErr w:type="gramEnd"/>
      <w:r w:rsidR="0080242F" w:rsidRPr="007E627A">
        <w:t xml:space="preserve"> by British Columbia’s Representation Agreement Act.</w:t>
      </w:r>
      <w:r w:rsidR="0080242F" w:rsidRPr="007E627A">
        <w:rPr>
          <w:rStyle w:val="FootnoteReference"/>
        </w:rPr>
        <w:footnoteReference w:id="786"/>
      </w:r>
      <w:r w:rsidR="0080242F" w:rsidRPr="007E627A">
        <w:t xml:space="preserve"> </w:t>
      </w:r>
      <w:r w:rsidR="00351187" w:rsidRPr="007E627A">
        <w:t xml:space="preserve">Kanter and </w:t>
      </w:r>
      <w:proofErr w:type="spellStart"/>
      <w:r w:rsidR="00351187" w:rsidRPr="007E627A">
        <w:t>Tolub</w:t>
      </w:r>
      <w:proofErr w:type="spellEnd"/>
      <w:r w:rsidR="00351187" w:rsidRPr="007E627A">
        <w:t xml:space="preserve"> </w:t>
      </w:r>
      <w:proofErr w:type="gramStart"/>
      <w:r w:rsidR="00351187" w:rsidRPr="007E627A">
        <w:t>proclaim that</w:t>
      </w:r>
      <w:proofErr w:type="gramEnd"/>
      <w:r w:rsidR="00351187" w:rsidRPr="007E627A">
        <w:t xml:space="preserve"> “Canada is the country with the longest history of developing alternatives to guardianship</w:t>
      </w:r>
      <w:r w:rsidR="00196202" w:rsidRPr="007E627A">
        <w:t>.</w:t>
      </w:r>
      <w:r w:rsidR="006D2451" w:rsidRPr="007E627A">
        <w:t>”</w:t>
      </w:r>
      <w:r w:rsidR="00196202" w:rsidRPr="007E627A">
        <w:rPr>
          <w:rStyle w:val="FootnoteReference"/>
        </w:rPr>
        <w:footnoteReference w:id="787"/>
      </w:r>
      <w:r w:rsidR="00CA7F10" w:rsidRPr="007E627A">
        <w:t xml:space="preserve"> Nevertheless, no provincial legislative scheme in Canada </w:t>
      </w:r>
      <w:r w:rsidR="0060045B" w:rsidRPr="007E627A">
        <w:t xml:space="preserve">universally </w:t>
      </w:r>
      <w:r w:rsidR="00D61E98" w:rsidRPr="007E627A">
        <w:t xml:space="preserve">recognizes </w:t>
      </w:r>
      <w:r w:rsidR="00555113" w:rsidRPr="007E627A">
        <w:t>the legal capacity of all persons with disabilities</w:t>
      </w:r>
      <w:r w:rsidR="008D061E" w:rsidRPr="007E627A">
        <w:t xml:space="preserve"> on an equal basis with others</w:t>
      </w:r>
      <w:r w:rsidR="00F76ACF" w:rsidRPr="007E627A">
        <w:t xml:space="preserve"> </w:t>
      </w:r>
      <w:r w:rsidR="008D061E" w:rsidRPr="007E627A">
        <w:t>n</w:t>
      </w:r>
      <w:r w:rsidR="00F76ACF" w:rsidRPr="007E627A">
        <w:t>or</w:t>
      </w:r>
      <w:r w:rsidR="008D061E" w:rsidRPr="007E627A">
        <w:t xml:space="preserve"> has any province</w:t>
      </w:r>
      <w:r w:rsidR="00555113" w:rsidRPr="007E627A">
        <w:t xml:space="preserve"> </w:t>
      </w:r>
      <w:r w:rsidR="00CA7F10" w:rsidRPr="007E627A">
        <w:t>totally abolishe</w:t>
      </w:r>
      <w:r w:rsidR="007012ED" w:rsidRPr="007E627A">
        <w:t>d</w:t>
      </w:r>
      <w:r w:rsidR="007E1238" w:rsidRPr="007E627A">
        <w:t xml:space="preserve"> the institution </w:t>
      </w:r>
      <w:r w:rsidR="007E1238" w:rsidRPr="00183F6F">
        <w:t>of</w:t>
      </w:r>
      <w:r w:rsidR="00CA7F10" w:rsidRPr="00183F6F">
        <w:t xml:space="preserve"> guardianship</w:t>
      </w:r>
      <w:r w:rsidR="007E1238" w:rsidRPr="00183F6F">
        <w:t>.</w:t>
      </w:r>
      <w:bookmarkStart w:id="90" w:name="_Ref15306783"/>
      <w:r w:rsidR="007E1238" w:rsidRPr="00183F6F">
        <w:rPr>
          <w:rStyle w:val="FootnoteReference"/>
        </w:rPr>
        <w:footnoteReference w:id="788"/>
      </w:r>
      <w:bookmarkEnd w:id="90"/>
    </w:p>
    <w:p w14:paraId="6F08ADBC" w14:textId="6D2F49DF" w:rsidR="008C1452" w:rsidRPr="002A28E1" w:rsidRDefault="00D64DC1" w:rsidP="00EE5331">
      <w:r w:rsidRPr="00183F6F">
        <w:t xml:space="preserve">British Columbia </w:t>
      </w:r>
      <w:proofErr w:type="gramStart"/>
      <w:r w:rsidRPr="00183F6F">
        <w:t>has been dubbed</w:t>
      </w:r>
      <w:proofErr w:type="gramEnd"/>
      <w:r w:rsidRPr="00183F6F">
        <w:t xml:space="preserve"> </w:t>
      </w:r>
      <w:r w:rsidR="00C55A61" w:rsidRPr="00183F6F">
        <w:t>one of the world’s</w:t>
      </w:r>
      <w:r w:rsidRPr="00183F6F">
        <w:t xml:space="preserve"> “leading jurisdiction</w:t>
      </w:r>
      <w:r w:rsidR="00297BD9" w:rsidRPr="00183F6F">
        <w:t>s</w:t>
      </w:r>
      <w:r w:rsidRPr="00183F6F">
        <w:t>”</w:t>
      </w:r>
      <w:r w:rsidR="00C55A61" w:rsidRPr="00183F6F">
        <w:t xml:space="preserve"> </w:t>
      </w:r>
      <w:r w:rsidRPr="00183F6F">
        <w:t xml:space="preserve">in </w:t>
      </w:r>
      <w:r w:rsidR="00AE24A6" w:rsidRPr="00183F6F">
        <w:t xml:space="preserve">the area of </w:t>
      </w:r>
      <w:r w:rsidRPr="00183F6F">
        <w:t>supported decision-making</w:t>
      </w:r>
      <w:r w:rsidR="001C663F" w:rsidRPr="00183F6F">
        <w:t>.</w:t>
      </w:r>
      <w:bookmarkStart w:id="91" w:name="_Ref15306545"/>
      <w:r w:rsidR="00015804" w:rsidRPr="00183F6F">
        <w:rPr>
          <w:rStyle w:val="FootnoteReference"/>
        </w:rPr>
        <w:footnoteReference w:id="789"/>
      </w:r>
      <w:bookmarkEnd w:id="91"/>
      <w:r w:rsidR="00B03A24" w:rsidRPr="00183F6F">
        <w:t xml:space="preserve"> British Columbia’s Representation Agreement Act</w:t>
      </w:r>
      <w:r w:rsidR="00C87CCC" w:rsidRPr="00183F6F">
        <w:rPr>
          <w:i/>
        </w:rPr>
        <w:t xml:space="preserve"> </w:t>
      </w:r>
      <w:r w:rsidR="00C87CCC" w:rsidRPr="00183F6F">
        <w:t>entered into force</w:t>
      </w:r>
      <w:r w:rsidR="00B03A24" w:rsidRPr="00183F6F">
        <w:t xml:space="preserve"> in 2000,</w:t>
      </w:r>
      <w:bookmarkStart w:id="92" w:name="_Ref15305952"/>
      <w:r w:rsidR="00F3370B" w:rsidRPr="00183F6F">
        <w:rPr>
          <w:rStyle w:val="FootnoteReference"/>
        </w:rPr>
        <w:footnoteReference w:id="790"/>
      </w:r>
      <w:bookmarkEnd w:id="92"/>
      <w:r w:rsidR="00B03A24" w:rsidRPr="00183F6F">
        <w:t xml:space="preserve"> </w:t>
      </w:r>
      <w:r w:rsidR="00757631" w:rsidRPr="00183F6F">
        <w:t>introducing</w:t>
      </w:r>
      <w:r w:rsidR="009F3DC8" w:rsidRPr="00183F6F">
        <w:t xml:space="preserve"> one of very first </w:t>
      </w:r>
      <w:proofErr w:type="gramStart"/>
      <w:r w:rsidR="009F3DC8" w:rsidRPr="00183F6F">
        <w:t>legally-recognized</w:t>
      </w:r>
      <w:proofErr w:type="gramEnd"/>
      <w:r w:rsidR="009F3DC8" w:rsidRPr="00183F6F">
        <w:t xml:space="preserve"> supported decision-making</w:t>
      </w:r>
      <w:r w:rsidR="00DF1E5D" w:rsidRPr="00183F6F">
        <w:t xml:space="preserve"> </w:t>
      </w:r>
      <w:r w:rsidR="00BF54FD" w:rsidRPr="00183F6F">
        <w:t>systems</w:t>
      </w:r>
      <w:r w:rsidR="00DF1E5D" w:rsidRPr="00183F6F">
        <w:t>.</w:t>
      </w:r>
      <w:bookmarkStart w:id="93" w:name="_Ref15306005"/>
      <w:r w:rsidR="00675601" w:rsidRPr="00183F6F">
        <w:rPr>
          <w:rStyle w:val="FootnoteReference"/>
        </w:rPr>
        <w:footnoteReference w:id="791"/>
      </w:r>
      <w:bookmarkEnd w:id="93"/>
      <w:r w:rsidR="00EE5331" w:rsidRPr="002A28E1">
        <w:t xml:space="preserve"> </w:t>
      </w:r>
    </w:p>
    <w:p w14:paraId="3DE0D45A" w14:textId="77777777" w:rsidR="008C1452" w:rsidRPr="002A28E1" w:rsidRDefault="008C1452" w:rsidP="00EE5331"/>
    <w:p w14:paraId="190E3C21" w14:textId="3A513FEF" w:rsidR="008C1452" w:rsidRPr="002A28E1" w:rsidRDefault="00E46267" w:rsidP="00EE5331">
      <w:r w:rsidRPr="002A28E1">
        <w:lastRenderedPageBreak/>
        <w:t>The Representation Agreement Act</w:t>
      </w:r>
      <w:r w:rsidR="00630E27" w:rsidRPr="002A28E1">
        <w:rPr>
          <w:i/>
        </w:rPr>
        <w:t xml:space="preserve"> </w:t>
      </w:r>
      <w:proofErr w:type="gramStart"/>
      <w:r w:rsidR="00C02112" w:rsidRPr="002A28E1">
        <w:t xml:space="preserve">was </w:t>
      </w:r>
      <w:r w:rsidR="0027596A" w:rsidRPr="002A28E1">
        <w:t>drafted</w:t>
      </w:r>
      <w:proofErr w:type="gramEnd"/>
      <w:r w:rsidR="00270E60" w:rsidRPr="002A28E1">
        <w:t xml:space="preserve"> </w:t>
      </w:r>
      <w:r w:rsidR="001E3C66" w:rsidRPr="002A28E1">
        <w:t xml:space="preserve">by the </w:t>
      </w:r>
      <w:r w:rsidR="00DC4C38" w:rsidRPr="002A28E1">
        <w:t>Project to Review Adult Guardianship (PRAG),</w:t>
      </w:r>
      <w:r w:rsidR="00D3278C" w:rsidRPr="002A28E1">
        <w:t xml:space="preserve"> </w:t>
      </w:r>
      <w:r w:rsidR="008D0B50" w:rsidRPr="002A28E1">
        <w:t>a</w:t>
      </w:r>
      <w:r w:rsidR="002E5404" w:rsidRPr="002A28E1">
        <w:t xml:space="preserve">n alliance </w:t>
      </w:r>
      <w:r w:rsidR="008D0B50" w:rsidRPr="002A28E1">
        <w:t xml:space="preserve">comprised of </w:t>
      </w:r>
      <w:r w:rsidR="00360D4E" w:rsidRPr="002A28E1">
        <w:t xml:space="preserve">the Alzheimer Society, the Association for Community Living, the Coalition </w:t>
      </w:r>
      <w:r w:rsidR="00DC42C8" w:rsidRPr="002A28E1">
        <w:t>of People with Disabilities and the Community Legal Assistance Society, with funding provided by the Law Foundation of British Columbia.</w:t>
      </w:r>
      <w:r w:rsidR="00D123AD">
        <w:rPr>
          <w:rStyle w:val="FootnoteReference"/>
        </w:rPr>
        <w:footnoteReference w:id="792"/>
      </w:r>
      <w:r w:rsidR="00515450" w:rsidRPr="002A28E1">
        <w:t xml:space="preserve"> PRAG enabled </w:t>
      </w:r>
      <w:r w:rsidR="00814CEA" w:rsidRPr="002A28E1">
        <w:t xml:space="preserve">significant </w:t>
      </w:r>
      <w:r w:rsidR="00014CFC" w:rsidRPr="002A28E1">
        <w:t xml:space="preserve">community </w:t>
      </w:r>
      <w:r w:rsidR="00814CEA" w:rsidRPr="002A28E1">
        <w:t>participation in the drafting of the legislation</w:t>
      </w:r>
      <w:r w:rsidR="00421B24" w:rsidRPr="002A28E1">
        <w:t xml:space="preserve">, </w:t>
      </w:r>
      <w:r w:rsidR="00F2138C" w:rsidRPr="002A28E1">
        <w:t xml:space="preserve">soliciting input </w:t>
      </w:r>
      <w:r w:rsidR="00B73E17" w:rsidRPr="002A28E1">
        <w:t>from</w:t>
      </w:r>
      <w:r w:rsidR="00421B24" w:rsidRPr="002A28E1">
        <w:t xml:space="preserve"> legal and health professionals, hospitals and care facilities, self-</w:t>
      </w:r>
      <w:r w:rsidR="00421B24" w:rsidRPr="00F477A1">
        <w:t xml:space="preserve">advocacy </w:t>
      </w:r>
      <w:r w:rsidR="003019CB" w:rsidRPr="00F477A1">
        <w:t>groups</w:t>
      </w:r>
      <w:r w:rsidR="00821DA0" w:rsidRPr="00F477A1">
        <w:t>,</w:t>
      </w:r>
      <w:r w:rsidR="003019CB" w:rsidRPr="00F477A1">
        <w:t xml:space="preserve"> and seniors</w:t>
      </w:r>
      <w:r w:rsidR="00B94546" w:rsidRPr="00F477A1">
        <w:t>.</w:t>
      </w:r>
      <w:r w:rsidR="00B4083E" w:rsidRPr="00F477A1">
        <w:rPr>
          <w:rStyle w:val="FootnoteReference"/>
        </w:rPr>
        <w:footnoteReference w:id="793"/>
      </w:r>
      <w:r w:rsidR="003019CB" w:rsidRPr="00F477A1">
        <w:t xml:space="preserve"> </w:t>
      </w:r>
      <w:r w:rsidR="00B94546" w:rsidRPr="00F477A1">
        <w:t>A</w:t>
      </w:r>
      <w:r w:rsidR="00315B71" w:rsidRPr="00F477A1">
        <w:t xml:space="preserve"> </w:t>
      </w:r>
      <w:r w:rsidR="00385A21" w:rsidRPr="00F477A1">
        <w:t>member of the BC legislature at the time</w:t>
      </w:r>
      <w:r w:rsidR="007409FE" w:rsidRPr="00F477A1">
        <w:t xml:space="preserve"> described the legislation as </w:t>
      </w:r>
      <w:r w:rsidR="004744DF" w:rsidRPr="00F477A1">
        <w:t>“a people’s Bill, with government’s co-operation.”</w:t>
      </w:r>
      <w:r w:rsidR="00AE0D0C" w:rsidRPr="00F477A1">
        <w:rPr>
          <w:rStyle w:val="FootnoteReference"/>
        </w:rPr>
        <w:footnoteReference w:id="794"/>
      </w:r>
      <w:r w:rsidR="00014CFC" w:rsidRPr="00F477A1">
        <w:t xml:space="preserve"> </w:t>
      </w:r>
      <w:r w:rsidR="00E976E7" w:rsidRPr="00F477A1">
        <w:t xml:space="preserve">After the passing of the legislation, </w:t>
      </w:r>
      <w:r w:rsidR="00C3770A" w:rsidRPr="00F477A1">
        <w:t xml:space="preserve">PRAG </w:t>
      </w:r>
      <w:proofErr w:type="gramStart"/>
      <w:r w:rsidR="001B0FB9" w:rsidRPr="00F477A1">
        <w:t>was</w:t>
      </w:r>
      <w:r w:rsidR="00496BF4" w:rsidRPr="00F477A1">
        <w:t xml:space="preserve"> </w:t>
      </w:r>
      <w:r w:rsidR="00397D18" w:rsidRPr="00F477A1">
        <w:t>superseded</w:t>
      </w:r>
      <w:proofErr w:type="gramEnd"/>
      <w:r w:rsidR="00496BF4" w:rsidRPr="00F477A1">
        <w:t xml:space="preserve"> by the </w:t>
      </w:r>
      <w:r w:rsidR="00486875" w:rsidRPr="00F477A1">
        <w:t xml:space="preserve">Community </w:t>
      </w:r>
      <w:r w:rsidR="00496BF4" w:rsidRPr="00F477A1">
        <w:t xml:space="preserve">Coalition for </w:t>
      </w:r>
      <w:r w:rsidR="00486875" w:rsidRPr="00F477A1">
        <w:t>the Implementation of Adult Guardianship Legislation</w:t>
      </w:r>
      <w:r w:rsidR="00A67D2F" w:rsidRPr="00F477A1">
        <w:t xml:space="preserve">, </w:t>
      </w:r>
      <w:r w:rsidR="005B5992" w:rsidRPr="00F477A1">
        <w:t>through</w:t>
      </w:r>
      <w:r w:rsidR="000945C5" w:rsidRPr="00F477A1">
        <w:t xml:space="preserve"> which the same community groups that had </w:t>
      </w:r>
      <w:r w:rsidR="0039472B" w:rsidRPr="00F477A1">
        <w:t>formed</w:t>
      </w:r>
      <w:r w:rsidR="000945C5" w:rsidRPr="00F477A1">
        <w:t xml:space="preserve"> PRAG</w:t>
      </w:r>
      <w:r w:rsidR="00DF00AF" w:rsidRPr="00F477A1">
        <w:t xml:space="preserve"> shifted their efforts to ensuring</w:t>
      </w:r>
      <w:r w:rsidR="00DF00AF" w:rsidRPr="002A28E1">
        <w:t xml:space="preserve"> the proper implementation of the Act.</w:t>
      </w:r>
      <w:r w:rsidR="0079289D">
        <w:rPr>
          <w:rStyle w:val="FootnoteReference"/>
        </w:rPr>
        <w:footnoteReference w:id="795"/>
      </w:r>
    </w:p>
    <w:p w14:paraId="7330A1ED" w14:textId="2BC0E80D" w:rsidR="00CB7293" w:rsidRPr="002A28E1" w:rsidRDefault="00CB7293" w:rsidP="00EE5331"/>
    <w:p w14:paraId="22930461" w14:textId="4673BFAE" w:rsidR="00CB7293" w:rsidRPr="002A28E1" w:rsidRDefault="00EF303C" w:rsidP="00EE5331">
      <w:r w:rsidRPr="002A28E1">
        <w:t>British Columbia’s legislative scheme</w:t>
      </w:r>
      <w:r w:rsidR="00CF37E7" w:rsidRPr="002A28E1">
        <w:rPr>
          <w:i/>
        </w:rPr>
        <w:t xml:space="preserve"> </w:t>
      </w:r>
      <w:r w:rsidR="00731835" w:rsidRPr="002A28E1">
        <w:t>enables</w:t>
      </w:r>
      <w:r w:rsidR="003C6C75" w:rsidRPr="002A28E1">
        <w:t xml:space="preserve"> an adult</w:t>
      </w:r>
      <w:r w:rsidR="00A42E15" w:rsidRPr="002A28E1">
        <w:t xml:space="preserve"> </w:t>
      </w:r>
      <w:r w:rsidR="000861AC" w:rsidRPr="002A28E1">
        <w:t xml:space="preserve">to appoint a representative to </w:t>
      </w:r>
      <w:r w:rsidR="00CD2659" w:rsidRPr="002A28E1">
        <w:t>“</w:t>
      </w:r>
      <w:r w:rsidR="000861AC" w:rsidRPr="002A28E1">
        <w:t>help</w:t>
      </w:r>
      <w:r w:rsidR="00242FDE" w:rsidRPr="002A28E1">
        <w:t xml:space="preserve"> the adult make decisions</w:t>
      </w:r>
      <w:r w:rsidR="0045755B" w:rsidRPr="002A28E1">
        <w:t xml:space="preserve">, </w:t>
      </w:r>
      <w:r w:rsidR="001842B0" w:rsidRPr="002A28E1">
        <w:t xml:space="preserve">or </w:t>
      </w:r>
      <w:r w:rsidR="00FC5FC3" w:rsidRPr="002A28E1">
        <w:t xml:space="preserve">to make decisions </w:t>
      </w:r>
      <w:r w:rsidR="00D01CB6" w:rsidRPr="002A28E1">
        <w:t>on behalf</w:t>
      </w:r>
      <w:r w:rsidR="0085388F" w:rsidRPr="002A28E1">
        <w:t xml:space="preserve"> of the adult</w:t>
      </w:r>
      <w:r w:rsidR="00D01CB6" w:rsidRPr="002A28E1">
        <w:t>.</w:t>
      </w:r>
      <w:r w:rsidR="0072336A" w:rsidRPr="002A28E1">
        <w:t>”</w:t>
      </w:r>
      <w:r w:rsidR="00DE756D" w:rsidRPr="002A28E1">
        <w:rPr>
          <w:rStyle w:val="FootnoteReference"/>
        </w:rPr>
        <w:footnoteReference w:id="796"/>
      </w:r>
      <w:r w:rsidR="0086337A" w:rsidRPr="002A28E1">
        <w:t xml:space="preserve"> </w:t>
      </w:r>
      <w:proofErr w:type="gramStart"/>
      <w:r w:rsidR="00413525" w:rsidRPr="002A28E1">
        <w:t>A</w:t>
      </w:r>
      <w:r w:rsidRPr="002A28E1">
        <w:t xml:space="preserve"> representation agreement may cover</w:t>
      </w:r>
      <w:r w:rsidR="00357528" w:rsidRPr="002A28E1">
        <w:t xml:space="preserve"> </w:t>
      </w:r>
      <w:r w:rsidRPr="002A28E1">
        <w:t>a broad range of</w:t>
      </w:r>
      <w:r w:rsidR="00806FB6" w:rsidRPr="002A28E1">
        <w:t xml:space="preserve"> areas</w:t>
      </w:r>
      <w:r w:rsidRPr="002A28E1">
        <w:t>, namely</w:t>
      </w:r>
      <w:r w:rsidR="00806FB6" w:rsidRPr="002A28E1">
        <w:t xml:space="preserve">: </w:t>
      </w:r>
      <w:r w:rsidR="00854701" w:rsidRPr="002A28E1">
        <w:t>personal care,</w:t>
      </w:r>
      <w:r w:rsidR="00247ECE" w:rsidRPr="002A28E1">
        <w:t xml:space="preserve"> health care, </w:t>
      </w:r>
      <w:r w:rsidR="00BF01E8" w:rsidRPr="002A28E1">
        <w:t xml:space="preserve">the </w:t>
      </w:r>
      <w:r w:rsidR="00854701" w:rsidRPr="002A28E1">
        <w:t>routine management of financial aff</w:t>
      </w:r>
      <w:r w:rsidR="00A13008" w:rsidRPr="002A28E1">
        <w:t xml:space="preserve">airs (such as the payment of bills, receipt and deposit of pension and other income, purchases of food, accommodation and other services necessary for personal care, and the making of investments), </w:t>
      </w:r>
      <w:r w:rsidR="00DE1E51" w:rsidRPr="002A28E1">
        <w:t xml:space="preserve">as well as </w:t>
      </w:r>
      <w:r w:rsidR="00A54342" w:rsidRPr="002A28E1">
        <w:t xml:space="preserve">the </w:t>
      </w:r>
      <w:r w:rsidR="002271E4" w:rsidRPr="002A28E1">
        <w:t>procurement</w:t>
      </w:r>
      <w:r w:rsidR="00C26433" w:rsidRPr="002A28E1">
        <w:t xml:space="preserve"> of legal services</w:t>
      </w:r>
      <w:r w:rsidR="00065123" w:rsidRPr="002A28E1">
        <w:t xml:space="preserve"> and the instruction of counsel during legal proceedings</w:t>
      </w:r>
      <w:r w:rsidR="00BF793F" w:rsidRPr="002A28E1">
        <w:t>.</w:t>
      </w:r>
      <w:r w:rsidR="00BF793F" w:rsidRPr="002A28E1">
        <w:rPr>
          <w:rStyle w:val="FootnoteReference"/>
        </w:rPr>
        <w:footnoteReference w:id="797"/>
      </w:r>
      <w:proofErr w:type="gramEnd"/>
      <w:r w:rsidR="00D27419" w:rsidRPr="002A28E1">
        <w:t xml:space="preserve"> </w:t>
      </w:r>
      <w:r w:rsidR="00C54893" w:rsidRPr="002A28E1">
        <w:t>The Act stipulates that</w:t>
      </w:r>
      <w:r w:rsidR="00840697" w:rsidRPr="002A28E1">
        <w:t xml:space="preserve"> </w:t>
      </w:r>
      <w:r w:rsidR="00C54893" w:rsidRPr="002A28E1">
        <w:t>it</w:t>
      </w:r>
      <w:r w:rsidR="00840697" w:rsidRPr="002A28E1">
        <w:t xml:space="preserve"> </w:t>
      </w:r>
      <w:r w:rsidR="00C54893" w:rsidRPr="002A28E1">
        <w:t>is</w:t>
      </w:r>
      <w:r w:rsidR="00840697" w:rsidRPr="002A28E1">
        <w:t xml:space="preserve"> possible to authorize a representative </w:t>
      </w:r>
      <w:r w:rsidR="008D0A5A" w:rsidRPr="002A28E1">
        <w:t xml:space="preserve">to make decisions regarding the adult’s placement in a family care home, group home for the mentally </w:t>
      </w:r>
      <w:proofErr w:type="gramStart"/>
      <w:r w:rsidR="008D0A5A" w:rsidRPr="002A28E1">
        <w:t>handicapped,</w:t>
      </w:r>
      <w:proofErr w:type="gramEnd"/>
      <w:r w:rsidR="008D0A5A" w:rsidRPr="002A28E1">
        <w:t xml:space="preserve"> or mental health boarding home.</w:t>
      </w:r>
      <w:r w:rsidR="004268FB" w:rsidRPr="002A28E1">
        <w:rPr>
          <w:rStyle w:val="FootnoteReference"/>
        </w:rPr>
        <w:footnoteReference w:id="798"/>
      </w:r>
      <w:r w:rsidR="003011CA" w:rsidRPr="002A28E1">
        <w:t xml:space="preserve">  The Act states</w:t>
      </w:r>
      <w:r w:rsidR="00346B23" w:rsidRPr="002A28E1">
        <w:t xml:space="preserve"> that a representative may not be authorized </w:t>
      </w:r>
      <w:r w:rsidR="00F13196" w:rsidRPr="002A28E1">
        <w:t>“to help make, or to make on the adult’s behalf, a decision to refuse health care necessary to preserve life,”</w:t>
      </w:r>
      <w:r w:rsidR="00F13196" w:rsidRPr="002A28E1">
        <w:rPr>
          <w:rStyle w:val="FootnoteReference"/>
        </w:rPr>
        <w:footnoteReference w:id="799"/>
      </w:r>
      <w:r w:rsidR="00F13196" w:rsidRPr="002A28E1">
        <w:t xml:space="preserve"> nor may they be authorized </w:t>
      </w:r>
      <w:r w:rsidR="00B5439B" w:rsidRPr="002A28E1">
        <w:t xml:space="preserve">“despite the objection of the adult, to physically restrain, move or manage </w:t>
      </w:r>
      <w:r w:rsidR="001B57FA" w:rsidRPr="002A28E1">
        <w:t xml:space="preserve">the adult, or authorize another </w:t>
      </w:r>
      <w:r w:rsidR="000E3CCF" w:rsidRPr="002A28E1">
        <w:t>person to do these things.”</w:t>
      </w:r>
      <w:r w:rsidR="000E3CCF" w:rsidRPr="002A28E1">
        <w:rPr>
          <w:rStyle w:val="FootnoteReference"/>
        </w:rPr>
        <w:footnoteReference w:id="800"/>
      </w:r>
      <w:r w:rsidR="002539AC" w:rsidRPr="002A28E1">
        <w:t xml:space="preserve"> </w:t>
      </w:r>
    </w:p>
    <w:p w14:paraId="142B4512" w14:textId="5B057CC8" w:rsidR="00634EFB" w:rsidRPr="002A28E1" w:rsidRDefault="00634EFB" w:rsidP="00EE5331"/>
    <w:p w14:paraId="3E9E473C" w14:textId="77777777" w:rsidR="0061116E" w:rsidRPr="002A28E1" w:rsidRDefault="00634EFB" w:rsidP="00EE5331">
      <w:r w:rsidRPr="002A28E1">
        <w:t>The legislation demands that representatives “act honestly and in good faith,” that they “exercise the care, diligence and skill of a reasonably prudent person,</w:t>
      </w:r>
      <w:r w:rsidR="00762DF3" w:rsidRPr="002A28E1">
        <w:t>” and “act within the authority given in the representation agreement.</w:t>
      </w:r>
      <w:r w:rsidR="005817FC" w:rsidRPr="002A28E1">
        <w:t>”</w:t>
      </w:r>
      <w:r w:rsidR="00FC7125" w:rsidRPr="002A28E1">
        <w:rPr>
          <w:rStyle w:val="FootnoteReference"/>
        </w:rPr>
        <w:footnoteReference w:id="801"/>
      </w:r>
      <w:r w:rsidR="00185DD6" w:rsidRPr="002A28E1">
        <w:t xml:space="preserve"> The Act further specifies that when assisting in </w:t>
      </w:r>
      <w:proofErr w:type="gramStart"/>
      <w:r w:rsidR="00185DD6" w:rsidRPr="002A28E1">
        <w:t>the  decision</w:t>
      </w:r>
      <w:proofErr w:type="gramEnd"/>
      <w:r w:rsidR="00185DD6" w:rsidRPr="002A28E1">
        <w:t xml:space="preserve">-making process or when making a decision on the </w:t>
      </w:r>
      <w:r w:rsidR="00716BA8" w:rsidRPr="002A28E1">
        <w:t>affected adult’s</w:t>
      </w:r>
      <w:r w:rsidR="00185DD6" w:rsidRPr="002A28E1">
        <w:t xml:space="preserve"> behalf,  a representative must</w:t>
      </w:r>
      <w:r w:rsidR="0082068B" w:rsidRPr="002A28E1">
        <w:t xml:space="preserve"> </w:t>
      </w:r>
      <w:r w:rsidR="00D66355" w:rsidRPr="002A28E1">
        <w:t xml:space="preserve">“consult, to the extent reasonable, with the adult to determine his </w:t>
      </w:r>
      <w:r w:rsidR="00A01956" w:rsidRPr="002A28E1">
        <w:t>or her</w:t>
      </w:r>
      <w:r w:rsidR="00D66355" w:rsidRPr="002A28E1">
        <w:t xml:space="preserve"> current wishes, and comply with those wishes if it is reasonable to do so.”</w:t>
      </w:r>
      <w:r w:rsidR="00354D39" w:rsidRPr="002A28E1">
        <w:rPr>
          <w:rStyle w:val="FootnoteReference"/>
        </w:rPr>
        <w:footnoteReference w:id="802"/>
      </w:r>
      <w:r w:rsidR="00D541A7" w:rsidRPr="002A28E1">
        <w:t xml:space="preserve"> </w:t>
      </w:r>
    </w:p>
    <w:p w14:paraId="2F6F84B7" w14:textId="77777777" w:rsidR="0061116E" w:rsidRPr="002A28E1" w:rsidRDefault="0061116E" w:rsidP="00EE5331"/>
    <w:p w14:paraId="4FD03253" w14:textId="1000F461" w:rsidR="008166EA" w:rsidRPr="002A28E1" w:rsidRDefault="00335B65" w:rsidP="00EE5331">
      <w:r w:rsidRPr="002A28E1">
        <w:t>An adult may choose to designate</w:t>
      </w:r>
      <w:r w:rsidR="00D934DF" w:rsidRPr="002A28E1">
        <w:t xml:space="preserve"> as their representative</w:t>
      </w:r>
      <w:r w:rsidRPr="002A28E1">
        <w:t xml:space="preserve"> an</w:t>
      </w:r>
      <w:r w:rsidR="00951B1E" w:rsidRPr="002A28E1">
        <w:t>y</w:t>
      </w:r>
      <w:r w:rsidR="00CD08D4" w:rsidRPr="002A28E1">
        <w:t xml:space="preserve"> consenting</w:t>
      </w:r>
      <w:r w:rsidRPr="002A28E1">
        <w:t xml:space="preserve"> individual over 19 years of </w:t>
      </w:r>
      <w:proofErr w:type="gramStart"/>
      <w:r w:rsidRPr="002A28E1">
        <w:t>age</w:t>
      </w:r>
      <w:r w:rsidR="00F5084A" w:rsidRPr="002A28E1">
        <w:t>,</w:t>
      </w:r>
      <w:proofErr w:type="gramEnd"/>
      <w:r w:rsidR="00F5084A" w:rsidRPr="002A28E1">
        <w:t xml:space="preserve"> </w:t>
      </w:r>
      <w:r w:rsidR="00EB2139" w:rsidRPr="002A28E1">
        <w:t xml:space="preserve">provided that </w:t>
      </w:r>
      <w:r w:rsidR="00D27D7B" w:rsidRPr="002A28E1">
        <w:t>this individual</w:t>
      </w:r>
      <w:r w:rsidR="00EB2139" w:rsidRPr="002A28E1">
        <w:t xml:space="preserve"> do</w:t>
      </w:r>
      <w:r w:rsidR="00E71396" w:rsidRPr="002A28E1">
        <w:t>es</w:t>
      </w:r>
      <w:r w:rsidR="00EB2139" w:rsidRPr="002A28E1">
        <w:t xml:space="preserve"> not supply the adult with personal or health care services</w:t>
      </w:r>
      <w:r w:rsidR="00CB0326" w:rsidRPr="002A28E1">
        <w:t xml:space="preserve"> </w:t>
      </w:r>
      <w:r w:rsidR="00951B1E" w:rsidRPr="002A28E1">
        <w:t xml:space="preserve">for remuneration and that they do </w:t>
      </w:r>
      <w:r w:rsidR="00951B1E" w:rsidRPr="004A4F1C">
        <w:t>not</w:t>
      </w:r>
      <w:r w:rsidR="006E68BE" w:rsidRPr="004A4F1C">
        <w:t xml:space="preserve"> work in a facility that provides the adult with such services.</w:t>
      </w:r>
      <w:r w:rsidR="002A0991" w:rsidRPr="004A4F1C">
        <w:rPr>
          <w:rStyle w:val="FootnoteReference"/>
        </w:rPr>
        <w:footnoteReference w:id="803"/>
      </w:r>
      <w:r w:rsidR="00951B1E" w:rsidRPr="004A4F1C">
        <w:t xml:space="preserve"> </w:t>
      </w:r>
      <w:r w:rsidR="005D0AF8" w:rsidRPr="004A4F1C">
        <w:t>Alternatively</w:t>
      </w:r>
      <w:r w:rsidRPr="004A4F1C">
        <w:t xml:space="preserve">, </w:t>
      </w:r>
      <w:r w:rsidR="00EC70D1" w:rsidRPr="004A4F1C">
        <w:t>the Public Guardian and Trustee</w:t>
      </w:r>
      <w:r w:rsidR="003A1137" w:rsidRPr="004A4F1C">
        <w:t xml:space="preserve"> </w:t>
      </w:r>
      <w:proofErr w:type="gramStart"/>
      <w:r w:rsidR="003A1137" w:rsidRPr="004A4F1C">
        <w:t>may be appointed</w:t>
      </w:r>
      <w:proofErr w:type="gramEnd"/>
      <w:r w:rsidR="003A1137" w:rsidRPr="004A4F1C">
        <w:t xml:space="preserve"> as a representative</w:t>
      </w:r>
      <w:r w:rsidR="00EC70D1" w:rsidRPr="004A4F1C">
        <w:t>,</w:t>
      </w:r>
      <w:r w:rsidR="003A1137" w:rsidRPr="004A4F1C">
        <w:t xml:space="preserve"> as can</w:t>
      </w:r>
      <w:r w:rsidR="00EC70D1" w:rsidRPr="004A4F1C">
        <w:t xml:space="preserve"> a credit union or trust company</w:t>
      </w:r>
      <w:r w:rsidR="00026836" w:rsidRPr="004A4F1C">
        <w:t xml:space="preserve"> (as long as the representation agreement does </w:t>
      </w:r>
      <w:r w:rsidR="006508D4" w:rsidRPr="004A4F1C">
        <w:t>not cover health care or personal care)</w:t>
      </w:r>
      <w:r w:rsidR="005D1109" w:rsidRPr="004A4F1C">
        <w:t>.</w:t>
      </w:r>
      <w:r w:rsidR="005D1109" w:rsidRPr="004A4F1C">
        <w:rPr>
          <w:rStyle w:val="FootnoteReference"/>
        </w:rPr>
        <w:footnoteReference w:id="804"/>
      </w:r>
      <w:r w:rsidR="00557A36" w:rsidRPr="004A4F1C">
        <w:t xml:space="preserve"> </w:t>
      </w:r>
      <w:r w:rsidR="004D12FF" w:rsidRPr="004A4F1C">
        <w:t>R</w:t>
      </w:r>
      <w:r w:rsidR="00C36CA8" w:rsidRPr="004A4F1C">
        <w:t>epresentation agreement</w:t>
      </w:r>
      <w:r w:rsidR="004D12FF" w:rsidRPr="004A4F1C">
        <w:t>s pertaining to finances</w:t>
      </w:r>
      <w:r w:rsidR="00C36CA8" w:rsidRPr="004A4F1C">
        <w:t xml:space="preserve"> must designate </w:t>
      </w:r>
      <w:r w:rsidR="00B07F99" w:rsidRPr="004A4F1C">
        <w:t xml:space="preserve">a </w:t>
      </w:r>
      <w:r w:rsidR="00C36CA8" w:rsidRPr="004A4F1C">
        <w:t>monitor tasked with supervising</w:t>
      </w:r>
      <w:r w:rsidR="00B45BFC" w:rsidRPr="004A4F1C">
        <w:t xml:space="preserve"> the</w:t>
      </w:r>
      <w:r w:rsidR="00C36CA8" w:rsidRPr="004A4F1C">
        <w:t xml:space="preserve"> representative</w:t>
      </w:r>
      <w:r w:rsidR="00345B37" w:rsidRPr="002A28E1">
        <w:t xml:space="preserve">, unless the </w:t>
      </w:r>
      <w:r w:rsidR="008D4DFC" w:rsidRPr="002A28E1">
        <w:t>representative is the adult’s spouse</w:t>
      </w:r>
      <w:r w:rsidR="004F1057" w:rsidRPr="002A28E1">
        <w:t>,</w:t>
      </w:r>
      <w:r w:rsidR="008D4DFC" w:rsidRPr="002A28E1">
        <w:t xml:space="preserve"> the Public Guardian and Trustee, a trust company or a credit union, or the adult </w:t>
      </w:r>
      <w:r w:rsidR="008D1B4B" w:rsidRPr="002A28E1">
        <w:t xml:space="preserve">has named two or more representatives </w:t>
      </w:r>
      <w:r w:rsidR="00AB675F" w:rsidRPr="002A28E1">
        <w:t>who are required to act unanimously.</w:t>
      </w:r>
      <w:r w:rsidR="00AB675F" w:rsidRPr="002A28E1">
        <w:rPr>
          <w:rStyle w:val="FootnoteReference"/>
        </w:rPr>
        <w:footnoteReference w:id="805"/>
      </w:r>
      <w:r w:rsidR="001200F1" w:rsidRPr="002A28E1">
        <w:t xml:space="preserve"> </w:t>
      </w:r>
    </w:p>
    <w:p w14:paraId="04423D03" w14:textId="7C2B5269" w:rsidR="008644B8" w:rsidRPr="002A28E1" w:rsidRDefault="008644B8" w:rsidP="00EE5331"/>
    <w:p w14:paraId="25057A6F" w14:textId="24128091" w:rsidR="008644B8" w:rsidRPr="002A28E1" w:rsidRDefault="008644B8" w:rsidP="00EE5331">
      <w:proofErr w:type="gramStart"/>
      <w:r w:rsidRPr="002A28E1">
        <w:t xml:space="preserve">Representation agreements under the Act constitute private contracts and </w:t>
      </w:r>
      <w:r w:rsidR="00FE4100" w:rsidRPr="002A28E1">
        <w:t>will only appear before a court</w:t>
      </w:r>
      <w:r w:rsidR="001B3CB0" w:rsidRPr="002A28E1">
        <w:t xml:space="preserve"> </w:t>
      </w:r>
      <w:r w:rsidR="00CE7B7B" w:rsidRPr="002A28E1">
        <w:t xml:space="preserve">should a representative apply to the court </w:t>
      </w:r>
      <w:r w:rsidR="00CE7B7B" w:rsidRPr="00620C78">
        <w:t xml:space="preserve">for </w:t>
      </w:r>
      <w:r w:rsidR="00752112" w:rsidRPr="00620C78">
        <w:t xml:space="preserve">guidance </w:t>
      </w:r>
      <w:r w:rsidR="009E2FF2" w:rsidRPr="00620C78">
        <w:t>as to the interpretation of a</w:t>
      </w:r>
      <w:r w:rsidR="0036695F" w:rsidRPr="00620C78">
        <w:t>n agreement</w:t>
      </w:r>
      <w:r w:rsidR="0050703A" w:rsidRPr="00620C78">
        <w:t>,</w:t>
      </w:r>
      <w:r w:rsidR="00316529" w:rsidRPr="00620C78">
        <w:rPr>
          <w:rStyle w:val="FootnoteReference"/>
        </w:rPr>
        <w:footnoteReference w:id="806"/>
      </w:r>
      <w:r w:rsidR="0050703A" w:rsidRPr="00620C78">
        <w:t xml:space="preserve"> or </w:t>
      </w:r>
      <w:r w:rsidR="00BD63B3" w:rsidRPr="00620C78">
        <w:t xml:space="preserve">should the Public Guardian and Trustee </w:t>
      </w:r>
      <w:r w:rsidR="00EB2E89" w:rsidRPr="00620C78">
        <w:t>pursue a person’s objection</w:t>
      </w:r>
      <w:r w:rsidR="00CD523B" w:rsidRPr="00620C78">
        <w:t xml:space="preserve"> to an agreement.</w:t>
      </w:r>
      <w:proofErr w:type="gramEnd"/>
      <w:r w:rsidR="00CD523B" w:rsidRPr="00620C78">
        <w:rPr>
          <w:rStyle w:val="FootnoteReference"/>
        </w:rPr>
        <w:footnoteReference w:id="807"/>
      </w:r>
    </w:p>
    <w:p w14:paraId="519A873C" w14:textId="2F9F0CB8" w:rsidR="006F2045" w:rsidRPr="002A28E1" w:rsidRDefault="006F2045" w:rsidP="00EE5331"/>
    <w:p w14:paraId="03B7B667" w14:textId="4B48521D" w:rsidR="00E50579" w:rsidRPr="00660AE8" w:rsidRDefault="00E50579" w:rsidP="00EE5331">
      <w:r w:rsidRPr="002A28E1">
        <w:t xml:space="preserve">The Act </w:t>
      </w:r>
      <w:proofErr w:type="gramStart"/>
      <w:r w:rsidRPr="002A28E1">
        <w:t>is grounded</w:t>
      </w:r>
      <w:proofErr w:type="gramEnd"/>
      <w:r w:rsidRPr="002A28E1">
        <w:t xml:space="preserve"> upon a presumption of capability.</w:t>
      </w:r>
      <w:r w:rsidR="00DD2B48" w:rsidRPr="002A28E1">
        <w:rPr>
          <w:rStyle w:val="FootnoteReference"/>
        </w:rPr>
        <w:footnoteReference w:id="808"/>
      </w:r>
      <w:r w:rsidR="000D3712" w:rsidRPr="002A28E1">
        <w:t xml:space="preserve"> Furthermore, a person’s capacity to enter into a representation agreement </w:t>
      </w:r>
      <w:proofErr w:type="gramStart"/>
      <w:r w:rsidR="000D3712" w:rsidRPr="002A28E1">
        <w:t>is not assessed</w:t>
      </w:r>
      <w:proofErr w:type="gramEnd"/>
      <w:r w:rsidR="000D3712" w:rsidRPr="002A28E1">
        <w:t xml:space="preserve"> by a </w:t>
      </w:r>
      <w:r w:rsidR="00307B06" w:rsidRPr="002A28E1">
        <w:t xml:space="preserve">standard </w:t>
      </w:r>
      <w:r w:rsidR="000D3712" w:rsidRPr="002A28E1">
        <w:t xml:space="preserve">status or functional </w:t>
      </w:r>
      <w:r w:rsidR="003858B3" w:rsidRPr="002A28E1">
        <w:t>test</w:t>
      </w:r>
      <w:r w:rsidR="001C0D88" w:rsidRPr="002A28E1">
        <w:t xml:space="preserve">. </w:t>
      </w:r>
      <w:proofErr w:type="gramStart"/>
      <w:r w:rsidR="001C0D88" w:rsidRPr="002A28E1">
        <w:t xml:space="preserve">Instead, </w:t>
      </w:r>
      <w:r w:rsidR="00370346" w:rsidRPr="002A28E1">
        <w:t>a subjective and holistic evaluation is made</w:t>
      </w:r>
      <w:r w:rsidR="00330FC5" w:rsidRPr="002A28E1">
        <w:t>, examining whether the person has communicated a desire to have a representative, whether the adult can demonstrate choices and preferences</w:t>
      </w:r>
      <w:r w:rsidR="001B53A3" w:rsidRPr="002A28E1">
        <w:t xml:space="preserve"> as well as feelings of approval or disapproval of others</w:t>
      </w:r>
      <w:r w:rsidR="008B3E7D" w:rsidRPr="002A28E1">
        <w:t xml:space="preserve">, whether the adult is aware that the representation agreement </w:t>
      </w:r>
      <w:r w:rsidR="00AF2F5D" w:rsidRPr="002A28E1">
        <w:t>will</w:t>
      </w:r>
      <w:r w:rsidR="008B3E7D" w:rsidRPr="002A28E1">
        <w:t xml:space="preserve"> affect them, and whether the adult has a relationship of trust with the </w:t>
      </w:r>
      <w:r w:rsidR="008B3E7D" w:rsidRPr="00660AE8">
        <w:t>representative.</w:t>
      </w:r>
      <w:r w:rsidR="008B3E7D" w:rsidRPr="00660AE8">
        <w:rPr>
          <w:rStyle w:val="FootnoteReference"/>
        </w:rPr>
        <w:footnoteReference w:id="809"/>
      </w:r>
      <w:proofErr w:type="gramEnd"/>
    </w:p>
    <w:p w14:paraId="6945C381" w14:textId="346A1EF4" w:rsidR="004F1057" w:rsidRPr="00660AE8" w:rsidRDefault="004F1057" w:rsidP="00EE5331"/>
    <w:p w14:paraId="6299E23E" w14:textId="68EDE06C" w:rsidR="00891BC9" w:rsidRPr="002A28E1" w:rsidRDefault="00682BAD" w:rsidP="00EE5331">
      <w:pPr>
        <w:rPr>
          <w:color w:val="333333"/>
          <w:spacing w:val="2"/>
          <w:shd w:val="clear" w:color="auto" w:fill="FCFCFC"/>
        </w:rPr>
      </w:pPr>
      <w:r w:rsidRPr="00660AE8">
        <w:t xml:space="preserve">In terms of its conformity to Article 12 of the CPRD, BC’s legislation </w:t>
      </w:r>
      <w:r w:rsidR="000D6A3F" w:rsidRPr="00660AE8">
        <w:t>does provide for a form of supported decision-making</w:t>
      </w:r>
      <w:r w:rsidR="00066B8A" w:rsidRPr="00660AE8">
        <w:t xml:space="preserve"> whose availability is not restricted </w:t>
      </w:r>
      <w:r w:rsidR="006E54DB" w:rsidRPr="00660AE8">
        <w:t xml:space="preserve">based </w:t>
      </w:r>
      <w:r w:rsidR="00066B8A" w:rsidRPr="00660AE8">
        <w:t>on a</w:t>
      </w:r>
      <w:r w:rsidR="006E54DB" w:rsidRPr="00660AE8">
        <w:t xml:space="preserve"> rigid</w:t>
      </w:r>
      <w:r w:rsidR="00066B8A" w:rsidRPr="00660AE8">
        <w:t xml:space="preserve"> assessment of mental capacity.</w:t>
      </w:r>
      <w:r w:rsidR="00777885" w:rsidRPr="00660AE8">
        <w:t xml:space="preserve"> </w:t>
      </w:r>
      <w:r w:rsidR="007F129E" w:rsidRPr="00660AE8">
        <w:t xml:space="preserve">UN’s Handbook for Parliamentarians on the CRPD praises this aspect of BC’s legislation, noting that in order to enter into a representation agreement, “a person does not need to prove legal competency under the usual </w:t>
      </w:r>
      <w:r w:rsidR="00B6562C" w:rsidRPr="00660AE8">
        <w:t>criteria</w:t>
      </w:r>
      <w:r w:rsidR="007F129E" w:rsidRPr="00660AE8">
        <w:t xml:space="preserve">, such as having a demonstrated capacity </w:t>
      </w:r>
      <w:r w:rsidR="000E001F" w:rsidRPr="00660AE8">
        <w:t>t</w:t>
      </w:r>
      <w:r w:rsidR="007F129E" w:rsidRPr="00660AE8">
        <w:t xml:space="preserve">o understand relevant information, appreciate consequences, act voluntarily and communicate a decision independently.” </w:t>
      </w:r>
      <w:r w:rsidR="007F129E" w:rsidRPr="00660AE8">
        <w:rPr>
          <w:rStyle w:val="FootnoteReference"/>
        </w:rPr>
        <w:footnoteReference w:id="810"/>
      </w:r>
      <w:r w:rsidR="00FB2320" w:rsidRPr="00660AE8">
        <w:t xml:space="preserve"> </w:t>
      </w:r>
      <w:r w:rsidR="00777885" w:rsidRPr="00660AE8">
        <w:t>Th</w:t>
      </w:r>
      <w:r w:rsidR="00DE332D" w:rsidRPr="00660AE8">
        <w:t>at</w:t>
      </w:r>
      <w:r w:rsidR="00777885" w:rsidRPr="00660AE8">
        <w:t xml:space="preserve"> said, </w:t>
      </w:r>
      <w:r w:rsidR="00723C80" w:rsidRPr="00660AE8">
        <w:t>supported decision-making</w:t>
      </w:r>
      <w:r w:rsidR="00777885" w:rsidRPr="00660AE8">
        <w:t xml:space="preserve"> </w:t>
      </w:r>
      <w:proofErr w:type="gramStart"/>
      <w:r w:rsidR="00777885" w:rsidRPr="00660AE8">
        <w:t>may</w:t>
      </w:r>
      <w:proofErr w:type="gramEnd"/>
      <w:r w:rsidR="00777885" w:rsidRPr="00660AE8">
        <w:t xml:space="preserve"> not be available to all persons with disabilities</w:t>
      </w:r>
      <w:r w:rsidR="000E001F" w:rsidRPr="00660AE8">
        <w:t xml:space="preserve"> in BC.</w:t>
      </w:r>
      <w:r w:rsidR="00777885" w:rsidRPr="00660AE8">
        <w:t xml:space="preserve"> </w:t>
      </w:r>
      <w:r w:rsidR="00190D80" w:rsidRPr="00660AE8">
        <w:rPr>
          <w:color w:val="000000" w:themeColor="text1"/>
        </w:rPr>
        <w:t xml:space="preserve">Indeed, Malcolm Parker </w:t>
      </w:r>
      <w:r w:rsidR="005D62D1" w:rsidRPr="00660AE8">
        <w:rPr>
          <w:color w:val="000000" w:themeColor="text1"/>
        </w:rPr>
        <w:t xml:space="preserve">poses a key question regarding </w:t>
      </w:r>
      <w:r w:rsidR="00580392" w:rsidRPr="00660AE8">
        <w:rPr>
          <w:color w:val="000000" w:themeColor="text1"/>
        </w:rPr>
        <w:t>the factors</w:t>
      </w:r>
      <w:r w:rsidR="004C7E64" w:rsidRPr="00660AE8">
        <w:rPr>
          <w:color w:val="000000" w:themeColor="text1"/>
        </w:rPr>
        <w:t xml:space="preserve"> contained</w:t>
      </w:r>
      <w:r w:rsidR="00580392" w:rsidRPr="00660AE8">
        <w:rPr>
          <w:color w:val="000000" w:themeColor="text1"/>
        </w:rPr>
        <w:t xml:space="preserve"> in</w:t>
      </w:r>
      <w:r w:rsidR="00190D80" w:rsidRPr="00660AE8">
        <w:rPr>
          <w:color w:val="000000" w:themeColor="text1"/>
        </w:rPr>
        <w:t xml:space="preserve"> BC’s legislation </w:t>
      </w:r>
      <w:r w:rsidR="004E453E" w:rsidRPr="00660AE8">
        <w:rPr>
          <w:color w:val="000000" w:themeColor="text1"/>
        </w:rPr>
        <w:t>for</w:t>
      </w:r>
      <w:r w:rsidR="00190D80" w:rsidRPr="00660AE8">
        <w:rPr>
          <w:color w:val="000000" w:themeColor="text1"/>
        </w:rPr>
        <w:t xml:space="preserve"> assess</w:t>
      </w:r>
      <w:r w:rsidR="004E453E" w:rsidRPr="00660AE8">
        <w:rPr>
          <w:color w:val="000000" w:themeColor="text1"/>
        </w:rPr>
        <w:t>ing</w:t>
      </w:r>
      <w:r w:rsidR="00190D80" w:rsidRPr="00660AE8">
        <w:rPr>
          <w:color w:val="000000" w:themeColor="text1"/>
        </w:rPr>
        <w:t xml:space="preserve"> a person’s capacity to enter into a representation agreement</w:t>
      </w:r>
      <w:r w:rsidR="00C53AA5" w:rsidRPr="00660AE8">
        <w:rPr>
          <w:color w:val="000000" w:themeColor="text1"/>
        </w:rPr>
        <w:t>:</w:t>
      </w:r>
      <w:r w:rsidR="00190D80" w:rsidRPr="00660AE8">
        <w:rPr>
          <w:color w:val="000000" w:themeColor="text1"/>
        </w:rPr>
        <w:t xml:space="preserve"> </w:t>
      </w:r>
      <w:r w:rsidR="00891BC9" w:rsidRPr="00660AE8">
        <w:rPr>
          <w:color w:val="000000" w:themeColor="text1"/>
        </w:rPr>
        <w:t>“</w:t>
      </w:r>
      <w:r w:rsidR="00891BC9" w:rsidRPr="00660AE8">
        <w:rPr>
          <w:color w:val="000000" w:themeColor="text1"/>
          <w:spacing w:val="2"/>
          <w:shd w:val="clear" w:color="auto" w:fill="FCFCFC"/>
        </w:rPr>
        <w:t>how much more flexibility than the traditional threshold concept of capacity do these considerations rep</w:t>
      </w:r>
      <w:r w:rsidR="00891BC9" w:rsidRPr="002A28E1">
        <w:rPr>
          <w:color w:val="000000" w:themeColor="text1"/>
          <w:spacing w:val="2"/>
          <w:shd w:val="clear" w:color="auto" w:fill="FCFCFC"/>
        </w:rPr>
        <w:t>resent?</w:t>
      </w:r>
      <w:r w:rsidR="00B86DEF" w:rsidRPr="002A28E1">
        <w:rPr>
          <w:color w:val="000000" w:themeColor="text1"/>
          <w:spacing w:val="2"/>
          <w:shd w:val="clear" w:color="auto" w:fill="FCFCFC"/>
        </w:rPr>
        <w:t>”</w:t>
      </w:r>
      <w:r w:rsidR="00510F21" w:rsidRPr="002A28E1">
        <w:rPr>
          <w:rStyle w:val="FootnoteReference"/>
          <w:color w:val="000000" w:themeColor="text1"/>
          <w:spacing w:val="2"/>
          <w:shd w:val="clear" w:color="auto" w:fill="FCFCFC"/>
        </w:rPr>
        <w:footnoteReference w:id="811"/>
      </w:r>
      <w:r w:rsidR="00CB3C11" w:rsidRPr="002A28E1">
        <w:rPr>
          <w:color w:val="000000" w:themeColor="text1"/>
          <w:spacing w:val="2"/>
          <w:shd w:val="clear" w:color="auto" w:fill="FCFCFC"/>
        </w:rPr>
        <w:t xml:space="preserve"> This author contends that </w:t>
      </w:r>
      <w:r w:rsidR="00004589" w:rsidRPr="002A28E1">
        <w:rPr>
          <w:color w:val="000000" w:themeColor="text1"/>
          <w:spacing w:val="2"/>
          <w:shd w:val="clear" w:color="auto" w:fill="FCFCFC"/>
        </w:rPr>
        <w:t>“</w:t>
      </w:r>
      <w:r w:rsidR="007812E4" w:rsidRPr="002A28E1">
        <w:rPr>
          <w:color w:val="000000" w:themeColor="text1"/>
          <w:spacing w:val="2"/>
          <w:shd w:val="clear" w:color="auto" w:fill="FCFCFC"/>
        </w:rPr>
        <w:t>t</w:t>
      </w:r>
      <w:r w:rsidR="00891BC9" w:rsidRPr="002A28E1">
        <w:rPr>
          <w:color w:val="000000" w:themeColor="text1"/>
          <w:spacing w:val="2"/>
          <w:shd w:val="clear" w:color="auto" w:fill="FCFCFC"/>
        </w:rPr>
        <w:t>o demonstrate choices and preferences, indicate approval or disapproval of others (in relation to the supporting </w:t>
      </w:r>
      <w:r w:rsidR="00891BC9" w:rsidRPr="002A28E1">
        <w:rPr>
          <w:i/>
          <w:iCs/>
          <w:color w:val="000000" w:themeColor="text1"/>
          <w:spacing w:val="2"/>
        </w:rPr>
        <w:t>role</w:t>
      </w:r>
      <w:r w:rsidR="00891BC9" w:rsidRPr="002A28E1">
        <w:rPr>
          <w:color w:val="000000" w:themeColor="text1"/>
          <w:spacing w:val="2"/>
          <w:shd w:val="clear" w:color="auto" w:fill="FCFCFC"/>
        </w:rPr>
        <w:t xml:space="preserve">, not just whether the other person was liked or not), be aware of what that role </w:t>
      </w:r>
      <w:r w:rsidR="00891BC9" w:rsidRPr="002A28E1">
        <w:rPr>
          <w:color w:val="000000" w:themeColor="text1"/>
          <w:spacing w:val="2"/>
          <w:shd w:val="clear" w:color="auto" w:fill="FCFCFC"/>
        </w:rPr>
        <w:lastRenderedPageBreak/>
        <w:t xml:space="preserve">involves, and to </w:t>
      </w:r>
      <w:r w:rsidR="00891BC9" w:rsidRPr="00660AE8">
        <w:rPr>
          <w:color w:val="000000" w:themeColor="text1"/>
          <w:spacing w:val="2"/>
          <w:shd w:val="clear" w:color="auto" w:fill="FCFCFC"/>
        </w:rPr>
        <w:t>trust the support person, together comprise something that closely aligns with what a threshold concept of capacity requires.</w:t>
      </w:r>
      <w:r w:rsidR="00891BC9" w:rsidRPr="00660AE8">
        <w:rPr>
          <w:color w:val="000000" w:themeColor="text1"/>
        </w:rPr>
        <w:t>”</w:t>
      </w:r>
      <w:r w:rsidR="00DC6181" w:rsidRPr="00660AE8">
        <w:rPr>
          <w:rStyle w:val="FootnoteReference"/>
          <w:color w:val="000000" w:themeColor="text1"/>
        </w:rPr>
        <w:footnoteReference w:id="812"/>
      </w:r>
      <w:r w:rsidR="00F7451F" w:rsidRPr="00660AE8">
        <w:rPr>
          <w:color w:val="000000" w:themeColor="text1"/>
        </w:rPr>
        <w:t xml:space="preserve"> </w:t>
      </w:r>
      <w:r w:rsidR="00F10228" w:rsidRPr="00660AE8">
        <w:rPr>
          <w:color w:val="000000" w:themeColor="text1"/>
        </w:rPr>
        <w:t>Thus</w:t>
      </w:r>
      <w:r w:rsidR="00F10228" w:rsidRPr="00660AE8">
        <w:t xml:space="preserve">, we must </w:t>
      </w:r>
      <w:r w:rsidR="00DA0E46" w:rsidRPr="00660AE8">
        <w:t xml:space="preserve">question whether </w:t>
      </w:r>
      <w:r w:rsidR="000D4B4C" w:rsidRPr="00660AE8">
        <w:t xml:space="preserve">the BC legislative scheme </w:t>
      </w:r>
      <w:r w:rsidR="00E84C68" w:rsidRPr="00660AE8">
        <w:t>actuall</w:t>
      </w:r>
      <w:r w:rsidR="00945A9A" w:rsidRPr="00660AE8">
        <w:t>y</w:t>
      </w:r>
      <w:r w:rsidR="005B77EA" w:rsidRPr="00660AE8">
        <w:t xml:space="preserve"> makes </w:t>
      </w:r>
      <w:r w:rsidR="00075F1B" w:rsidRPr="00660AE8">
        <w:t>supported decision</w:t>
      </w:r>
      <w:r w:rsidR="00E91B24" w:rsidRPr="00660AE8">
        <w:t>-</w:t>
      </w:r>
      <w:r w:rsidR="00075F1B" w:rsidRPr="00660AE8">
        <w:t xml:space="preserve">making </w:t>
      </w:r>
      <w:r w:rsidR="00977EB1" w:rsidRPr="00660AE8">
        <w:t xml:space="preserve">universally </w:t>
      </w:r>
      <w:r w:rsidR="00075F1B" w:rsidRPr="00660AE8">
        <w:t>available</w:t>
      </w:r>
      <w:r w:rsidR="00F36443" w:rsidRPr="00660AE8">
        <w:t xml:space="preserve"> to persons with disabilities</w:t>
      </w:r>
      <w:r w:rsidR="00961675" w:rsidRPr="00660AE8">
        <w:t xml:space="preserve">, including those with </w:t>
      </w:r>
      <w:r w:rsidR="00623C36" w:rsidRPr="00660AE8">
        <w:t>high support needs</w:t>
      </w:r>
      <w:r w:rsidR="00F36443" w:rsidRPr="00660AE8">
        <w:t>.</w:t>
      </w:r>
      <w:r w:rsidR="00075F1B" w:rsidRPr="00660AE8">
        <w:t xml:space="preserve"> </w:t>
      </w:r>
      <w:proofErr w:type="gramStart"/>
      <w:r w:rsidR="00DF1FDB" w:rsidRPr="00660AE8">
        <w:t>Nevertheless, there is “no specific up-front test of mental capability” that must be passed in order to make a representation agreement.</w:t>
      </w:r>
      <w:proofErr w:type="gramEnd"/>
      <w:r w:rsidR="00DF1FDB" w:rsidRPr="00660AE8">
        <w:rPr>
          <w:rStyle w:val="FootnoteReference"/>
        </w:rPr>
        <w:footnoteReference w:id="813"/>
      </w:r>
      <w:r w:rsidR="00595153" w:rsidRPr="00660AE8">
        <w:t xml:space="preserve"> Perhaps if the factors </w:t>
      </w:r>
      <w:proofErr w:type="gramStart"/>
      <w:r w:rsidR="00595153" w:rsidRPr="00660AE8">
        <w:t>are</w:t>
      </w:r>
      <w:r w:rsidR="00256423" w:rsidRPr="00660AE8">
        <w:t xml:space="preserve"> not applied</w:t>
      </w:r>
      <w:proofErr w:type="gramEnd"/>
      <w:r w:rsidR="00256423" w:rsidRPr="00660AE8">
        <w:t xml:space="preserve"> rigidly</w:t>
      </w:r>
      <w:r w:rsidR="00B654E8" w:rsidRPr="00660AE8">
        <w:t xml:space="preserve">, support may in fact be </w:t>
      </w:r>
      <w:r w:rsidR="004F491B" w:rsidRPr="00660AE8">
        <w:t xml:space="preserve">made widely </w:t>
      </w:r>
      <w:r w:rsidR="00815FF6" w:rsidRPr="00660AE8">
        <w:t>available</w:t>
      </w:r>
      <w:r w:rsidR="004F491B" w:rsidRPr="00660AE8">
        <w:t xml:space="preserve"> to persons</w:t>
      </w:r>
      <w:r w:rsidR="004F491B">
        <w:t xml:space="preserve"> with disabilities.</w:t>
      </w:r>
    </w:p>
    <w:p w14:paraId="58CB7B2D" w14:textId="77777777" w:rsidR="00891BC9" w:rsidRPr="002A28E1" w:rsidRDefault="00891BC9" w:rsidP="00EE5331"/>
    <w:p w14:paraId="6632507A" w14:textId="1BE0B9B4" w:rsidR="004F1057" w:rsidRPr="00660AE8" w:rsidRDefault="0017275E" w:rsidP="00EE5331">
      <w:r w:rsidRPr="00660AE8">
        <w:t xml:space="preserve">The </w:t>
      </w:r>
      <w:r w:rsidR="00626B5C" w:rsidRPr="00660AE8">
        <w:t>Representation Agreement Act</w:t>
      </w:r>
      <w:r w:rsidRPr="00660AE8">
        <w:t xml:space="preserve"> </w:t>
      </w:r>
      <w:r w:rsidR="00FB799F" w:rsidRPr="00660AE8">
        <w:t>does</w:t>
      </w:r>
      <w:r w:rsidRPr="00660AE8">
        <w:t xml:space="preserve"> contain some safeguards</w:t>
      </w:r>
      <w:r w:rsidR="00D80F13" w:rsidRPr="00660AE8">
        <w:t xml:space="preserve"> as required by </w:t>
      </w:r>
      <w:r w:rsidR="003531C1" w:rsidRPr="00660AE8">
        <w:t>Article 12</w:t>
      </w:r>
      <w:r w:rsidRPr="00660AE8">
        <w:t>, such a</w:t>
      </w:r>
      <w:r w:rsidR="00AA3253" w:rsidRPr="00660AE8">
        <w:t>s the appointment of a</w:t>
      </w:r>
      <w:r w:rsidR="0092034E" w:rsidRPr="00660AE8">
        <w:t xml:space="preserve"> </w:t>
      </w:r>
      <w:r w:rsidR="00F7369B" w:rsidRPr="00660AE8">
        <w:t>monitor</w:t>
      </w:r>
      <w:r w:rsidR="00790ADF" w:rsidRPr="00660AE8">
        <w:t xml:space="preserve"> in cases where the agreement touches upon financial matters.</w:t>
      </w:r>
      <w:r w:rsidR="000E11AF" w:rsidRPr="00660AE8">
        <w:rPr>
          <w:rStyle w:val="FootnoteReference"/>
        </w:rPr>
        <w:footnoteReference w:id="814"/>
      </w:r>
      <w:r w:rsidR="00790ADF" w:rsidRPr="00660AE8">
        <w:t xml:space="preserve"> The monitor must</w:t>
      </w:r>
      <w:r w:rsidR="00AA3253" w:rsidRPr="00660AE8">
        <w:t xml:space="preserve"> ensure that the representative is </w:t>
      </w:r>
      <w:r w:rsidR="002C4E4E" w:rsidRPr="00660AE8">
        <w:t xml:space="preserve">adhering to the agreement and </w:t>
      </w:r>
      <w:r w:rsidR="000760A1" w:rsidRPr="00660AE8">
        <w:t xml:space="preserve">acting honestly and in good faith, </w:t>
      </w:r>
      <w:r w:rsidR="003547DD" w:rsidRPr="00660AE8">
        <w:t xml:space="preserve">while exercising </w:t>
      </w:r>
      <w:r w:rsidR="00D90C58" w:rsidRPr="00660AE8">
        <w:t>appropriate</w:t>
      </w:r>
      <w:r w:rsidR="003547DD" w:rsidRPr="00660AE8">
        <w:t xml:space="preserve"> care, diligence and skill</w:t>
      </w:r>
      <w:r w:rsidR="003C4D60" w:rsidRPr="00660AE8">
        <w:t>.</w:t>
      </w:r>
      <w:r w:rsidR="007B6EBA" w:rsidRPr="00660AE8">
        <w:rPr>
          <w:rStyle w:val="FootnoteReference"/>
        </w:rPr>
        <w:footnoteReference w:id="815"/>
      </w:r>
      <w:r w:rsidR="009169EA" w:rsidRPr="00660AE8">
        <w:t xml:space="preserve"> Monitors may require the </w:t>
      </w:r>
      <w:r w:rsidR="00E45A4E" w:rsidRPr="00660AE8">
        <w:t xml:space="preserve">representative to </w:t>
      </w:r>
      <w:r w:rsidR="00D44603" w:rsidRPr="00660AE8">
        <w:t>provide</w:t>
      </w:r>
      <w:r w:rsidR="00E45A4E" w:rsidRPr="00660AE8">
        <w:t xml:space="preserve"> accounts</w:t>
      </w:r>
      <w:r w:rsidR="004158B2" w:rsidRPr="00660AE8">
        <w:t xml:space="preserve">, </w:t>
      </w:r>
      <w:r w:rsidR="00E45A4E" w:rsidRPr="00660AE8">
        <w:t>records</w:t>
      </w:r>
      <w:r w:rsidR="00F31BC8" w:rsidRPr="00660AE8">
        <w:t xml:space="preserve">, and </w:t>
      </w:r>
      <w:r w:rsidR="00D431D1" w:rsidRPr="00660AE8">
        <w:t>report</w:t>
      </w:r>
      <w:r w:rsidR="00A22BB2" w:rsidRPr="00660AE8">
        <w:t>s</w:t>
      </w:r>
      <w:r w:rsidR="00D431D1" w:rsidRPr="00660AE8">
        <w:t xml:space="preserve"> </w:t>
      </w:r>
      <w:r w:rsidR="0007509C" w:rsidRPr="00660AE8">
        <w:t xml:space="preserve">and </w:t>
      </w:r>
      <w:r w:rsidR="00C869E0" w:rsidRPr="00660AE8">
        <w:t xml:space="preserve">may </w:t>
      </w:r>
      <w:r w:rsidR="00BC16AE" w:rsidRPr="00660AE8">
        <w:t xml:space="preserve">inform the </w:t>
      </w:r>
      <w:r w:rsidR="00ED7E6C" w:rsidRPr="00660AE8">
        <w:t xml:space="preserve">Public Guardian and Trustee </w:t>
      </w:r>
      <w:r w:rsidR="003767F4" w:rsidRPr="00660AE8">
        <w:t>if they believe</w:t>
      </w:r>
      <w:r w:rsidR="000F680E" w:rsidRPr="00660AE8">
        <w:t xml:space="preserve"> that a representative is not </w:t>
      </w:r>
      <w:r w:rsidR="003057A3" w:rsidRPr="00660AE8">
        <w:t>respecting</w:t>
      </w:r>
      <w:r w:rsidR="000F680E" w:rsidRPr="00660AE8">
        <w:t xml:space="preserve"> their duties.</w:t>
      </w:r>
      <w:r w:rsidR="00F71ED0" w:rsidRPr="00660AE8">
        <w:rPr>
          <w:rStyle w:val="FootnoteReference"/>
        </w:rPr>
        <w:footnoteReference w:id="816"/>
      </w:r>
      <w:r w:rsidR="00672A73" w:rsidRPr="00660AE8">
        <w:t xml:space="preserve"> Notably, however, the legislation does not appear to require monitors where the agreement touches upon non-financial matters and </w:t>
      </w:r>
      <w:proofErr w:type="gramStart"/>
      <w:r w:rsidR="00672A73" w:rsidRPr="00660AE8">
        <w:t>it also</w:t>
      </w:r>
      <w:proofErr w:type="gramEnd"/>
      <w:r w:rsidR="00672A73" w:rsidRPr="00660AE8">
        <w:t xml:space="preserve"> does not appear to provide for </w:t>
      </w:r>
      <w:r w:rsidR="005A38BC" w:rsidRPr="00660AE8">
        <w:t xml:space="preserve">any </w:t>
      </w:r>
      <w:r w:rsidR="00672A73" w:rsidRPr="00660AE8">
        <w:t>mechanisms to challenge the representative’s actions.</w:t>
      </w:r>
    </w:p>
    <w:p w14:paraId="547B1541" w14:textId="5B8D27A1" w:rsidR="00541DBB" w:rsidRPr="002A28E1" w:rsidRDefault="00541DBB" w:rsidP="00EE5331"/>
    <w:p w14:paraId="4913E2E5" w14:textId="2038032C" w:rsidR="00996D5A" w:rsidRPr="002A28E1" w:rsidRDefault="00BB5F67" w:rsidP="00996D5A">
      <w:r w:rsidRPr="00660AE8">
        <w:t>One</w:t>
      </w:r>
      <w:r w:rsidR="00345677" w:rsidRPr="00660AE8">
        <w:t xml:space="preserve"> potential incompatibilit</w:t>
      </w:r>
      <w:r w:rsidR="0076240B" w:rsidRPr="00660AE8">
        <w:t>y</w:t>
      </w:r>
      <w:r w:rsidR="00345677" w:rsidRPr="00660AE8">
        <w:t xml:space="preserve"> between the</w:t>
      </w:r>
      <w:r w:rsidR="00996D5A" w:rsidRPr="00660AE8">
        <w:t xml:space="preserve"> Representation Agreement Act</w:t>
      </w:r>
      <w:r w:rsidR="008F572D" w:rsidRPr="00660AE8">
        <w:t xml:space="preserve"> </w:t>
      </w:r>
      <w:r w:rsidR="00506EE2" w:rsidRPr="00660AE8">
        <w:t>and</w:t>
      </w:r>
      <w:r w:rsidR="008F572D" w:rsidRPr="00660AE8">
        <w:t xml:space="preserve"> Article 12</w:t>
      </w:r>
      <w:r w:rsidR="003840F3" w:rsidRPr="00660AE8">
        <w:t xml:space="preserve"> might</w:t>
      </w:r>
      <w:r w:rsidR="00E764B0" w:rsidRPr="00660AE8">
        <w:t xml:space="preserve"> be found</w:t>
      </w:r>
      <w:r w:rsidR="00882454" w:rsidRPr="00660AE8">
        <w:t xml:space="preserve"> </w:t>
      </w:r>
      <w:proofErr w:type="gramStart"/>
      <w:r w:rsidR="00882454" w:rsidRPr="00660AE8">
        <w:t>with regards</w:t>
      </w:r>
      <w:r w:rsidR="000531C3" w:rsidRPr="00660AE8">
        <w:t xml:space="preserve"> </w:t>
      </w:r>
      <w:r w:rsidR="00882454" w:rsidRPr="00660AE8">
        <w:t>to</w:t>
      </w:r>
      <w:proofErr w:type="gramEnd"/>
      <w:r w:rsidR="00DB2972" w:rsidRPr="00660AE8">
        <w:t xml:space="preserve"> the possibility that a representative </w:t>
      </w:r>
      <w:r w:rsidR="00FF36CF" w:rsidRPr="00660AE8">
        <w:t>may “make decisions on behalf of the adult</w:t>
      </w:r>
      <w:r w:rsidR="00610AEF" w:rsidRPr="00660AE8">
        <w:t>.</w:t>
      </w:r>
      <w:r w:rsidR="00FF36CF" w:rsidRPr="00660AE8">
        <w:t>”</w:t>
      </w:r>
      <w:r w:rsidR="00610AEF" w:rsidRPr="00660AE8">
        <w:rPr>
          <w:rStyle w:val="FootnoteReference"/>
        </w:rPr>
        <w:footnoteReference w:id="817"/>
      </w:r>
      <w:r w:rsidR="00FF36CF" w:rsidRPr="00660AE8">
        <w:t xml:space="preserve"> </w:t>
      </w:r>
      <w:r w:rsidR="00804AD9" w:rsidRPr="00660AE8">
        <w:t>Due to this provision, representation agreements</w:t>
      </w:r>
      <w:r w:rsidR="00B53856" w:rsidRPr="00660AE8">
        <w:t xml:space="preserve"> arguably</w:t>
      </w:r>
      <w:r w:rsidR="00E0218D" w:rsidRPr="00660AE8">
        <w:t xml:space="preserve"> </w:t>
      </w:r>
      <w:r w:rsidR="007F5870" w:rsidRPr="00660AE8">
        <w:t xml:space="preserve">encapsulate qualities </w:t>
      </w:r>
      <w:r w:rsidR="00B054FF" w:rsidRPr="00660AE8">
        <w:t>of substitute decision-making</w:t>
      </w:r>
      <w:r w:rsidR="007E36E4" w:rsidRPr="00660AE8">
        <w:t>,</w:t>
      </w:r>
      <w:r w:rsidR="00A036F0" w:rsidRPr="00660AE8">
        <w:t xml:space="preserve"> </w:t>
      </w:r>
      <w:r w:rsidR="007E36E4" w:rsidRPr="00660AE8">
        <w:t>which</w:t>
      </w:r>
      <w:r w:rsidR="00A036F0" w:rsidRPr="00660AE8">
        <w:t xml:space="preserve"> takes decisions out of the hands of persons with disabilities.</w:t>
      </w:r>
      <w:r w:rsidR="00965E39" w:rsidRPr="00660AE8">
        <w:t xml:space="preserve"> Additionally, </w:t>
      </w:r>
      <w:r w:rsidR="00286862" w:rsidRPr="00660AE8">
        <w:t xml:space="preserve">even where the representative is </w:t>
      </w:r>
      <w:r w:rsidR="009A540F" w:rsidRPr="00660AE8">
        <w:t xml:space="preserve">“helping” </w:t>
      </w:r>
      <w:r w:rsidR="00E73DD3" w:rsidRPr="00660AE8">
        <w:t xml:space="preserve">the adult as opposed to </w:t>
      </w:r>
      <w:r w:rsidR="009B6F08" w:rsidRPr="00660AE8">
        <w:t xml:space="preserve">making decisions on their behalf, </w:t>
      </w:r>
      <w:r w:rsidR="00187740" w:rsidRPr="00660AE8">
        <w:t xml:space="preserve">there is a potential </w:t>
      </w:r>
      <w:r w:rsidR="004A2CED" w:rsidRPr="00660AE8">
        <w:t>for a representative to make decisions that conflict with the will and preferences of the adult.</w:t>
      </w:r>
      <w:r w:rsidR="00303AB1" w:rsidRPr="00660AE8">
        <w:t xml:space="preserve"> The Act only obliges representatives to try to ascertain the </w:t>
      </w:r>
      <w:r w:rsidR="00357770" w:rsidRPr="00660AE8">
        <w:t>adult’s wishes “to the extent reasonable</w:t>
      </w:r>
      <w:r w:rsidR="00A2351A" w:rsidRPr="002A28E1">
        <w:t>.”</w:t>
      </w:r>
      <w:r w:rsidR="00165E13" w:rsidRPr="002A28E1">
        <w:rPr>
          <w:rStyle w:val="FootnoteReference"/>
        </w:rPr>
        <w:footnoteReference w:id="818"/>
      </w:r>
      <w:r w:rsidR="00A2351A" w:rsidRPr="002A28E1">
        <w:t xml:space="preserve"> Moreover, representatives must only comply with </w:t>
      </w:r>
      <w:r w:rsidR="00071D31" w:rsidRPr="002A28E1">
        <w:t>these</w:t>
      </w:r>
      <w:r w:rsidR="00A2351A" w:rsidRPr="002A28E1">
        <w:t xml:space="preserve"> wishes </w:t>
      </w:r>
      <w:r w:rsidR="00B35AE3" w:rsidRPr="002A28E1">
        <w:t>“</w:t>
      </w:r>
      <w:r w:rsidR="00A2351A" w:rsidRPr="002A28E1">
        <w:t>if it is reasonable to do so.”</w:t>
      </w:r>
      <w:r w:rsidR="00A2351A" w:rsidRPr="002A28E1">
        <w:rPr>
          <w:rStyle w:val="FootnoteReference"/>
        </w:rPr>
        <w:footnoteReference w:id="819"/>
      </w:r>
      <w:r w:rsidR="00C72F3A" w:rsidRPr="002A28E1">
        <w:t xml:space="preserve"> These stipulations </w:t>
      </w:r>
      <w:r w:rsidR="00952B10" w:rsidRPr="002A28E1">
        <w:t xml:space="preserve">would appear to </w:t>
      </w:r>
      <w:r w:rsidR="00480064" w:rsidRPr="002A28E1">
        <w:t xml:space="preserve">give </w:t>
      </w:r>
      <w:r w:rsidR="00A30337" w:rsidRPr="002A28E1">
        <w:t xml:space="preserve">a representative authorization </w:t>
      </w:r>
      <w:r w:rsidR="005A593D" w:rsidRPr="002A28E1">
        <w:t xml:space="preserve">to </w:t>
      </w:r>
      <w:r w:rsidR="00B46B86" w:rsidRPr="002A28E1">
        <w:t>disregard</w:t>
      </w:r>
      <w:r w:rsidR="004F3223" w:rsidRPr="002A28E1">
        <w:t xml:space="preserve"> </w:t>
      </w:r>
      <w:r w:rsidR="00146142" w:rsidRPr="002A28E1">
        <w:t xml:space="preserve">the </w:t>
      </w:r>
      <w:r w:rsidR="003A2286" w:rsidRPr="002A28E1">
        <w:t>will</w:t>
      </w:r>
      <w:r w:rsidR="00F83971" w:rsidRPr="002A28E1">
        <w:t xml:space="preserve"> and preferences of the adult at </w:t>
      </w:r>
      <w:r w:rsidR="00C14FE2" w:rsidRPr="002A28E1">
        <w:t>their discretion</w:t>
      </w:r>
      <w:r w:rsidR="00F83971" w:rsidRPr="002A28E1">
        <w:t xml:space="preserve">. This is problematic from the point of view of Article 12, which puts </w:t>
      </w:r>
      <w:r w:rsidR="00C763DF" w:rsidRPr="002A28E1">
        <w:t xml:space="preserve">forward </w:t>
      </w:r>
      <w:r w:rsidR="004C5C1C" w:rsidRPr="002A28E1">
        <w:t xml:space="preserve">a vision of supported decision-making that </w:t>
      </w:r>
      <w:r w:rsidR="000B6C8F" w:rsidRPr="002A28E1">
        <w:t xml:space="preserve">is </w:t>
      </w:r>
      <w:r w:rsidR="00802DEF" w:rsidRPr="002A28E1">
        <w:t>staunchly committed to upholding</w:t>
      </w:r>
      <w:r w:rsidR="00DE7E88" w:rsidRPr="002A28E1">
        <w:t xml:space="preserve"> the will and preferences</w:t>
      </w:r>
      <w:r w:rsidR="0012495F" w:rsidRPr="002A28E1">
        <w:t xml:space="preserve"> of the individuals</w:t>
      </w:r>
      <w:r w:rsidR="00AA4632" w:rsidRPr="002A28E1">
        <w:t xml:space="preserve"> receiving support</w:t>
      </w:r>
      <w:r w:rsidR="0012495F" w:rsidRPr="002A28E1">
        <w:t>.</w:t>
      </w:r>
    </w:p>
    <w:p w14:paraId="51363F2D" w14:textId="71BF0AF2" w:rsidR="00996D5A" w:rsidRPr="002A28E1" w:rsidRDefault="00996D5A" w:rsidP="00EE5331"/>
    <w:p w14:paraId="3501B448" w14:textId="74F9D2FD" w:rsidR="00150AF2" w:rsidRPr="002A28E1" w:rsidRDefault="003453D6" w:rsidP="00376D59">
      <w:r w:rsidRPr="002A28E1">
        <w:t xml:space="preserve">It is critical to </w:t>
      </w:r>
      <w:r w:rsidR="001C0218" w:rsidRPr="002A28E1">
        <w:t>emphasize</w:t>
      </w:r>
      <w:r w:rsidR="00150AF2" w:rsidRPr="002A28E1">
        <w:t xml:space="preserve"> that the substitute decision-making </w:t>
      </w:r>
      <w:r w:rsidR="0099644D" w:rsidRPr="002A28E1">
        <w:t xml:space="preserve">in the form of guardianship </w:t>
      </w:r>
      <w:r w:rsidR="00150AF2" w:rsidRPr="002A28E1">
        <w:t xml:space="preserve">remains available under </w:t>
      </w:r>
      <w:r w:rsidR="00143A6A" w:rsidRPr="002A28E1">
        <w:t>BC law, which is in clear contravention of Ar</w:t>
      </w:r>
      <w:r w:rsidR="00CE0857" w:rsidRPr="002A28E1">
        <w:t>ti</w:t>
      </w:r>
      <w:r w:rsidR="00143A6A" w:rsidRPr="002A28E1">
        <w:t>cle 12.</w:t>
      </w:r>
      <w:r w:rsidR="00A86EFA" w:rsidRPr="002A28E1">
        <w:t xml:space="preserve"> </w:t>
      </w:r>
      <w:r w:rsidR="006B0918" w:rsidRPr="002A28E1">
        <w:t xml:space="preserve">The Patients Property Act allows </w:t>
      </w:r>
      <w:proofErr w:type="gramStart"/>
      <w:r w:rsidR="006B0918" w:rsidRPr="002A28E1">
        <w:t>for a</w:t>
      </w:r>
      <w:proofErr w:type="gramEnd"/>
      <w:r w:rsidR="006B0918" w:rsidRPr="002A28E1">
        <w:t xml:space="preserve"> person to apply to the BC Supreme Court to be designated as a person’s private committee (or guardian).</w:t>
      </w:r>
      <w:bookmarkStart w:id="94" w:name="_Ref15306621"/>
      <w:r w:rsidR="00697249" w:rsidRPr="002A28E1">
        <w:rPr>
          <w:rStyle w:val="FootnoteReference"/>
        </w:rPr>
        <w:footnoteReference w:id="820"/>
      </w:r>
      <w:bookmarkEnd w:id="94"/>
      <w:r w:rsidR="00E26D32" w:rsidRPr="002A28E1">
        <w:t xml:space="preserve"> </w:t>
      </w:r>
      <w:r w:rsidR="00541444" w:rsidRPr="002A28E1">
        <w:t xml:space="preserve">A person </w:t>
      </w:r>
      <w:proofErr w:type="gramStart"/>
      <w:r w:rsidR="00541444" w:rsidRPr="002A28E1">
        <w:t>can be appointed</w:t>
      </w:r>
      <w:proofErr w:type="gramEnd"/>
      <w:r w:rsidR="00541444" w:rsidRPr="002A28E1">
        <w:t xml:space="preserve"> as committee of estate to manage the </w:t>
      </w:r>
      <w:r w:rsidR="00541444" w:rsidRPr="002A28E1">
        <w:lastRenderedPageBreak/>
        <w:t>person’s financial and legal affairs</w:t>
      </w:r>
      <w:r w:rsidR="0012606D" w:rsidRPr="002A28E1">
        <w:t xml:space="preserve">, </w:t>
      </w:r>
      <w:r w:rsidR="00541444" w:rsidRPr="002A28E1">
        <w:t xml:space="preserve">as committee of person </w:t>
      </w:r>
      <w:r w:rsidR="00D1227A" w:rsidRPr="002A28E1">
        <w:t xml:space="preserve">to </w:t>
      </w:r>
      <w:r w:rsidR="00D53F15" w:rsidRPr="002A28E1">
        <w:t>take charge of an individual’s personal care</w:t>
      </w:r>
      <w:r w:rsidR="00D657A2" w:rsidRPr="002A28E1">
        <w:t xml:space="preserve">, or </w:t>
      </w:r>
      <w:r w:rsidR="00587AA3" w:rsidRPr="002A28E1">
        <w:t>as</w:t>
      </w:r>
      <w:r w:rsidR="00D657A2" w:rsidRPr="002A28E1">
        <w:t xml:space="preserve"> both</w:t>
      </w:r>
      <w:r w:rsidR="00587AA3" w:rsidRPr="002A28E1">
        <w:t xml:space="preserve"> committee of estate and person</w:t>
      </w:r>
      <w:r w:rsidR="00D53F15" w:rsidRPr="002A28E1">
        <w:t>.</w:t>
      </w:r>
      <w:bookmarkStart w:id="95" w:name="_Ref15306702"/>
      <w:r w:rsidR="00697249" w:rsidRPr="002A28E1">
        <w:rPr>
          <w:rStyle w:val="FootnoteReference"/>
        </w:rPr>
        <w:footnoteReference w:id="821"/>
      </w:r>
      <w:bookmarkEnd w:id="95"/>
      <w:r w:rsidR="006B0918" w:rsidRPr="002A28E1">
        <w:t xml:space="preserve"> </w:t>
      </w:r>
      <w:r w:rsidR="00F01FA0" w:rsidRPr="002A28E1">
        <w:t>A</w:t>
      </w:r>
      <w:r w:rsidR="00376595" w:rsidRPr="002A28E1">
        <w:t>fter</w:t>
      </w:r>
      <w:r w:rsidR="00F01FA0" w:rsidRPr="002A28E1">
        <w:t xml:space="preserve"> weigh</w:t>
      </w:r>
      <w:r w:rsidR="00376595" w:rsidRPr="002A28E1">
        <w:t>ing medical</w:t>
      </w:r>
      <w:r w:rsidR="00F01FA0" w:rsidRPr="002A28E1">
        <w:t xml:space="preserve"> evidence</w:t>
      </w:r>
      <w:r w:rsidR="00CA2500" w:rsidRPr="002A28E1">
        <w:t xml:space="preserve"> </w:t>
      </w:r>
      <w:r w:rsidR="00F01FA0" w:rsidRPr="002A28E1">
        <w:t xml:space="preserve">pertaining to the </w:t>
      </w:r>
      <w:r w:rsidR="00F01FA0" w:rsidRPr="00660AE8">
        <w:t>person’s capability of handling their finances and/or their person</w:t>
      </w:r>
      <w:r w:rsidR="00376595" w:rsidRPr="00660AE8">
        <w:t>,</w:t>
      </w:r>
      <w:r w:rsidR="00946E51" w:rsidRPr="00660AE8">
        <w:t xml:space="preserve"> </w:t>
      </w:r>
      <w:r w:rsidR="00376595" w:rsidRPr="00660AE8">
        <w:t>t</w:t>
      </w:r>
      <w:r w:rsidR="00946E51" w:rsidRPr="00660AE8">
        <w:t>he judge may then make a declaration that the person is incapable of managing their finances and/or their person</w:t>
      </w:r>
      <w:proofErr w:type="gramStart"/>
      <w:r w:rsidR="00A969BC" w:rsidRPr="00660AE8">
        <w:t>,</w:t>
      </w:r>
      <w:proofErr w:type="gramEnd"/>
      <w:r w:rsidR="00A969BC" w:rsidRPr="00660AE8">
        <w:rPr>
          <w:rStyle w:val="FootnoteReference"/>
        </w:rPr>
        <w:footnoteReference w:id="822"/>
      </w:r>
      <w:r w:rsidR="00376595" w:rsidRPr="00660AE8">
        <w:rPr>
          <w:rStyle w:val="FootnoteReference"/>
        </w:rPr>
        <w:t xml:space="preserve"> </w:t>
      </w:r>
      <w:r w:rsidR="00057EF6" w:rsidRPr="00660AE8">
        <w:t xml:space="preserve">and then proceed to appoint </w:t>
      </w:r>
      <w:r w:rsidR="00215E2D" w:rsidRPr="00660AE8">
        <w:t xml:space="preserve">a </w:t>
      </w:r>
      <w:r w:rsidR="00A678C3" w:rsidRPr="00660AE8">
        <w:t>person as committee.</w:t>
      </w:r>
      <w:r w:rsidR="00A678C3" w:rsidRPr="00660AE8">
        <w:rPr>
          <w:rStyle w:val="FootnoteReference"/>
        </w:rPr>
        <w:footnoteReference w:id="823"/>
      </w:r>
      <w:r w:rsidR="00F01FA0" w:rsidRPr="00660AE8">
        <w:t xml:space="preserve"> </w:t>
      </w:r>
      <w:r w:rsidR="00C81E5C" w:rsidRPr="00660AE8">
        <w:t>The committee is to act in the best interests of the affected person and their family.</w:t>
      </w:r>
      <w:r w:rsidR="00C81E5C" w:rsidRPr="00660AE8">
        <w:rPr>
          <w:rStyle w:val="FootnoteReference"/>
        </w:rPr>
        <w:footnoteReference w:id="824"/>
      </w:r>
      <w:r w:rsidR="00F01FA0" w:rsidRPr="00660AE8">
        <w:t xml:space="preserve"> </w:t>
      </w:r>
      <w:r w:rsidR="0041446F" w:rsidRPr="00660AE8">
        <w:t xml:space="preserve">Another BC </w:t>
      </w:r>
      <w:r w:rsidR="00FC7A62" w:rsidRPr="00660AE8">
        <w:t>law</w:t>
      </w:r>
      <w:r w:rsidR="006B0918" w:rsidRPr="00660AE8">
        <w:t>, the Adult Guardianship Act</w:t>
      </w:r>
      <w:r w:rsidR="005D6D97" w:rsidRPr="00660AE8">
        <w:t>,</w:t>
      </w:r>
      <w:r w:rsidR="006B0918" w:rsidRPr="00660AE8">
        <w:t xml:space="preserve"> allows the Public Guardian and Trustee (a government official) to </w:t>
      </w:r>
      <w:proofErr w:type="gramStart"/>
      <w:r w:rsidR="006B0918" w:rsidRPr="00660AE8">
        <w:t>be appointed</w:t>
      </w:r>
      <w:proofErr w:type="gramEnd"/>
      <w:r w:rsidR="006B0918" w:rsidRPr="00660AE8">
        <w:t xml:space="preserve"> as a person’s statutory property guardian.</w:t>
      </w:r>
      <w:bookmarkStart w:id="96" w:name="_Ref15306643"/>
      <w:r w:rsidR="006460CF" w:rsidRPr="00660AE8">
        <w:rPr>
          <w:rStyle w:val="FootnoteReference"/>
        </w:rPr>
        <w:footnoteReference w:id="825"/>
      </w:r>
      <w:bookmarkEnd w:id="96"/>
      <w:r w:rsidR="00395971" w:rsidRPr="00660AE8">
        <w:t xml:space="preserve"> </w:t>
      </w:r>
      <w:r w:rsidR="006B0918" w:rsidRPr="00660AE8">
        <w:t xml:space="preserve"> In this case, the Public Guardian and Trustee assumes responsibility for a person’s financial and legal affairs through a bureaucratic procedure </w:t>
      </w:r>
      <w:r w:rsidR="00723867" w:rsidRPr="00660AE8">
        <w:t xml:space="preserve">that takes place </w:t>
      </w:r>
      <w:r w:rsidR="006B0918" w:rsidRPr="00660AE8">
        <w:t>outside of the courts.</w:t>
      </w:r>
      <w:r w:rsidR="009D0258" w:rsidRPr="00660AE8">
        <w:rPr>
          <w:rStyle w:val="FootnoteReference"/>
        </w:rPr>
        <w:footnoteReference w:id="826"/>
      </w:r>
      <w:r w:rsidR="006B0918" w:rsidRPr="00660AE8">
        <w:t xml:space="preserve"> This process necessitates a Certificate of Incapability signed by an authorized health care provider.</w:t>
      </w:r>
      <w:r w:rsidR="009D0258" w:rsidRPr="00660AE8">
        <w:rPr>
          <w:rStyle w:val="FootnoteReference"/>
        </w:rPr>
        <w:footnoteReference w:id="827"/>
      </w:r>
      <w:r w:rsidR="006B0918" w:rsidRPr="00660AE8">
        <w:t xml:space="preserve"> </w:t>
      </w:r>
      <w:r w:rsidR="009B604B" w:rsidRPr="00660AE8">
        <w:t>As with committees, statutory guardians have a duty to act in the best interest of the person concerned and their family.</w:t>
      </w:r>
      <w:r w:rsidR="009B604B" w:rsidRPr="00660AE8">
        <w:rPr>
          <w:rStyle w:val="FootnoteReference"/>
        </w:rPr>
        <w:footnoteReference w:id="828"/>
      </w:r>
      <w:r w:rsidR="009B604B" w:rsidRPr="00660AE8">
        <w:t xml:space="preserve"> </w:t>
      </w:r>
      <w:r w:rsidR="006B0918" w:rsidRPr="00660AE8">
        <w:t xml:space="preserve">With both adult guardianship and </w:t>
      </w:r>
      <w:proofErr w:type="spellStart"/>
      <w:r w:rsidR="006B0918" w:rsidRPr="00660AE8">
        <w:t>committeeship</w:t>
      </w:r>
      <w:proofErr w:type="spellEnd"/>
      <w:r w:rsidR="006B0918" w:rsidRPr="00660AE8">
        <w:t>, the affected person</w:t>
      </w:r>
      <w:r w:rsidR="00A6725A" w:rsidRPr="00660AE8">
        <w:t xml:space="preserve"> loses their decision-making rights</w:t>
      </w:r>
      <w:r w:rsidR="00917485" w:rsidRPr="00660AE8">
        <w:t>,</w:t>
      </w:r>
      <w:r w:rsidR="006A66FC" w:rsidRPr="00660AE8">
        <w:t xml:space="preserve"> and </w:t>
      </w:r>
      <w:r w:rsidR="003524DF" w:rsidRPr="00660AE8">
        <w:t xml:space="preserve">the person will probably remain under this arrangement for the entirety of their lives, as these measures are complicated to </w:t>
      </w:r>
      <w:r w:rsidR="00554D46" w:rsidRPr="00660AE8">
        <w:t>rescind</w:t>
      </w:r>
      <w:r w:rsidR="00CC3DAB" w:rsidRPr="00660AE8">
        <w:t>.</w:t>
      </w:r>
      <w:r w:rsidR="00704D9D" w:rsidRPr="00660AE8">
        <w:rPr>
          <w:rStyle w:val="FootnoteReference"/>
        </w:rPr>
        <w:footnoteReference w:id="829"/>
      </w:r>
      <w:r w:rsidR="006B0918" w:rsidRPr="002A28E1">
        <w:t xml:space="preserve">  </w:t>
      </w:r>
      <w:r w:rsidR="00CE0131">
        <w:t>BC’s legislation</w:t>
      </w:r>
      <w:r w:rsidR="00556FD0">
        <w:t xml:space="preserve"> on adult guardianship and </w:t>
      </w:r>
      <w:proofErr w:type="spellStart"/>
      <w:r w:rsidR="00556FD0">
        <w:t>committeeship</w:t>
      </w:r>
      <w:proofErr w:type="spellEnd"/>
      <w:r w:rsidR="00CE0131">
        <w:t xml:space="preserve"> thus problematically allows for restrictions of legal capacity </w:t>
      </w:r>
      <w:proofErr w:type="gramStart"/>
      <w:r w:rsidR="00CE0131">
        <w:t>on the basis of</w:t>
      </w:r>
      <w:proofErr w:type="gramEnd"/>
      <w:r w:rsidR="00CE0131">
        <w:t xml:space="preserve"> mental capacity</w:t>
      </w:r>
      <w:r w:rsidR="00556FD0">
        <w:t>, as well as substitute decision-making in the person’s “best interests”</w:t>
      </w:r>
      <w:r w:rsidR="00CE0131">
        <w:t>.</w:t>
      </w:r>
    </w:p>
    <w:p w14:paraId="29306571" w14:textId="1841C157" w:rsidR="00376D59" w:rsidRPr="002A28E1" w:rsidRDefault="00376D59" w:rsidP="00376D59"/>
    <w:p w14:paraId="2DA2E878" w14:textId="33CB99E3" w:rsidR="00E67B68" w:rsidRPr="002A28E1" w:rsidRDefault="00E67B68" w:rsidP="00376D59">
      <w:r w:rsidRPr="002A28E1">
        <w:t xml:space="preserve">Finally, it </w:t>
      </w:r>
      <w:r w:rsidR="009059AE" w:rsidRPr="002A28E1">
        <w:t>may</w:t>
      </w:r>
      <w:r w:rsidRPr="002A28E1">
        <w:t xml:space="preserve"> also</w:t>
      </w:r>
      <w:r w:rsidR="009059AE" w:rsidRPr="002A28E1">
        <w:t xml:space="preserve"> be</w:t>
      </w:r>
      <w:r w:rsidRPr="002A28E1">
        <w:t xml:space="preserve"> pertinent to note that</w:t>
      </w:r>
      <w:r w:rsidR="001942C3">
        <w:t xml:space="preserve"> other</w:t>
      </w:r>
      <w:r w:rsidR="00EA74B7" w:rsidRPr="002A28E1">
        <w:t xml:space="preserve"> </w:t>
      </w:r>
      <w:r w:rsidR="006464EA" w:rsidRPr="002A28E1">
        <w:t>BC law</w:t>
      </w:r>
      <w:r w:rsidR="001942C3">
        <w:t>s</w:t>
      </w:r>
      <w:r w:rsidR="006464EA" w:rsidRPr="002A28E1">
        <w:t xml:space="preserve"> allow for </w:t>
      </w:r>
      <w:r w:rsidR="00C429D7" w:rsidRPr="002A28E1">
        <w:t xml:space="preserve">enduring powers of attorney </w:t>
      </w:r>
      <w:r w:rsidR="003C20D9" w:rsidRPr="002A28E1">
        <w:t>covering</w:t>
      </w:r>
      <w:r w:rsidR="00C429D7" w:rsidRPr="002A28E1">
        <w:t xml:space="preserve"> financial and legal matters </w:t>
      </w:r>
      <w:r w:rsidR="00191043" w:rsidRPr="002A28E1">
        <w:t>as well as advance directives for health care</w:t>
      </w:r>
      <w:r w:rsidR="003A132E" w:rsidRPr="002A28E1">
        <w:t xml:space="preserve"> matters.</w:t>
      </w:r>
      <w:r w:rsidR="005C4223" w:rsidRPr="002A28E1">
        <w:t xml:space="preserve"> </w:t>
      </w:r>
      <w:r w:rsidR="00EA2118" w:rsidRPr="002A28E1">
        <w:t xml:space="preserve">It is of interest to assess whether these measures </w:t>
      </w:r>
      <w:proofErr w:type="gramStart"/>
      <w:r w:rsidR="00EA2118" w:rsidRPr="002A28E1">
        <w:t>could be construed</w:t>
      </w:r>
      <w:proofErr w:type="gramEnd"/>
      <w:r w:rsidR="00EA2118" w:rsidRPr="002A28E1">
        <w:t xml:space="preserve"> as supported decision-making withi</w:t>
      </w:r>
      <w:r w:rsidR="009D02DF" w:rsidRPr="002A28E1">
        <w:t>n</w:t>
      </w:r>
      <w:r w:rsidR="00EA2118" w:rsidRPr="002A28E1">
        <w:t xml:space="preserve"> </w:t>
      </w:r>
      <w:r w:rsidR="009D02DF" w:rsidRPr="002A28E1">
        <w:t>t</w:t>
      </w:r>
      <w:r w:rsidR="00EA2118" w:rsidRPr="002A28E1">
        <w:t xml:space="preserve">he meaning of Article 12. </w:t>
      </w:r>
      <w:r w:rsidR="005C4223" w:rsidRPr="002A28E1">
        <w:t xml:space="preserve">In order to enter into an enduring power of attorney, an individual must be capable of “understanding the nature and consequences of the proposed </w:t>
      </w:r>
      <w:r w:rsidR="009B790B" w:rsidRPr="002A28E1">
        <w:t>enduring power of attorney</w:t>
      </w:r>
      <w:r w:rsidR="009260C5" w:rsidRPr="002A28E1">
        <w:t>.”</w:t>
      </w:r>
      <w:r w:rsidR="009260C5" w:rsidRPr="002A28E1">
        <w:rPr>
          <w:rStyle w:val="FootnoteReference"/>
        </w:rPr>
        <w:footnoteReference w:id="830"/>
      </w:r>
      <w:r w:rsidR="000C2C60" w:rsidRPr="002A28E1">
        <w:t xml:space="preserve"> </w:t>
      </w:r>
      <w:r w:rsidR="009C6279" w:rsidRPr="002A28E1">
        <w:t xml:space="preserve">Thus, the provision of these arrangements hinge on an assessment of </w:t>
      </w:r>
      <w:r w:rsidR="00522317" w:rsidRPr="002A28E1">
        <w:t xml:space="preserve">mental capacity, which </w:t>
      </w:r>
      <w:r w:rsidR="00A65553" w:rsidRPr="002A28E1">
        <w:t>goes against</w:t>
      </w:r>
      <w:r w:rsidR="00522317" w:rsidRPr="002A28E1">
        <w:t xml:space="preserve"> Article 12. </w:t>
      </w:r>
      <w:r w:rsidR="000C2C60" w:rsidRPr="002A28E1">
        <w:t>An attorney is required to “act in the adult’s best interests,”</w:t>
      </w:r>
      <w:r w:rsidR="000C2C60" w:rsidRPr="002A28E1">
        <w:rPr>
          <w:rStyle w:val="FootnoteReference"/>
        </w:rPr>
        <w:footnoteReference w:id="831"/>
      </w:r>
      <w:r w:rsidR="000C2C60" w:rsidRPr="002A28E1">
        <w:t xml:space="preserve"> which is</w:t>
      </w:r>
      <w:r w:rsidR="00727CB5" w:rsidRPr="002A28E1">
        <w:t xml:space="preserve"> also</w:t>
      </w:r>
      <w:r w:rsidR="000C2C60" w:rsidRPr="002A28E1">
        <w:t xml:space="preserve"> potentially problematic from the perspective of Article 12, but the Power of Attorney Act does also stipulate that the attorney must “</w:t>
      </w:r>
      <w:proofErr w:type="spellStart"/>
      <w:r w:rsidR="000C2C60" w:rsidRPr="002A28E1">
        <w:t>tak</w:t>
      </w:r>
      <w:proofErr w:type="spellEnd"/>
      <w:r w:rsidR="000C2C60" w:rsidRPr="002A28E1">
        <w:t>[e] into account the adult’s current wishes, known beliefs and values, and any directions to the attorney.”</w:t>
      </w:r>
      <w:r w:rsidR="007207CC" w:rsidRPr="002A28E1">
        <w:rPr>
          <w:rStyle w:val="FootnoteReference"/>
        </w:rPr>
        <w:footnoteReference w:id="832"/>
      </w:r>
      <w:r w:rsidR="00B52060" w:rsidRPr="002A28E1">
        <w:t xml:space="preserve"> Another notable feature of BC’s enduring powers of </w:t>
      </w:r>
      <w:proofErr w:type="gramStart"/>
      <w:r w:rsidR="00137D1F" w:rsidRPr="002A28E1">
        <w:t>attorney which</w:t>
      </w:r>
      <w:proofErr w:type="gramEnd"/>
      <w:r w:rsidR="00137D1F" w:rsidRPr="002A28E1">
        <w:t xml:space="preserve"> would seem to line up with Article 12</w:t>
      </w:r>
      <w:r w:rsidR="00B52060" w:rsidRPr="002A28E1">
        <w:t xml:space="preserve"> is that </w:t>
      </w:r>
      <w:r w:rsidR="00C51CD1" w:rsidRPr="002A28E1">
        <w:t>these arrangements</w:t>
      </w:r>
      <w:r w:rsidR="00B52060" w:rsidRPr="002A28E1">
        <w:t xml:space="preserve"> may enter into force</w:t>
      </w:r>
      <w:r w:rsidR="00772E69" w:rsidRPr="002A28E1">
        <w:t xml:space="preserve"> at a date or moment stipulated by the affected person</w:t>
      </w:r>
      <w:r w:rsidR="00137D1F" w:rsidRPr="002A28E1">
        <w:t>.</w:t>
      </w:r>
      <w:r w:rsidR="00137D1F" w:rsidRPr="002A28E1">
        <w:rPr>
          <w:rStyle w:val="FootnoteReference"/>
        </w:rPr>
        <w:footnoteReference w:id="833"/>
      </w:r>
      <w:r w:rsidR="00137D1F" w:rsidRPr="002A28E1">
        <w:t xml:space="preserve"> </w:t>
      </w:r>
      <w:r w:rsidR="005C0632" w:rsidRPr="002A28E1">
        <w:t>In order to make an a</w:t>
      </w:r>
      <w:r w:rsidR="003F75F2" w:rsidRPr="002A28E1">
        <w:t>dvance directive under BC law</w:t>
      </w:r>
      <w:r w:rsidR="005C0632" w:rsidRPr="002A28E1">
        <w:t>,</w:t>
      </w:r>
      <w:r w:rsidR="003F75F2" w:rsidRPr="002A28E1">
        <w:t xml:space="preserve"> </w:t>
      </w:r>
      <w:r w:rsidR="001C0CC4" w:rsidRPr="002A28E1">
        <w:t xml:space="preserve">a similar threshold level </w:t>
      </w:r>
      <w:r w:rsidR="001C0CC4" w:rsidRPr="002A28E1">
        <w:lastRenderedPageBreak/>
        <w:t>of mental capacity</w:t>
      </w:r>
      <w:r w:rsidR="005C0632" w:rsidRPr="002A28E1">
        <w:t xml:space="preserve"> is required</w:t>
      </w:r>
      <w:r w:rsidR="007D0E2D" w:rsidRPr="002A28E1">
        <w:t>.</w:t>
      </w:r>
      <w:r w:rsidR="001C0CC4" w:rsidRPr="002A28E1">
        <w:rPr>
          <w:rStyle w:val="FootnoteReference"/>
        </w:rPr>
        <w:footnoteReference w:id="834"/>
      </w:r>
      <w:r w:rsidR="00E841BB" w:rsidRPr="002A28E1">
        <w:t xml:space="preserve"> The </w:t>
      </w:r>
      <w:r w:rsidR="00EB5B77" w:rsidRPr="002A28E1">
        <w:t>a</w:t>
      </w:r>
      <w:r w:rsidR="00E841BB" w:rsidRPr="002A28E1">
        <w:t xml:space="preserve">dvance </w:t>
      </w:r>
      <w:r w:rsidR="00EB5B77" w:rsidRPr="002A28E1">
        <w:t>d</w:t>
      </w:r>
      <w:r w:rsidR="00E841BB" w:rsidRPr="002A28E1">
        <w:t>irective constitutes written instructions about</w:t>
      </w:r>
      <w:r w:rsidR="00636F1A" w:rsidRPr="002A28E1">
        <w:t xml:space="preserve"> </w:t>
      </w:r>
      <w:r w:rsidR="00930BD8" w:rsidRPr="002A28E1">
        <w:t>health care</w:t>
      </w:r>
      <w:r w:rsidR="00AE7374" w:rsidRPr="002A28E1">
        <w:t xml:space="preserve"> that a person consents to or refuses</w:t>
      </w:r>
      <w:r w:rsidR="00B44D38" w:rsidRPr="002A28E1">
        <w:t>.</w:t>
      </w:r>
      <w:r w:rsidR="00B44D38" w:rsidRPr="002A28E1">
        <w:rPr>
          <w:rStyle w:val="FootnoteReference"/>
        </w:rPr>
        <w:footnoteReference w:id="835"/>
      </w:r>
      <w:r w:rsidR="00C054F6" w:rsidRPr="002A28E1">
        <w:t xml:space="preserve"> The Act stipulates that health care providers “may provide health care to an adult if the adult has given consent to that health care in the adult’s advanced directive” and that they “must not provide health care to an adult if the adult has refused consent to that </w:t>
      </w:r>
      <w:r w:rsidR="00C054F6" w:rsidRPr="00CE0131">
        <w:t>health care in the adult’s advance directive.”</w:t>
      </w:r>
      <w:r w:rsidR="00C054F6" w:rsidRPr="00CE0131">
        <w:rPr>
          <w:rStyle w:val="FootnoteReference"/>
        </w:rPr>
        <w:footnoteReference w:id="836"/>
      </w:r>
      <w:r w:rsidR="008107AE" w:rsidRPr="00CE0131">
        <w:t xml:space="preserve"> Thus, seemingly, health care providers must follow the will and preferences of the person who has made the directive, in keeping with Article 12.</w:t>
      </w:r>
      <w:r w:rsidR="0039074C" w:rsidRPr="00CE0131">
        <w:t xml:space="preserve"> Advance health care directives are applicable when the person is “incapable of giving or refusing consent to the health care</w:t>
      </w:r>
      <w:r w:rsidR="0032328D" w:rsidRPr="00CE0131">
        <w:t>,</w:t>
      </w:r>
      <w:r w:rsidR="0039074C" w:rsidRPr="00CE0131">
        <w:t>”</w:t>
      </w:r>
      <w:r w:rsidR="0032328D" w:rsidRPr="00CE0131">
        <w:t xml:space="preserve"> </w:t>
      </w:r>
      <w:r w:rsidR="000C5D13" w:rsidRPr="00CE0131">
        <w:t>so</w:t>
      </w:r>
      <w:r w:rsidR="0032328D" w:rsidRPr="00CE0131">
        <w:t xml:space="preserve"> the entry into force of these directives</w:t>
      </w:r>
      <w:r w:rsidR="00FD33DD" w:rsidRPr="00CE0131">
        <w:t xml:space="preserve"> problematically hinges on an assessment of mental capacity in decision-making.</w:t>
      </w:r>
      <w:r w:rsidR="00AD1D1D" w:rsidRPr="00CE0131">
        <w:rPr>
          <w:rStyle w:val="FootnoteReference"/>
        </w:rPr>
        <w:footnoteReference w:id="837"/>
      </w:r>
    </w:p>
    <w:p w14:paraId="5A895F4B" w14:textId="77777777" w:rsidR="003A132E" w:rsidRPr="002A28E1" w:rsidRDefault="003A132E" w:rsidP="00376D59"/>
    <w:p w14:paraId="4F78B328" w14:textId="5A57E447" w:rsidR="009914DC" w:rsidRPr="002A28E1" w:rsidRDefault="00CA21E5" w:rsidP="00376D59">
      <w:pPr>
        <w:pStyle w:val="NormalWeb"/>
        <w:shd w:val="clear" w:color="auto" w:fill="FFFFFF"/>
        <w:spacing w:before="0" w:beforeAutospacing="0" w:after="0" w:afterAutospacing="0"/>
        <w:jc w:val="both"/>
      </w:pPr>
      <w:r w:rsidRPr="00033B2F">
        <w:t>Alongside</w:t>
      </w:r>
      <w:r w:rsidR="00151DAF" w:rsidRPr="00033B2F">
        <w:t xml:space="preserve"> British Columbia, </w:t>
      </w:r>
      <w:r w:rsidR="004F64A7" w:rsidRPr="00033B2F">
        <w:t>other provinces and territories</w:t>
      </w:r>
      <w:r w:rsidR="000F5730" w:rsidRPr="00033B2F">
        <w:t xml:space="preserve"> in Canada</w:t>
      </w:r>
      <w:r w:rsidR="00EE5331" w:rsidRPr="00033B2F">
        <w:t xml:space="preserve"> have </w:t>
      </w:r>
      <w:r w:rsidR="00074CF0" w:rsidRPr="00033B2F">
        <w:t>also</w:t>
      </w:r>
      <w:r w:rsidR="00EE5331" w:rsidRPr="00033B2F">
        <w:t xml:space="preserve"> enacted legislation that encompasses supported decision-making</w:t>
      </w:r>
      <w:r w:rsidR="009914DC" w:rsidRPr="00033B2F">
        <w:t>.</w:t>
      </w:r>
      <w:r w:rsidR="00D92198" w:rsidRPr="00033B2F">
        <w:t xml:space="preserve"> Manitoba (1993),</w:t>
      </w:r>
      <w:r w:rsidR="00944260" w:rsidRPr="00033B2F">
        <w:t xml:space="preserve"> Saskatchewan (2001), </w:t>
      </w:r>
      <w:r w:rsidR="003D1CF9" w:rsidRPr="00033B2F">
        <w:t xml:space="preserve">the Yukon (2003), and </w:t>
      </w:r>
      <w:r w:rsidR="00682C93" w:rsidRPr="00033B2F">
        <w:t>Alberta (2008</w:t>
      </w:r>
      <w:r w:rsidR="00AC1B62" w:rsidRPr="00033B2F">
        <w:t xml:space="preserve">) </w:t>
      </w:r>
      <w:r w:rsidR="008F5CA6" w:rsidRPr="00033B2F">
        <w:t>have each implemented</w:t>
      </w:r>
      <w:r w:rsidR="00035308" w:rsidRPr="00033B2F">
        <w:t xml:space="preserve"> </w:t>
      </w:r>
      <w:r w:rsidR="00B21A52" w:rsidRPr="00033B2F">
        <w:t>supported decision-making legislation.</w:t>
      </w:r>
      <w:r w:rsidR="00491269" w:rsidRPr="00033B2F">
        <w:rPr>
          <w:rStyle w:val="FootnoteReference"/>
        </w:rPr>
        <w:footnoteReference w:id="838"/>
      </w:r>
    </w:p>
    <w:p w14:paraId="60A28374" w14:textId="77777777" w:rsidR="005215DA" w:rsidRPr="002A28E1" w:rsidRDefault="005215DA" w:rsidP="00376D59">
      <w:pPr>
        <w:pStyle w:val="NormalWeb"/>
        <w:shd w:val="clear" w:color="auto" w:fill="FFFFFF"/>
        <w:spacing w:before="0" w:beforeAutospacing="0" w:after="0" w:afterAutospacing="0"/>
        <w:jc w:val="both"/>
        <w:rPr>
          <w:rFonts w:asciiTheme="majorBidi" w:hAnsiTheme="majorBidi" w:cstheme="majorBidi"/>
          <w:color w:val="000000"/>
        </w:rPr>
      </w:pPr>
    </w:p>
    <w:p w14:paraId="032B05D4" w14:textId="172A216B" w:rsidR="00D64DC1" w:rsidRPr="002A28E1" w:rsidRDefault="00BD4E41" w:rsidP="00376D59">
      <w:r w:rsidRPr="002A28E1">
        <w:t xml:space="preserve">At the close of her recent visit to Canada, the UN Special Rapporteur for Persons with Disabilities urged Canada to withdraw its reservation with respect to Article 12 and to accelerate efforts to abolish substitute decision-making </w:t>
      </w:r>
      <w:r w:rsidR="00DD27A7" w:rsidRPr="002A28E1">
        <w:t>nationwide.</w:t>
      </w:r>
      <w:r w:rsidR="005F3F08" w:rsidRPr="002A28E1">
        <w:rPr>
          <w:rStyle w:val="FootnoteReference"/>
        </w:rPr>
        <w:footnoteReference w:id="839"/>
      </w:r>
      <w:r w:rsidR="00474F64" w:rsidRPr="002A28E1">
        <w:t xml:space="preserve"> </w:t>
      </w:r>
      <w:r w:rsidR="00701596" w:rsidRPr="002A28E1">
        <w:t xml:space="preserve">Other solutions to facilitate the implementation of Article 12 in Canada </w:t>
      </w:r>
      <w:proofErr w:type="gramStart"/>
      <w:r w:rsidR="00701596" w:rsidRPr="002A28E1">
        <w:t>have been put</w:t>
      </w:r>
      <w:proofErr w:type="gramEnd"/>
      <w:r w:rsidR="00701596" w:rsidRPr="002A28E1">
        <w:t xml:space="preserve"> forward, such as </w:t>
      </w:r>
      <w:r w:rsidR="002A79D8" w:rsidRPr="002A28E1">
        <w:t>the</w:t>
      </w:r>
      <w:r w:rsidR="001D7A47" w:rsidRPr="002A28E1">
        <w:t xml:space="preserve"> suggestion that</w:t>
      </w:r>
      <w:r w:rsidR="0016398B" w:rsidRPr="002A28E1">
        <w:t xml:space="preserve"> the </w:t>
      </w:r>
      <w:r w:rsidR="008C3D4D" w:rsidRPr="002A28E1">
        <w:t>federal and provincial/territorial governments collaborate to</w:t>
      </w:r>
      <w:r w:rsidR="002A79D8" w:rsidRPr="002A28E1">
        <w:t xml:space="preserve"> establis</w:t>
      </w:r>
      <w:r w:rsidR="0093428A" w:rsidRPr="002A28E1">
        <w:t>h</w:t>
      </w:r>
      <w:r w:rsidR="002A79D8" w:rsidRPr="002A28E1">
        <w:t xml:space="preserve"> an inter-provincial task force </w:t>
      </w:r>
      <w:r w:rsidR="00DE0021" w:rsidRPr="002A28E1">
        <w:t xml:space="preserve">to </w:t>
      </w:r>
      <w:r w:rsidR="00AB4ACF" w:rsidRPr="002A28E1">
        <w:t>coordinate</w:t>
      </w:r>
      <w:r w:rsidR="005F5C2D" w:rsidRPr="002A28E1">
        <w:t xml:space="preserve"> </w:t>
      </w:r>
      <w:r w:rsidR="00DE0021" w:rsidRPr="002A28E1">
        <w:t>polic</w:t>
      </w:r>
      <w:r w:rsidR="0058331F" w:rsidRPr="002A28E1">
        <w:t>y</w:t>
      </w:r>
      <w:r w:rsidR="005D21E6" w:rsidRPr="002A28E1">
        <w:t xml:space="preserve"> and legislation </w:t>
      </w:r>
      <w:r w:rsidR="00AB4ACF" w:rsidRPr="002A28E1">
        <w:t>in the area of legal capacity</w:t>
      </w:r>
      <w:r w:rsidR="0058331F" w:rsidRPr="002A28E1">
        <w:t>.</w:t>
      </w:r>
      <w:r w:rsidR="00485702">
        <w:rPr>
          <w:rStyle w:val="FootnoteReference"/>
        </w:rPr>
        <w:footnoteReference w:id="840"/>
      </w:r>
      <w:r w:rsidR="00701596" w:rsidRPr="002A28E1">
        <w:t xml:space="preserve"> </w:t>
      </w:r>
      <w:r w:rsidR="0058331F" w:rsidRPr="002A28E1">
        <w:t>The</w:t>
      </w:r>
      <w:r w:rsidR="00474F64" w:rsidRPr="002A28E1">
        <w:t xml:space="preserve"> McGill Centre for Human Rights and Legal Pluralism </w:t>
      </w:r>
      <w:r w:rsidR="003F65F0" w:rsidRPr="002A28E1">
        <w:t>has</w:t>
      </w:r>
      <w:r w:rsidR="005B6DFB" w:rsidRPr="002A28E1">
        <w:t xml:space="preserve"> </w:t>
      </w:r>
      <w:r w:rsidR="000C7557" w:rsidRPr="002A28E1">
        <w:t xml:space="preserve">proposed </w:t>
      </w:r>
      <w:r w:rsidR="00154BEC" w:rsidRPr="002A28E1">
        <w:t>that such a task force could</w:t>
      </w:r>
      <w:r w:rsidR="00740F83" w:rsidRPr="002A28E1">
        <w:t xml:space="preserve"> </w:t>
      </w:r>
      <w:r w:rsidR="00B44196" w:rsidRPr="002A28E1">
        <w:t xml:space="preserve">review </w:t>
      </w:r>
      <w:r w:rsidR="00604BB0" w:rsidRPr="002A28E1">
        <w:t xml:space="preserve">the various legal and policy </w:t>
      </w:r>
      <w:r w:rsidR="00B930D3" w:rsidRPr="002A28E1">
        <w:t xml:space="preserve">regimes across </w:t>
      </w:r>
      <w:r w:rsidR="009F7A49" w:rsidRPr="002A28E1">
        <w:t>Canada</w:t>
      </w:r>
      <w:r w:rsidR="00C62474" w:rsidRPr="002A28E1">
        <w:t xml:space="preserve"> and investigate </w:t>
      </w:r>
      <w:r w:rsidR="001D7A47" w:rsidRPr="002A28E1">
        <w:t xml:space="preserve">how they </w:t>
      </w:r>
      <w:proofErr w:type="gramStart"/>
      <w:r w:rsidR="001D7A47" w:rsidRPr="002A28E1">
        <w:t>could be made</w:t>
      </w:r>
      <w:proofErr w:type="gramEnd"/>
      <w:r w:rsidR="001D7A47" w:rsidRPr="002A28E1">
        <w:t xml:space="preserve"> compliant with Article 12.</w:t>
      </w:r>
      <w:r w:rsidR="00485702">
        <w:rPr>
          <w:rStyle w:val="FootnoteReference"/>
        </w:rPr>
        <w:footnoteReference w:id="841"/>
      </w:r>
      <w:r w:rsidR="00E31815" w:rsidRPr="002A28E1">
        <w:t xml:space="preserve"> This organization has suggested that particular goals could be set for each province and territory and that a </w:t>
      </w:r>
      <w:r w:rsidR="00F80B2F">
        <w:t xml:space="preserve">national </w:t>
      </w:r>
      <w:r w:rsidR="00E31815" w:rsidRPr="002A28E1">
        <w:t>monitoring system</w:t>
      </w:r>
      <w:r w:rsidR="00A22E62" w:rsidRPr="002A28E1">
        <w:t xml:space="preserve"> </w:t>
      </w:r>
      <w:proofErr w:type="gramStart"/>
      <w:r w:rsidR="00A22E62" w:rsidRPr="002A28E1">
        <w:t xml:space="preserve">could </w:t>
      </w:r>
      <w:r w:rsidR="00AD6F26" w:rsidRPr="002A28E1">
        <w:t xml:space="preserve">be </w:t>
      </w:r>
      <w:r w:rsidR="004F1B2E" w:rsidRPr="002A28E1">
        <w:t>created</w:t>
      </w:r>
      <w:proofErr w:type="gramEnd"/>
      <w:r w:rsidR="00AD6F26" w:rsidRPr="002A28E1">
        <w:t xml:space="preserve"> to ensure the timely fulfilment of these objectives.</w:t>
      </w:r>
      <w:r w:rsidR="004F1B2E" w:rsidRPr="002A28E1">
        <w:rPr>
          <w:rStyle w:val="FootnoteReference"/>
        </w:rPr>
        <w:t xml:space="preserve"> </w:t>
      </w:r>
      <w:r w:rsidR="004F1B2E" w:rsidRPr="002A28E1">
        <w:rPr>
          <w:rStyle w:val="FootnoteReference"/>
        </w:rPr>
        <w:footnoteReference w:id="842"/>
      </w:r>
      <w:r w:rsidR="00FB522D">
        <w:t xml:space="preserve"> Such provincial-federal cooperation coul</w:t>
      </w:r>
      <w:r w:rsidR="00D17E16">
        <w:t xml:space="preserve">d help Canada to </w:t>
      </w:r>
      <w:r w:rsidR="00B8684C">
        <w:t>establish</w:t>
      </w:r>
      <w:r w:rsidR="00D17E16">
        <w:t xml:space="preserve"> “a consistent framework for recognizing legal capacity and to enable access to the </w:t>
      </w:r>
      <w:r w:rsidR="00D17E16">
        <w:lastRenderedPageBreak/>
        <w:t>support needed to exercise legal capacity</w:t>
      </w:r>
      <w:r w:rsidR="00824966">
        <w:t>,</w:t>
      </w:r>
      <w:r w:rsidR="00D17E16">
        <w:t>”</w:t>
      </w:r>
      <w:r w:rsidR="00824966">
        <w:t xml:space="preserve"> as </w:t>
      </w:r>
      <w:r w:rsidR="003710ED">
        <w:t xml:space="preserve">was </w:t>
      </w:r>
      <w:r w:rsidR="00824966">
        <w:t>recommended by the Committee on the Rights of Persons with Disabilities</w:t>
      </w:r>
      <w:r w:rsidR="005260C1">
        <w:t xml:space="preserve"> in 2017.</w:t>
      </w:r>
      <w:r w:rsidR="00AD432B">
        <w:rPr>
          <w:rStyle w:val="FootnoteReference"/>
        </w:rPr>
        <w:footnoteReference w:id="843"/>
      </w:r>
    </w:p>
    <w:p w14:paraId="5D2D00D1" w14:textId="22854637" w:rsidR="000006B7" w:rsidRPr="002A28E1" w:rsidRDefault="000006B7" w:rsidP="00376D59"/>
    <w:p w14:paraId="6DE38238" w14:textId="4C07A12B" w:rsidR="000006B7" w:rsidRPr="002A28E1" w:rsidRDefault="000006B7" w:rsidP="00376D59"/>
    <w:p w14:paraId="5BBECE27" w14:textId="679F3BA3" w:rsidR="00261B31" w:rsidRPr="002A28E1" w:rsidRDefault="00261B31">
      <w:r w:rsidRPr="002A28E1">
        <w:br w:type="page"/>
      </w:r>
    </w:p>
    <w:p w14:paraId="554FB154" w14:textId="7EC8A5C3" w:rsidR="00077707" w:rsidRPr="002A28E1" w:rsidRDefault="008111BD" w:rsidP="00D93BFE">
      <w:pPr>
        <w:pStyle w:val="Heading1"/>
      </w:pPr>
      <w:bookmarkStart w:id="97" w:name="_Toc16081767"/>
      <w:r w:rsidRPr="002A28E1">
        <w:lastRenderedPageBreak/>
        <w:t>United States of America: Texas</w:t>
      </w:r>
      <w:bookmarkEnd w:id="97"/>
    </w:p>
    <w:p w14:paraId="3652AA8D" w14:textId="1B723C68" w:rsidR="00AA1F6C" w:rsidRPr="002A28E1" w:rsidRDefault="007D26C5" w:rsidP="00C843F4">
      <w:proofErr w:type="gramStart"/>
      <w:r w:rsidRPr="002A28E1">
        <w:t xml:space="preserve">The United States of America </w:t>
      </w:r>
      <w:r w:rsidR="0039490D" w:rsidRPr="002A28E1">
        <w:t xml:space="preserve">signed the </w:t>
      </w:r>
      <w:r w:rsidR="00664BBC" w:rsidRPr="002A28E1">
        <w:t>CRPD in 2009</w:t>
      </w:r>
      <w:r w:rsidR="0022269D" w:rsidRPr="002A28E1">
        <w:t>,</w:t>
      </w:r>
      <w:r w:rsidR="00664BBC" w:rsidRPr="002A28E1">
        <w:t xml:space="preserve"> </w:t>
      </w:r>
      <w:r w:rsidR="006A38F3" w:rsidRPr="002A28E1">
        <w:t xml:space="preserve">but </w:t>
      </w:r>
      <w:r w:rsidR="005A2831" w:rsidRPr="002A28E1">
        <w:t xml:space="preserve">has </w:t>
      </w:r>
      <w:r w:rsidR="00BC446B" w:rsidRPr="002A28E1">
        <w:t>never</w:t>
      </w:r>
      <w:r w:rsidR="00B304F4" w:rsidRPr="002A28E1">
        <w:t xml:space="preserve"> </w:t>
      </w:r>
      <w:r w:rsidR="00BC446B" w:rsidRPr="002A28E1">
        <w:t xml:space="preserve">ratified the </w:t>
      </w:r>
      <w:r w:rsidR="00BC446B" w:rsidRPr="00EC1DB3">
        <w:t>Convention.</w:t>
      </w:r>
      <w:proofErr w:type="gramEnd"/>
      <w:r w:rsidR="004920D1" w:rsidRPr="00EC1DB3">
        <w:rPr>
          <w:rStyle w:val="FootnoteReference"/>
        </w:rPr>
        <w:footnoteReference w:id="844"/>
      </w:r>
      <w:r w:rsidR="00BE60BE" w:rsidRPr="00EC1DB3">
        <w:t xml:space="preserve"> </w:t>
      </w:r>
      <w:r w:rsidR="00303CEB" w:rsidRPr="00EC1DB3">
        <w:t xml:space="preserve">Thus, Article 12 </w:t>
      </w:r>
      <w:r w:rsidR="004B10C4" w:rsidRPr="00EC1DB3">
        <w:t xml:space="preserve">does not have the force of law </w:t>
      </w:r>
      <w:r w:rsidR="00CC1F75" w:rsidRPr="00EC1DB3">
        <w:t>in the American context.</w:t>
      </w:r>
      <w:bookmarkStart w:id="98" w:name="_Ref15308444"/>
      <w:r w:rsidR="003D18DF" w:rsidRPr="00EC1DB3">
        <w:rPr>
          <w:rStyle w:val="FootnoteReference"/>
        </w:rPr>
        <w:footnoteReference w:id="845"/>
      </w:r>
      <w:bookmarkEnd w:id="98"/>
      <w:r w:rsidR="00023D7D" w:rsidRPr="00EC1DB3">
        <w:t xml:space="preserve"> </w:t>
      </w:r>
      <w:r w:rsidR="00240AF3" w:rsidRPr="00EC1DB3">
        <w:t>Never</w:t>
      </w:r>
      <w:r w:rsidR="002403D6" w:rsidRPr="00EC1DB3">
        <w:t xml:space="preserve">theless, </w:t>
      </w:r>
      <w:r w:rsidR="000A44D0" w:rsidRPr="00EC1DB3">
        <w:t>supported decision-making has</w:t>
      </w:r>
      <w:r w:rsidR="009A774E" w:rsidRPr="00EC1DB3">
        <w:t xml:space="preserve"> been the subject of</w:t>
      </w:r>
      <w:r w:rsidR="000A44D0" w:rsidRPr="00EC1DB3">
        <w:t xml:space="preserve"> increased attention </w:t>
      </w:r>
      <w:r w:rsidR="005C4236" w:rsidRPr="00EC1DB3">
        <w:t>by</w:t>
      </w:r>
      <w:r w:rsidR="00BA46E9" w:rsidRPr="00EC1DB3">
        <w:t xml:space="preserve"> US lawmakers </w:t>
      </w:r>
      <w:r w:rsidR="004169C8" w:rsidRPr="00EC1DB3">
        <w:t>of late.</w:t>
      </w:r>
      <w:r w:rsidR="008F667F" w:rsidRPr="00EC1DB3">
        <w:rPr>
          <w:rStyle w:val="FootnoteReference"/>
        </w:rPr>
        <w:footnoteReference w:id="846"/>
      </w:r>
      <w:r w:rsidR="007203BD" w:rsidRPr="00EC1DB3">
        <w:t xml:space="preserve"> </w:t>
      </w:r>
      <w:r w:rsidR="007710D2" w:rsidRPr="00EC1DB3">
        <w:t>L</w:t>
      </w:r>
      <w:r w:rsidR="00A624B1" w:rsidRPr="00EC1DB3">
        <w:t xml:space="preserve">egal capacity </w:t>
      </w:r>
      <w:r w:rsidR="007710D2" w:rsidRPr="00EC1DB3">
        <w:t xml:space="preserve">in the United States </w:t>
      </w:r>
      <w:r w:rsidR="00491BE5" w:rsidRPr="00EC1DB3">
        <w:t>falls under state and not federal jurisdiction.</w:t>
      </w:r>
      <w:r w:rsidR="002407BC" w:rsidRPr="00EC1DB3">
        <w:rPr>
          <w:rStyle w:val="FootnoteReference"/>
        </w:rPr>
        <w:footnoteReference w:id="847"/>
      </w:r>
      <w:r w:rsidR="002407BC" w:rsidRPr="00EC1DB3">
        <w:t xml:space="preserve"> </w:t>
      </w:r>
      <w:r w:rsidR="00241F29" w:rsidRPr="00EC1DB3">
        <w:t xml:space="preserve">Several states have recently enacted </w:t>
      </w:r>
      <w:r w:rsidR="00334021" w:rsidRPr="00EC1DB3">
        <w:t xml:space="preserve">legislation </w:t>
      </w:r>
      <w:r w:rsidR="007A699B" w:rsidRPr="00EC1DB3">
        <w:t>introducing supported</w:t>
      </w:r>
      <w:r w:rsidR="007A699B" w:rsidRPr="002A28E1">
        <w:t xml:space="preserve"> decision-making</w:t>
      </w:r>
      <w:r w:rsidR="00F1152F" w:rsidRPr="002A28E1">
        <w:t xml:space="preserve">, </w:t>
      </w:r>
      <w:r w:rsidR="008B6A6E" w:rsidRPr="002A28E1">
        <w:t xml:space="preserve">such as </w:t>
      </w:r>
      <w:r w:rsidR="00EE45DD" w:rsidRPr="002A28E1">
        <w:t xml:space="preserve">Texas, Delaware, Wisconsin, </w:t>
      </w:r>
      <w:r w:rsidR="00FC2055" w:rsidRPr="002A28E1">
        <w:t>and Washington, D.C.</w:t>
      </w:r>
      <w:r w:rsidR="00F80321" w:rsidRPr="002A28E1">
        <w:rPr>
          <w:rStyle w:val="FootnoteReference"/>
        </w:rPr>
        <w:footnoteReference w:id="848"/>
      </w:r>
      <w:r w:rsidR="009A2B70" w:rsidRPr="002A28E1">
        <w:t xml:space="preserve"> </w:t>
      </w:r>
      <w:r w:rsidR="002922B8" w:rsidRPr="002A28E1">
        <w:t xml:space="preserve">Eliana Theodorou </w:t>
      </w:r>
      <w:r w:rsidR="006C365B" w:rsidRPr="002A28E1">
        <w:t>argues that we must not “</w:t>
      </w:r>
      <w:proofErr w:type="spellStart"/>
      <w:r w:rsidR="006C365B" w:rsidRPr="002A28E1">
        <w:t>overstat</w:t>
      </w:r>
      <w:proofErr w:type="spellEnd"/>
      <w:r w:rsidR="006C365B" w:rsidRPr="002A28E1">
        <w:t xml:space="preserve">[e] the salience of international human </w:t>
      </w:r>
      <w:proofErr w:type="gramStart"/>
      <w:r w:rsidR="006C365B" w:rsidRPr="002A28E1">
        <w:t>rights  law</w:t>
      </w:r>
      <w:proofErr w:type="gramEnd"/>
      <w:r w:rsidR="006C365B" w:rsidRPr="002A28E1">
        <w:t xml:space="preserve"> in accounting for interest in supported decision-making in the United States.”</w:t>
      </w:r>
      <w:r w:rsidR="006C365B" w:rsidRPr="002A28E1">
        <w:rPr>
          <w:rStyle w:val="FootnoteReference"/>
        </w:rPr>
        <w:footnoteReference w:id="849"/>
      </w:r>
      <w:r w:rsidR="00B66902" w:rsidRPr="002A28E1">
        <w:t xml:space="preserve"> This author </w:t>
      </w:r>
      <w:r w:rsidR="00B94E9D" w:rsidRPr="002A28E1">
        <w:t>contends that</w:t>
      </w:r>
      <w:r w:rsidR="00A92F3D" w:rsidRPr="002A28E1">
        <w:t xml:space="preserve"> United States</w:t>
      </w:r>
      <w:r w:rsidR="00816696" w:rsidRPr="002A28E1">
        <w:t>’</w:t>
      </w:r>
      <w:r w:rsidR="003D786B" w:rsidRPr="002A28E1">
        <w:t xml:space="preserve"> </w:t>
      </w:r>
      <w:r w:rsidR="00E41207" w:rsidRPr="002A28E1">
        <w:t xml:space="preserve">relationship </w:t>
      </w:r>
      <w:r w:rsidR="004A2994" w:rsidRPr="002A28E1">
        <w:t>with</w:t>
      </w:r>
      <w:r w:rsidR="00E41207" w:rsidRPr="002A28E1">
        <w:t xml:space="preserve"> international human rights law</w:t>
      </w:r>
      <w:r w:rsidR="0063130C" w:rsidRPr="002A28E1">
        <w:t xml:space="preserve"> has</w:t>
      </w:r>
      <w:r w:rsidR="0039080E" w:rsidRPr="002A28E1">
        <w:t xml:space="preserve"> </w:t>
      </w:r>
      <w:r w:rsidR="00FD72C2" w:rsidRPr="002A28E1">
        <w:t>often</w:t>
      </w:r>
      <w:r w:rsidR="0039080E" w:rsidRPr="002A28E1">
        <w:t xml:space="preserve"> </w:t>
      </w:r>
      <w:r w:rsidR="00A51F87" w:rsidRPr="002A28E1">
        <w:t xml:space="preserve">been </w:t>
      </w:r>
      <w:r w:rsidR="0039080E" w:rsidRPr="002A28E1">
        <w:t>“fraught</w:t>
      </w:r>
      <w:r w:rsidR="00AD22F8" w:rsidRPr="002A28E1">
        <w:t>,</w:t>
      </w:r>
      <w:r w:rsidR="0039080E" w:rsidRPr="002A28E1">
        <w:t>”</w:t>
      </w:r>
      <w:r w:rsidR="002920D9" w:rsidRPr="002A28E1">
        <w:rPr>
          <w:rStyle w:val="FootnoteReference"/>
        </w:rPr>
        <w:footnoteReference w:id="850"/>
      </w:r>
      <w:r w:rsidR="00AD22F8" w:rsidRPr="002A28E1">
        <w:t xml:space="preserve"> and </w:t>
      </w:r>
      <w:proofErr w:type="gramStart"/>
      <w:r w:rsidR="00157423" w:rsidRPr="002A28E1">
        <w:t>suggest</w:t>
      </w:r>
      <w:r w:rsidR="006A05D5">
        <w:t>s</w:t>
      </w:r>
      <w:r w:rsidR="00157423" w:rsidRPr="002A28E1">
        <w:t xml:space="preserve"> that</w:t>
      </w:r>
      <w:proofErr w:type="gramEnd"/>
      <w:r w:rsidR="00157423" w:rsidRPr="002A28E1">
        <w:t xml:space="preserve"> “it is far from clear that invoking</w:t>
      </w:r>
      <w:r w:rsidR="00B270C0" w:rsidRPr="002A28E1">
        <w:t xml:space="preserve"> </w:t>
      </w:r>
      <w:r w:rsidR="00157423" w:rsidRPr="002A28E1">
        <w:t xml:space="preserve">international human rights </w:t>
      </w:r>
      <w:r w:rsidR="00C53E4C" w:rsidRPr="002A28E1">
        <w:t>norms is a persuasive tactic in many state legislatures.”</w:t>
      </w:r>
      <w:r w:rsidR="002920D9" w:rsidRPr="002A28E1">
        <w:rPr>
          <w:rStyle w:val="FootnoteReference"/>
        </w:rPr>
        <w:footnoteReference w:id="851"/>
      </w:r>
      <w:r w:rsidR="006F37B2" w:rsidRPr="002A28E1">
        <w:t xml:space="preserve"> Indeed, </w:t>
      </w:r>
      <w:r w:rsidR="00920108" w:rsidRPr="002A28E1">
        <w:t>Texas, the first state</w:t>
      </w:r>
      <w:r w:rsidR="00E66431" w:rsidRPr="002A28E1">
        <w:t xml:space="preserve"> in the US</w:t>
      </w:r>
      <w:r w:rsidR="00920108" w:rsidRPr="002A28E1">
        <w:t xml:space="preserve"> t</w:t>
      </w:r>
      <w:r w:rsidR="00DD2E15" w:rsidRPr="002A28E1">
        <w:t xml:space="preserve">o </w:t>
      </w:r>
      <w:r w:rsidR="00E66431" w:rsidRPr="002A28E1">
        <w:t>recognize supported</w:t>
      </w:r>
      <w:r w:rsidR="006932C3" w:rsidRPr="002A28E1">
        <w:t xml:space="preserve"> decision-making in law</w:t>
      </w:r>
      <w:r w:rsidR="0033053F" w:rsidRPr="002A28E1">
        <w:t>,</w:t>
      </w:r>
      <w:bookmarkStart w:id="99" w:name="_Ref15308503"/>
      <w:r w:rsidR="00F31FB9">
        <w:rPr>
          <w:rStyle w:val="FootnoteReference"/>
        </w:rPr>
        <w:footnoteReference w:id="852"/>
      </w:r>
      <w:bookmarkEnd w:id="99"/>
      <w:r w:rsidR="006932C3" w:rsidRPr="002A28E1">
        <w:t xml:space="preserve"> </w:t>
      </w:r>
      <w:r w:rsidR="00852002" w:rsidRPr="002A28E1">
        <w:t xml:space="preserve">also </w:t>
      </w:r>
      <w:r w:rsidR="00DD1DC6" w:rsidRPr="002A28E1">
        <w:t>passed an</w:t>
      </w:r>
      <w:r w:rsidR="00852002" w:rsidRPr="002A28E1">
        <w:t xml:space="preserve"> </w:t>
      </w:r>
      <w:r w:rsidR="002C6613" w:rsidRPr="002A28E1">
        <w:t>“</w:t>
      </w:r>
      <w:r w:rsidR="00852002" w:rsidRPr="002A28E1">
        <w:t>anti-international law</w:t>
      </w:r>
      <w:r w:rsidR="002C6613" w:rsidRPr="002A28E1">
        <w:t>”</w:t>
      </w:r>
      <w:r w:rsidR="0006769F" w:rsidRPr="002A28E1">
        <w:t xml:space="preserve"> in 2017.</w:t>
      </w:r>
      <w:bookmarkStart w:id="100" w:name="_Ref15308600"/>
      <w:r w:rsidR="00E4334A" w:rsidRPr="002A28E1">
        <w:rPr>
          <w:rStyle w:val="FootnoteReference"/>
        </w:rPr>
        <w:footnoteReference w:id="853"/>
      </w:r>
      <w:bookmarkEnd w:id="100"/>
      <w:r w:rsidR="00E4334A" w:rsidRPr="002A28E1">
        <w:t xml:space="preserve"> </w:t>
      </w:r>
      <w:r w:rsidR="0017405B" w:rsidRPr="002A28E1">
        <w:t>Moreover</w:t>
      </w:r>
      <w:r w:rsidR="00E4334A" w:rsidRPr="002A28E1">
        <w:t xml:space="preserve">, </w:t>
      </w:r>
      <w:r w:rsidR="00B84184" w:rsidRPr="002A28E1">
        <w:t xml:space="preserve">many consider that the US Senate’s </w:t>
      </w:r>
      <w:r w:rsidR="00E04E12" w:rsidRPr="002A28E1">
        <w:t>rejection of</w:t>
      </w:r>
      <w:r w:rsidR="00B84184" w:rsidRPr="002A28E1">
        <w:t xml:space="preserve"> the CRPD </w:t>
      </w:r>
      <w:r w:rsidR="00C93D0E" w:rsidRPr="00C513B7">
        <w:t>was</w:t>
      </w:r>
      <w:r w:rsidR="00B84184" w:rsidRPr="00C513B7">
        <w:t xml:space="preserve"> partly due to </w:t>
      </w:r>
      <w:r w:rsidR="00DA713C" w:rsidRPr="00C513B7">
        <w:t>conservative misgivings about</w:t>
      </w:r>
      <w:r w:rsidR="006B03C7" w:rsidRPr="00C513B7">
        <w:t xml:space="preserve"> the United Nations and </w:t>
      </w:r>
      <w:r w:rsidR="001B78E5" w:rsidRPr="00C513B7">
        <w:t xml:space="preserve">the international human rights </w:t>
      </w:r>
      <w:r w:rsidR="008512AB" w:rsidRPr="00C513B7">
        <w:t>regime.</w:t>
      </w:r>
      <w:r w:rsidR="00D43AD1" w:rsidRPr="00C513B7">
        <w:rPr>
          <w:rStyle w:val="FootnoteReference"/>
        </w:rPr>
        <w:footnoteReference w:id="854"/>
      </w:r>
      <w:r w:rsidR="00067F56" w:rsidRPr="00C513B7">
        <w:t xml:space="preserve">  Therefore, in </w:t>
      </w:r>
      <w:proofErr w:type="spellStart"/>
      <w:r w:rsidR="00067F56" w:rsidRPr="00C513B7">
        <w:t>Theodorou’s</w:t>
      </w:r>
      <w:proofErr w:type="spellEnd"/>
      <w:r w:rsidR="00067F56" w:rsidRPr="00C513B7">
        <w:t xml:space="preserve"> opinion,</w:t>
      </w:r>
      <w:r w:rsidR="00CA59EB" w:rsidRPr="00C513B7">
        <w:t xml:space="preserve"> </w:t>
      </w:r>
      <w:r w:rsidR="004B1C0A" w:rsidRPr="00C513B7">
        <w:t>impetuses</w:t>
      </w:r>
      <w:r w:rsidR="004E5C12" w:rsidRPr="00C513B7">
        <w:t xml:space="preserve"> </w:t>
      </w:r>
      <w:r w:rsidR="00296A5D" w:rsidRPr="00C513B7">
        <w:t>apart from</w:t>
      </w:r>
      <w:r w:rsidR="00836425" w:rsidRPr="00C513B7">
        <w:t xml:space="preserve"> </w:t>
      </w:r>
      <w:r w:rsidR="0055394D" w:rsidRPr="00C513B7">
        <w:t>the CRPD</w:t>
      </w:r>
      <w:r w:rsidR="008F33CD" w:rsidRPr="00C513B7">
        <w:t xml:space="preserve"> may well explain </w:t>
      </w:r>
      <w:r w:rsidR="00F30ACD" w:rsidRPr="00C513B7">
        <w:t>recent legislative action on supported decision-making in the United States.</w:t>
      </w:r>
      <w:r w:rsidR="00E579AB" w:rsidRPr="00C513B7">
        <w:rPr>
          <w:rStyle w:val="FootnoteReference"/>
        </w:rPr>
        <w:footnoteReference w:id="855"/>
      </w:r>
    </w:p>
    <w:p w14:paraId="31675CBF" w14:textId="69E6F654" w:rsidR="003669AD" w:rsidRPr="002A28E1" w:rsidRDefault="003669AD" w:rsidP="00C843F4"/>
    <w:p w14:paraId="5C84DE04" w14:textId="0A7A7049" w:rsidR="0033053F" w:rsidRPr="002A28E1" w:rsidRDefault="006D19A3" w:rsidP="00C843F4">
      <w:r w:rsidRPr="002A28E1">
        <w:t xml:space="preserve">In 2015, the Texan </w:t>
      </w:r>
      <w:r w:rsidRPr="00C513B7">
        <w:t>legislature passed a new law</w:t>
      </w:r>
      <w:r w:rsidR="00D130F6" w:rsidRPr="00C513B7">
        <w:t xml:space="preserve"> </w:t>
      </w:r>
      <w:r w:rsidR="006D3FAB" w:rsidRPr="00C513B7">
        <w:t>present</w:t>
      </w:r>
      <w:r w:rsidRPr="00C513B7">
        <w:t>ing</w:t>
      </w:r>
      <w:r w:rsidR="00D130F6" w:rsidRPr="00C513B7">
        <w:t xml:space="preserve"> supported</w:t>
      </w:r>
      <w:r w:rsidR="009B69D5" w:rsidRPr="00C513B7">
        <w:t xml:space="preserve"> </w:t>
      </w:r>
      <w:r w:rsidR="00D130F6" w:rsidRPr="00C513B7">
        <w:t xml:space="preserve">decision-making </w:t>
      </w:r>
      <w:r w:rsidR="00A74822" w:rsidRPr="00C513B7">
        <w:t>as an alternative to guardianship</w:t>
      </w:r>
      <w:r w:rsidR="00F60544" w:rsidRPr="00C513B7">
        <w:t>.</w:t>
      </w:r>
      <w:r w:rsidR="00970351" w:rsidRPr="00C513B7">
        <w:rPr>
          <w:rStyle w:val="FootnoteReference"/>
        </w:rPr>
        <w:footnoteReference w:id="856"/>
      </w:r>
      <w:r w:rsidR="009B69D5" w:rsidRPr="00C513B7">
        <w:t xml:space="preserve"> </w:t>
      </w:r>
      <w:r w:rsidR="008642F9" w:rsidRPr="00C513B7">
        <w:t>Activism</w:t>
      </w:r>
      <w:r w:rsidR="009E7DD3" w:rsidRPr="00C513B7">
        <w:t xml:space="preserve"> for</w:t>
      </w:r>
      <w:r w:rsidR="009B69D5" w:rsidRPr="00C513B7">
        <w:t xml:space="preserve"> supported </w:t>
      </w:r>
      <w:r w:rsidR="00393102" w:rsidRPr="00C513B7">
        <w:t xml:space="preserve">decision-making </w:t>
      </w:r>
      <w:r w:rsidR="00E74B8F" w:rsidRPr="00C513B7">
        <w:t xml:space="preserve">in Texas began in 2004 when </w:t>
      </w:r>
      <w:r w:rsidR="00B764D0" w:rsidRPr="00C513B7">
        <w:t>individuals from advocacy organizations, state government</w:t>
      </w:r>
      <w:r w:rsidR="00866933" w:rsidRPr="00C513B7">
        <w:t>, and local organizations</w:t>
      </w:r>
      <w:r w:rsidR="00877D0F" w:rsidRPr="00C513B7">
        <w:t xml:space="preserve"> </w:t>
      </w:r>
      <w:r w:rsidR="00E713C2" w:rsidRPr="00C513B7">
        <w:t xml:space="preserve">joined forces and formed </w:t>
      </w:r>
      <w:r w:rsidR="005D3379" w:rsidRPr="00C513B7">
        <w:t>the “Texas Self-Determination State Policy Team.”</w:t>
      </w:r>
      <w:r w:rsidR="005D3379" w:rsidRPr="00C513B7">
        <w:rPr>
          <w:rStyle w:val="FootnoteReference"/>
        </w:rPr>
        <w:footnoteReference w:id="857"/>
      </w:r>
      <w:r w:rsidR="003233C5" w:rsidRPr="00C513B7">
        <w:t xml:space="preserve"> </w:t>
      </w:r>
      <w:r w:rsidR="009436FC" w:rsidRPr="00C513B7">
        <w:t>The</w:t>
      </w:r>
      <w:r w:rsidR="0008743B" w:rsidRPr="00C513B7">
        <w:t xml:space="preserve"> </w:t>
      </w:r>
      <w:r w:rsidR="009F1345" w:rsidRPr="00C513B7">
        <w:t>“</w:t>
      </w:r>
      <w:r w:rsidR="00653407" w:rsidRPr="00C513B7">
        <w:t>Alternative</w:t>
      </w:r>
      <w:r w:rsidR="00081E0D" w:rsidRPr="00C513B7">
        <w:t xml:space="preserve">s to Guardianship </w:t>
      </w:r>
      <w:r w:rsidR="008233D8" w:rsidRPr="00C513B7">
        <w:t>Subcommit</w:t>
      </w:r>
      <w:r w:rsidR="008B40E7" w:rsidRPr="00C513B7">
        <w:t>tee</w:t>
      </w:r>
      <w:r w:rsidR="009F1345" w:rsidRPr="00C513B7">
        <w:t xml:space="preserve">” </w:t>
      </w:r>
      <w:proofErr w:type="gramStart"/>
      <w:r w:rsidR="009F1345" w:rsidRPr="00C513B7">
        <w:t>was</w:t>
      </w:r>
      <w:r w:rsidR="009F1345" w:rsidRPr="002A28E1">
        <w:t xml:space="preserve"> </w:t>
      </w:r>
      <w:r w:rsidR="00EB31C0" w:rsidRPr="002A28E1">
        <w:t>then formed</w:t>
      </w:r>
      <w:proofErr w:type="gramEnd"/>
      <w:r w:rsidR="00EB31C0" w:rsidRPr="002A28E1">
        <w:t xml:space="preserve"> under the auspices of </w:t>
      </w:r>
      <w:r w:rsidR="00A46C54" w:rsidRPr="002A28E1">
        <w:t xml:space="preserve">this Team, and the work of this subcommittee </w:t>
      </w:r>
      <w:r w:rsidR="00594E12" w:rsidRPr="002A28E1">
        <w:t xml:space="preserve">eventually led to the </w:t>
      </w:r>
      <w:r w:rsidR="005D47D3" w:rsidRPr="002A28E1">
        <w:t xml:space="preserve">passage of </w:t>
      </w:r>
      <w:r w:rsidR="00B57E6E" w:rsidRPr="002A28E1">
        <w:t xml:space="preserve">Bill </w:t>
      </w:r>
      <w:r w:rsidR="003403FD" w:rsidRPr="002A28E1">
        <w:t>H.B. 1454 in 2009</w:t>
      </w:r>
      <w:r w:rsidR="00E139DC" w:rsidRPr="002A28E1">
        <w:t xml:space="preserve">, which </w:t>
      </w:r>
      <w:r w:rsidR="000549F5" w:rsidRPr="002A28E1">
        <w:t xml:space="preserve">called </w:t>
      </w:r>
      <w:r w:rsidR="00252407" w:rsidRPr="002A28E1">
        <w:t>upon</w:t>
      </w:r>
      <w:r w:rsidR="00423A46" w:rsidRPr="002A28E1">
        <w:t xml:space="preserve"> </w:t>
      </w:r>
      <w:r w:rsidR="00252407" w:rsidRPr="002A28E1">
        <w:t>the Texas Health and Human Services Commission</w:t>
      </w:r>
      <w:r w:rsidR="00D653C5" w:rsidRPr="002A28E1">
        <w:t xml:space="preserve"> to </w:t>
      </w:r>
      <w:r w:rsidR="00D11B0D" w:rsidRPr="002A28E1">
        <w:t>launch</w:t>
      </w:r>
      <w:r w:rsidR="000F0FBC" w:rsidRPr="002A28E1">
        <w:t xml:space="preserve"> </w:t>
      </w:r>
      <w:r w:rsidR="000940E3" w:rsidRPr="002A28E1">
        <w:t xml:space="preserve">a </w:t>
      </w:r>
      <w:r w:rsidR="0039343D" w:rsidRPr="002A28E1">
        <w:t>supported decision-making pilot project</w:t>
      </w:r>
      <w:r w:rsidR="00BE017B" w:rsidRPr="002A28E1">
        <w:t>.</w:t>
      </w:r>
      <w:r w:rsidR="00D85AE7" w:rsidRPr="002A28E1">
        <w:rPr>
          <w:rStyle w:val="FootnoteReference"/>
        </w:rPr>
        <w:footnoteReference w:id="858"/>
      </w:r>
      <w:r w:rsidR="00F755C5" w:rsidRPr="002A28E1">
        <w:t xml:space="preserve"> The </w:t>
      </w:r>
      <w:proofErr w:type="gramStart"/>
      <w:r w:rsidR="00F755C5" w:rsidRPr="002A28E1">
        <w:t xml:space="preserve">pilot project was ultimately carried out by </w:t>
      </w:r>
      <w:r w:rsidR="00CB6DF0" w:rsidRPr="002A28E1">
        <w:t xml:space="preserve">the Arc of </w:t>
      </w:r>
      <w:r w:rsidR="00C2381B" w:rsidRPr="002A28E1">
        <w:t>San Angelo</w:t>
      </w:r>
      <w:r w:rsidR="00651CAA" w:rsidRPr="002A28E1">
        <w:t xml:space="preserve">, a local chapter of a </w:t>
      </w:r>
      <w:r w:rsidR="0086741B" w:rsidRPr="002A28E1">
        <w:t xml:space="preserve">national </w:t>
      </w:r>
      <w:r w:rsidR="008D2137" w:rsidRPr="002A28E1">
        <w:t xml:space="preserve">grassroots </w:t>
      </w:r>
      <w:r w:rsidR="00132201" w:rsidRPr="002A28E1">
        <w:t>not</w:t>
      </w:r>
      <w:r w:rsidR="00C251B9">
        <w:t>-</w:t>
      </w:r>
      <w:r w:rsidR="00132201" w:rsidRPr="002A28E1">
        <w:t>for</w:t>
      </w:r>
      <w:r w:rsidR="00C251B9">
        <w:t>-</w:t>
      </w:r>
      <w:r w:rsidR="00132201" w:rsidRPr="002A28E1">
        <w:t>profit</w:t>
      </w:r>
      <w:r w:rsidR="0086741B" w:rsidRPr="002A28E1">
        <w:t xml:space="preserve"> organization</w:t>
      </w:r>
      <w:proofErr w:type="gramEnd"/>
      <w:r w:rsidR="009C6CBD" w:rsidRPr="002A28E1">
        <w:t>.</w:t>
      </w:r>
      <w:r w:rsidR="009C6CBD" w:rsidRPr="002A28E1">
        <w:rPr>
          <w:rStyle w:val="FootnoteReference"/>
        </w:rPr>
        <w:footnoteReference w:id="859"/>
      </w:r>
    </w:p>
    <w:p w14:paraId="14174782" w14:textId="37B72F94" w:rsidR="00252407" w:rsidRPr="002A28E1" w:rsidRDefault="00252407"/>
    <w:p w14:paraId="09A907E0" w14:textId="11949291" w:rsidR="009C6CBD" w:rsidRPr="002A28E1" w:rsidRDefault="00DD0B4A">
      <w:r w:rsidRPr="002A28E1">
        <w:t>In parallel t</w:t>
      </w:r>
      <w:r w:rsidR="007B2AE6" w:rsidRPr="002A28E1">
        <w:t xml:space="preserve">o the pilot project, </w:t>
      </w:r>
      <w:r w:rsidR="008A1A1B" w:rsidRPr="002A28E1">
        <w:t>activists</w:t>
      </w:r>
      <w:r w:rsidR="00C22D9F" w:rsidRPr="002A28E1">
        <w:t xml:space="preserve"> from organizations</w:t>
      </w:r>
      <w:r w:rsidR="008A3113" w:rsidRPr="002A28E1">
        <w:t xml:space="preserve"> like </w:t>
      </w:r>
      <w:r w:rsidR="00863CC9" w:rsidRPr="002A28E1">
        <w:t>G.R.A.D.E. (</w:t>
      </w:r>
      <w:r w:rsidR="00944FC5" w:rsidRPr="002A28E1">
        <w:t>Guardianship</w:t>
      </w:r>
      <w:r w:rsidR="00863CC9" w:rsidRPr="002A28E1">
        <w:t xml:space="preserve"> Reform Advocates for the </w:t>
      </w:r>
      <w:r w:rsidR="00857B11" w:rsidRPr="002A28E1">
        <w:t>Disabled and Elderly)</w:t>
      </w:r>
      <w:r w:rsidR="00B34263" w:rsidRPr="002A28E1">
        <w:t xml:space="preserve"> started to </w:t>
      </w:r>
      <w:r w:rsidR="009E50E4" w:rsidRPr="002A28E1">
        <w:t xml:space="preserve">speak out </w:t>
      </w:r>
      <w:r w:rsidR="00277E1E" w:rsidRPr="002A28E1">
        <w:t xml:space="preserve">against </w:t>
      </w:r>
      <w:r w:rsidR="00F43B61" w:rsidRPr="002A28E1">
        <w:t xml:space="preserve">the Texan guardianship </w:t>
      </w:r>
      <w:r w:rsidR="008E7A15" w:rsidRPr="002A28E1">
        <w:t xml:space="preserve">regime </w:t>
      </w:r>
      <w:r w:rsidR="00731CF2" w:rsidRPr="002A28E1">
        <w:t xml:space="preserve">as </w:t>
      </w:r>
      <w:r w:rsidR="00A47F0D" w:rsidRPr="002A28E1">
        <w:t>mercenary</w:t>
      </w:r>
      <w:r w:rsidR="00FF6885" w:rsidRPr="002A28E1">
        <w:t xml:space="preserve"> and inhumane.</w:t>
      </w:r>
      <w:r w:rsidR="0076741F" w:rsidRPr="002A28E1">
        <w:rPr>
          <w:rStyle w:val="FootnoteReference"/>
        </w:rPr>
        <w:footnoteReference w:id="860"/>
      </w:r>
      <w:r w:rsidR="005A5B4C" w:rsidRPr="002A28E1">
        <w:t xml:space="preserve"> </w:t>
      </w:r>
      <w:r w:rsidR="005A5B4C" w:rsidRPr="00ED2FC9">
        <w:t>Activists</w:t>
      </w:r>
      <w:r w:rsidR="001F5130" w:rsidRPr="00ED2FC9">
        <w:t xml:space="preserve"> </w:t>
      </w:r>
      <w:r w:rsidR="00583CC2" w:rsidRPr="00ED2FC9">
        <w:t xml:space="preserve">assembled outside </w:t>
      </w:r>
      <w:r w:rsidR="00334D90" w:rsidRPr="00ED2FC9">
        <w:t xml:space="preserve">guardianship </w:t>
      </w:r>
      <w:r w:rsidR="00583CC2" w:rsidRPr="00ED2FC9">
        <w:t xml:space="preserve">court </w:t>
      </w:r>
      <w:r w:rsidR="00F042B9" w:rsidRPr="00ED2FC9">
        <w:t xml:space="preserve">proceedings </w:t>
      </w:r>
      <w:r w:rsidR="005E4E04" w:rsidRPr="00ED2FC9">
        <w:t xml:space="preserve">and </w:t>
      </w:r>
      <w:r w:rsidR="00807C59" w:rsidRPr="00ED2FC9">
        <w:t>captured the attention of the local</w:t>
      </w:r>
      <w:r w:rsidR="002049B9" w:rsidRPr="00ED2FC9">
        <w:t xml:space="preserve"> media</w:t>
      </w:r>
      <w:r w:rsidR="00807C59" w:rsidRPr="00ED2FC9">
        <w:t>.</w:t>
      </w:r>
      <w:r w:rsidR="00807C59" w:rsidRPr="00ED2FC9">
        <w:rPr>
          <w:rStyle w:val="FootnoteReference"/>
        </w:rPr>
        <w:footnoteReference w:id="861"/>
      </w:r>
      <w:r w:rsidR="002049B9" w:rsidRPr="00ED2FC9">
        <w:t xml:space="preserve"> </w:t>
      </w:r>
      <w:r w:rsidR="005C01C6" w:rsidRPr="00ED2FC9">
        <w:t>In 2015</w:t>
      </w:r>
      <w:r w:rsidR="00646DC4" w:rsidRPr="00ED2FC9">
        <w:t xml:space="preserve">, </w:t>
      </w:r>
      <w:r w:rsidR="00842172" w:rsidRPr="00ED2FC9">
        <w:t xml:space="preserve">policy specialists and </w:t>
      </w:r>
      <w:r w:rsidR="00D4611E" w:rsidRPr="00ED2FC9">
        <w:t xml:space="preserve">activists from </w:t>
      </w:r>
      <w:r w:rsidR="0072480C" w:rsidRPr="00ED2FC9">
        <w:t xml:space="preserve">disability rights organizations </w:t>
      </w:r>
      <w:r w:rsidR="00D2057E" w:rsidRPr="00ED2FC9">
        <w:t xml:space="preserve">came together to form </w:t>
      </w:r>
      <w:r w:rsidR="0087066B" w:rsidRPr="00ED2FC9">
        <w:t>the Guardianship Reform and Supported Decision-Making Workgroup (</w:t>
      </w:r>
      <w:r w:rsidR="00976F04" w:rsidRPr="00ED2FC9">
        <w:t>GRSDM</w:t>
      </w:r>
      <w:r w:rsidR="0087066B" w:rsidRPr="00ED2FC9">
        <w:t>)</w:t>
      </w:r>
      <w:r w:rsidR="00636CFF" w:rsidRPr="00ED2FC9">
        <w:t xml:space="preserve">. </w:t>
      </w:r>
      <w:r w:rsidR="00D80171" w:rsidRPr="00ED2FC9">
        <w:t>A plethora of o</w:t>
      </w:r>
      <w:r w:rsidR="003942B5" w:rsidRPr="00ED2FC9">
        <w:t xml:space="preserve">rganizations </w:t>
      </w:r>
      <w:r w:rsidR="00F51D36" w:rsidRPr="00ED2FC9">
        <w:t xml:space="preserve">were </w:t>
      </w:r>
      <w:r w:rsidR="003942B5" w:rsidRPr="00ED2FC9">
        <w:t xml:space="preserve">involved in the GRSDM </w:t>
      </w:r>
      <w:r w:rsidR="001E7C7A" w:rsidRPr="00ED2FC9">
        <w:t xml:space="preserve">coalition, </w:t>
      </w:r>
      <w:r w:rsidR="003942B5" w:rsidRPr="00ED2FC9">
        <w:t>includ</w:t>
      </w:r>
      <w:r w:rsidR="001E7C7A" w:rsidRPr="00ED2FC9">
        <w:t>ing</w:t>
      </w:r>
      <w:r w:rsidR="003942B5" w:rsidRPr="00ED2FC9">
        <w:t xml:space="preserve"> the Arc of Texas, the </w:t>
      </w:r>
      <w:r w:rsidR="00D171D4" w:rsidRPr="00ED2FC9">
        <w:t>Autistic</w:t>
      </w:r>
      <w:r w:rsidR="003942B5" w:rsidRPr="00ED2FC9">
        <w:t xml:space="preserve"> Self-Advocate Network, the Coalition of Texans with Disabilities, </w:t>
      </w:r>
      <w:r w:rsidR="005A6D48" w:rsidRPr="00ED2FC9">
        <w:t xml:space="preserve">Disability Rights Texas, </w:t>
      </w:r>
      <w:r w:rsidR="008751F9" w:rsidRPr="00ED2FC9">
        <w:t xml:space="preserve">Texas Parent to Parent, the Texas Association </w:t>
      </w:r>
      <w:r w:rsidR="003A719B" w:rsidRPr="00ED2FC9">
        <w:t>of Centers for Independent Living,</w:t>
      </w:r>
      <w:r w:rsidR="00A22873" w:rsidRPr="00ED2FC9">
        <w:t xml:space="preserve"> the Mental Health</w:t>
      </w:r>
      <w:r w:rsidR="00A22873" w:rsidRPr="002A28E1">
        <w:t xml:space="preserve"> Association of Texas, and AARP.</w:t>
      </w:r>
      <w:r w:rsidR="00A22873" w:rsidRPr="002A28E1">
        <w:rPr>
          <w:rStyle w:val="FootnoteReference"/>
        </w:rPr>
        <w:footnoteReference w:id="862"/>
      </w:r>
      <w:r w:rsidR="00A22873" w:rsidRPr="002A28E1">
        <w:t xml:space="preserve"> </w:t>
      </w:r>
      <w:r w:rsidR="00636CFF" w:rsidRPr="002A28E1">
        <w:t xml:space="preserve">GRSDM </w:t>
      </w:r>
      <w:r w:rsidR="006E45AC" w:rsidRPr="002A28E1">
        <w:t>developed</w:t>
      </w:r>
      <w:r w:rsidR="00092E32" w:rsidRPr="002A28E1">
        <w:t xml:space="preserve"> </w:t>
      </w:r>
      <w:r w:rsidR="00E5727E" w:rsidRPr="002A28E1">
        <w:t>several bills</w:t>
      </w:r>
      <w:r w:rsidR="002C4884" w:rsidRPr="002A28E1">
        <w:t xml:space="preserve">, which </w:t>
      </w:r>
      <w:proofErr w:type="gramStart"/>
      <w:r w:rsidR="002C4884" w:rsidRPr="002A28E1">
        <w:t>were eventually passed</w:t>
      </w:r>
      <w:proofErr w:type="gramEnd"/>
      <w:r w:rsidR="002C4884" w:rsidRPr="002A28E1">
        <w:t xml:space="preserve"> by the Texan Legislature: </w:t>
      </w:r>
      <w:r w:rsidR="00822C40" w:rsidRPr="002A28E1">
        <w:t>T</w:t>
      </w:r>
      <w:r w:rsidR="007B3B08" w:rsidRPr="002A28E1">
        <w:t xml:space="preserve">he Supported Decision-Making Agreement Act, </w:t>
      </w:r>
      <w:r w:rsidR="00822C40" w:rsidRPr="002A28E1">
        <w:t xml:space="preserve">the Texas </w:t>
      </w:r>
      <w:r w:rsidR="000869C1" w:rsidRPr="002A28E1">
        <w:t>Judicial</w:t>
      </w:r>
      <w:r w:rsidR="00822C40" w:rsidRPr="002A28E1">
        <w:t xml:space="preserve"> Guardianship Reforms, and the Ward’s Bill of Rights.</w:t>
      </w:r>
      <w:r w:rsidR="007A2AFF" w:rsidRPr="002A28E1">
        <w:rPr>
          <w:rStyle w:val="FootnoteReference"/>
        </w:rPr>
        <w:footnoteReference w:id="863"/>
      </w:r>
    </w:p>
    <w:p w14:paraId="22D0F001" w14:textId="44942018" w:rsidR="00DB6C87" w:rsidRPr="002A28E1" w:rsidRDefault="00DB6C87"/>
    <w:p w14:paraId="01A0085F" w14:textId="3A640A27" w:rsidR="00DB6C87" w:rsidRPr="002A28E1" w:rsidRDefault="00DB6C87">
      <w:r w:rsidRPr="002A28E1">
        <w:t xml:space="preserve">The Supported Decision-Making Agreement Act outlines </w:t>
      </w:r>
      <w:r w:rsidR="00EC635C" w:rsidRPr="002A28E1">
        <w:t>the framework for supported decision-making agreements under Texan law.</w:t>
      </w:r>
      <w:r w:rsidR="00E933EE" w:rsidRPr="002A28E1">
        <w:t xml:space="preserve"> </w:t>
      </w:r>
      <w:proofErr w:type="gramStart"/>
      <w:r w:rsidR="0072405E" w:rsidRPr="002A28E1">
        <w:t xml:space="preserve">The Act </w:t>
      </w:r>
      <w:r w:rsidR="003344AA" w:rsidRPr="002A28E1">
        <w:t>defines “</w:t>
      </w:r>
      <w:r w:rsidR="0072405E" w:rsidRPr="002A28E1">
        <w:t>supported decision-making</w:t>
      </w:r>
      <w:r w:rsidR="003344AA" w:rsidRPr="002A28E1">
        <w:t>” as a “process of supporting and accommodating an adult with a disability to enable the adult to make life decisions, including decisions related to where the adult wants to live, the services, supports, and medical care the adult wants to receive, whom the adult wants to live with, and where the adult wants to work, without impeding the self-determination of the adult.”</w:t>
      </w:r>
      <w:r w:rsidR="000C651F" w:rsidRPr="002A28E1">
        <w:rPr>
          <w:rStyle w:val="FootnoteReference"/>
        </w:rPr>
        <w:footnoteReference w:id="864"/>
      </w:r>
      <w:proofErr w:type="gramEnd"/>
      <w:r w:rsidR="0072405E" w:rsidRPr="002A28E1">
        <w:t xml:space="preserve"> </w:t>
      </w:r>
      <w:proofErr w:type="gramStart"/>
      <w:r w:rsidR="00E933EE" w:rsidRPr="002A28E1">
        <w:t>According to the Act</w:t>
      </w:r>
      <w:r w:rsidR="00261FEA" w:rsidRPr="002A28E1">
        <w:t xml:space="preserve">, supported decision-making is intended to </w:t>
      </w:r>
      <w:r w:rsidR="00023F9F" w:rsidRPr="002A28E1">
        <w:t xml:space="preserve">constitute “a less restrictive alternative to guardianship for adults with disabilities who need assistance </w:t>
      </w:r>
      <w:r w:rsidR="00D32583" w:rsidRPr="002A28E1">
        <w:t>with decisions regarding daily living but who are not considered incapacitated persons for the purposes of establishing a guardianship</w:t>
      </w:r>
      <w:r w:rsidR="00AB57F4" w:rsidRPr="002A28E1">
        <w:t>…”</w:t>
      </w:r>
      <w:r w:rsidR="00E753FE" w:rsidRPr="002A28E1">
        <w:rPr>
          <w:rStyle w:val="FootnoteReference"/>
        </w:rPr>
        <w:footnoteReference w:id="865"/>
      </w:r>
      <w:r w:rsidR="00AB57F4" w:rsidRPr="002A28E1">
        <w:t xml:space="preserve"> </w:t>
      </w:r>
      <w:r w:rsidR="00EB6E77" w:rsidRPr="002A28E1">
        <w:t>Persons with disabilities are to enter into s</w:t>
      </w:r>
      <w:r w:rsidR="009E233A" w:rsidRPr="002A28E1">
        <w:t xml:space="preserve">upported decision-making agreements “voluntarily, without undue influence or </w:t>
      </w:r>
      <w:r w:rsidR="00840BC0" w:rsidRPr="002A28E1">
        <w:t>coercion</w:t>
      </w:r>
      <w:r w:rsidR="009E233A" w:rsidRPr="002A28E1">
        <w:t>”</w:t>
      </w:r>
      <w:r w:rsidR="007D1B03" w:rsidRPr="002A28E1">
        <w:t xml:space="preserve"> and they </w:t>
      </w:r>
      <w:r w:rsidR="008F083F" w:rsidRPr="002A28E1">
        <w:t xml:space="preserve">may authorize </w:t>
      </w:r>
      <w:r w:rsidR="00AE7F21" w:rsidRPr="002A28E1">
        <w:t>a supporter</w:t>
      </w:r>
      <w:r w:rsidR="009E233A" w:rsidRPr="002A28E1">
        <w:t xml:space="preserve"> </w:t>
      </w:r>
      <w:r w:rsidR="004C70FB" w:rsidRPr="002A28E1">
        <w:t>to</w:t>
      </w:r>
      <w:r w:rsidR="00336B20" w:rsidRPr="002A28E1">
        <w:t xml:space="preserve"> “provide supported decision-making, including assistance in understanding the options, </w:t>
      </w:r>
      <w:r w:rsidR="00812503" w:rsidRPr="002A28E1">
        <w:t>responsibilities</w:t>
      </w:r>
      <w:r w:rsidR="00336B20" w:rsidRPr="002A28E1">
        <w:t xml:space="preserve">, and consequences of the adult’s life decisions, without making those </w:t>
      </w:r>
      <w:r w:rsidR="00812503" w:rsidRPr="002A28E1">
        <w:t>decisions</w:t>
      </w:r>
      <w:r w:rsidR="00336B20" w:rsidRPr="002A28E1">
        <w:t xml:space="preserve"> on behalf of the adult with a disability</w:t>
      </w:r>
      <w:r w:rsidR="00C706E9" w:rsidRPr="002A28E1">
        <w:t>.”</w:t>
      </w:r>
      <w:r w:rsidR="00525DCA" w:rsidRPr="002A28E1">
        <w:rPr>
          <w:rStyle w:val="FootnoteReference"/>
        </w:rPr>
        <w:footnoteReference w:id="866"/>
      </w:r>
      <w:proofErr w:type="gramEnd"/>
      <w:r w:rsidR="00C706E9" w:rsidRPr="002A28E1">
        <w:t xml:space="preserve"> The </w:t>
      </w:r>
      <w:r w:rsidR="009B0E3F" w:rsidRPr="002A28E1">
        <w:t xml:space="preserve">supported decision-making agreement may also </w:t>
      </w:r>
      <w:r w:rsidR="000923E2" w:rsidRPr="002A28E1">
        <w:t>authorize the supporter to help the person to obtain</w:t>
      </w:r>
      <w:r w:rsidR="004C2F61" w:rsidRPr="002A28E1">
        <w:t xml:space="preserve"> and understand</w:t>
      </w:r>
      <w:r w:rsidR="000923E2" w:rsidRPr="002A28E1">
        <w:t xml:space="preserve"> information </w:t>
      </w:r>
      <w:r w:rsidR="003D1F04" w:rsidRPr="002A28E1">
        <w:t>(</w:t>
      </w:r>
      <w:r w:rsidR="000923E2" w:rsidRPr="002A28E1">
        <w:t xml:space="preserve">such as </w:t>
      </w:r>
      <w:r w:rsidR="003D1F04" w:rsidRPr="002A28E1">
        <w:t xml:space="preserve">medical, psychological, financial, </w:t>
      </w:r>
      <w:proofErr w:type="gramStart"/>
      <w:r w:rsidR="003D1F04" w:rsidRPr="002A28E1">
        <w:t>educational</w:t>
      </w:r>
      <w:proofErr w:type="gramEnd"/>
      <w:r w:rsidR="003D1F04" w:rsidRPr="002A28E1">
        <w:t xml:space="preserve"> or treatment records)</w:t>
      </w:r>
      <w:r w:rsidR="00734864" w:rsidRPr="002A28E1">
        <w:t xml:space="preserve"> and may also </w:t>
      </w:r>
      <w:r w:rsidR="00C41B8D" w:rsidRPr="002A28E1">
        <w:t xml:space="preserve">entitle the support person </w:t>
      </w:r>
      <w:r w:rsidR="00DD54BE" w:rsidRPr="002A28E1">
        <w:t xml:space="preserve">to aid the person to </w:t>
      </w:r>
      <w:r w:rsidR="0005222D" w:rsidRPr="002A28E1">
        <w:t>communicate their decisions to other parties.</w:t>
      </w:r>
      <w:r w:rsidR="00525DCA" w:rsidRPr="002A28E1">
        <w:rPr>
          <w:rStyle w:val="FootnoteReference"/>
        </w:rPr>
        <w:footnoteReference w:id="867"/>
      </w:r>
      <w:r w:rsidR="00EF11DD" w:rsidRPr="002A28E1">
        <w:t xml:space="preserve"> Supported decision-making agreements </w:t>
      </w:r>
      <w:proofErr w:type="gramStart"/>
      <w:r w:rsidR="00EF11DD" w:rsidRPr="002A28E1">
        <w:t>must be signed</w:t>
      </w:r>
      <w:proofErr w:type="gramEnd"/>
      <w:r w:rsidR="00EF11DD" w:rsidRPr="002A28E1">
        <w:t xml:space="preserve"> </w:t>
      </w:r>
      <w:r w:rsidR="0041271E" w:rsidRPr="002A28E1">
        <w:t>in front of</w:t>
      </w:r>
      <w:r w:rsidR="0059586E" w:rsidRPr="002A28E1">
        <w:t xml:space="preserve"> </w:t>
      </w:r>
      <w:r w:rsidR="00EF11DD" w:rsidRPr="002A28E1">
        <w:t>at least two witnesses or a notary public.</w:t>
      </w:r>
      <w:r w:rsidR="00CE7D03" w:rsidRPr="002A28E1">
        <w:rPr>
          <w:rStyle w:val="FootnoteReference"/>
        </w:rPr>
        <w:footnoteReference w:id="868"/>
      </w:r>
      <w:r w:rsidR="00FF734E" w:rsidRPr="002A28E1">
        <w:t xml:space="preserve"> </w:t>
      </w:r>
      <w:proofErr w:type="gramStart"/>
      <w:r w:rsidR="00FF734E" w:rsidRPr="002A28E1">
        <w:t>Agreements may be terminated</w:t>
      </w:r>
      <w:r w:rsidR="00B614C0" w:rsidRPr="002A28E1">
        <w:t xml:space="preserve"> by either party</w:t>
      </w:r>
      <w:r w:rsidR="00032A30" w:rsidRPr="002A28E1">
        <w:t>,</w:t>
      </w:r>
      <w:proofErr w:type="gramEnd"/>
      <w:r w:rsidR="00032A30" w:rsidRPr="002A28E1">
        <w:t xml:space="preserve"> on a given date outlined in the agreement, </w:t>
      </w:r>
      <w:r w:rsidR="00B614C0" w:rsidRPr="002A28E1">
        <w:t>and</w:t>
      </w:r>
      <w:r w:rsidR="00032A30" w:rsidRPr="002A28E1">
        <w:t xml:space="preserve"> they</w:t>
      </w:r>
      <w:r w:rsidR="00B614C0" w:rsidRPr="002A28E1">
        <w:t xml:space="preserve"> may also be terminated</w:t>
      </w:r>
      <w:r w:rsidR="00FF734E" w:rsidRPr="002A28E1">
        <w:t xml:space="preserve"> if the Department of Family and Protective Services</w:t>
      </w:r>
      <w:r w:rsidR="00936E38" w:rsidRPr="002A28E1">
        <w:t xml:space="preserve"> concludes that the </w:t>
      </w:r>
      <w:r w:rsidR="00FA1C05" w:rsidRPr="002A28E1">
        <w:t xml:space="preserve">person with a disability has been “abused, neglected, or exploited by the </w:t>
      </w:r>
      <w:r w:rsidR="00FA1C05" w:rsidRPr="002A28E1">
        <w:lastRenderedPageBreak/>
        <w:t>supporter</w:t>
      </w:r>
      <w:r w:rsidR="00351F7B" w:rsidRPr="002A28E1">
        <w:t>.</w:t>
      </w:r>
      <w:r w:rsidR="00FA1C05" w:rsidRPr="002A28E1">
        <w:t>”</w:t>
      </w:r>
      <w:r w:rsidR="00351F7B" w:rsidRPr="002A28E1">
        <w:rPr>
          <w:rStyle w:val="FootnoteReference"/>
        </w:rPr>
        <w:footnoteReference w:id="869"/>
      </w:r>
      <w:r w:rsidR="00B61F7B" w:rsidRPr="002A28E1">
        <w:t xml:space="preserve"> Finally, the Act </w:t>
      </w:r>
      <w:r w:rsidR="00E57ADF" w:rsidRPr="002A28E1">
        <w:t xml:space="preserve">provides a template supported decision-making </w:t>
      </w:r>
      <w:r w:rsidR="00932FF8" w:rsidRPr="002A28E1">
        <w:t>agreement</w:t>
      </w:r>
      <w:r w:rsidR="0044265F" w:rsidRPr="002A28E1">
        <w:t>, to which all supported decision-making agreements in Texas must “substantially” conform.</w:t>
      </w:r>
      <w:r w:rsidR="0044265F" w:rsidRPr="002A28E1">
        <w:rPr>
          <w:rStyle w:val="FootnoteReference"/>
        </w:rPr>
        <w:footnoteReference w:id="870"/>
      </w:r>
    </w:p>
    <w:p w14:paraId="4F64DCD0" w14:textId="30D784D0" w:rsidR="00072738" w:rsidRPr="002A28E1" w:rsidRDefault="00072738"/>
    <w:p w14:paraId="71C5A17C" w14:textId="3168526A" w:rsidR="00072738" w:rsidRPr="002A28E1" w:rsidRDefault="009046A3">
      <w:proofErr w:type="gramStart"/>
      <w:r w:rsidRPr="002A28E1">
        <w:t xml:space="preserve">H.B. 39, referred to as the Texas Judicial Council Guardianship Reforms, </w:t>
      </w:r>
      <w:r w:rsidR="000C3815" w:rsidRPr="002A28E1">
        <w:t>stipulates that b</w:t>
      </w:r>
      <w:r w:rsidR="00832880" w:rsidRPr="002A28E1">
        <w:t xml:space="preserve">efore </w:t>
      </w:r>
      <w:r w:rsidR="00222DDD" w:rsidRPr="002A28E1">
        <w:t xml:space="preserve">imposing a guardianship, </w:t>
      </w:r>
      <w:r w:rsidR="00C42A9A" w:rsidRPr="002A28E1">
        <w:t xml:space="preserve">the court </w:t>
      </w:r>
      <w:r w:rsidR="004C21DA" w:rsidRPr="002A28E1">
        <w:t xml:space="preserve">must “find </w:t>
      </w:r>
      <w:r w:rsidR="001850A0" w:rsidRPr="002A28E1">
        <w:t xml:space="preserve">by clear and convincing evidence that […] alternatives to guardianship that would avoid the need for the appointment of a guardian have been considered and determined not to be feasible; and supports and services available to the </w:t>
      </w:r>
      <w:r w:rsidR="00615994" w:rsidRPr="002A28E1">
        <w:t>proposed</w:t>
      </w:r>
      <w:r w:rsidR="001850A0" w:rsidRPr="002A28E1">
        <w:t xml:space="preserve"> ward that would avoid the need for the </w:t>
      </w:r>
      <w:r w:rsidR="001850A0" w:rsidRPr="000A4176">
        <w:t>appointment of a guardian have been considered and determined not to be feasible.”</w:t>
      </w:r>
      <w:r w:rsidR="00615994" w:rsidRPr="000A4176">
        <w:rPr>
          <w:rStyle w:val="FootnoteReference"/>
        </w:rPr>
        <w:footnoteReference w:id="871"/>
      </w:r>
      <w:proofErr w:type="gramEnd"/>
      <w:r w:rsidR="0077324C" w:rsidRPr="000A4176">
        <w:t xml:space="preserve"> Under the Texan law, “alternatives to guardianship” include a range of options such as powers of attorney, representative payee agreements, and management and special needs trusts, in addition to supported</w:t>
      </w:r>
      <w:r w:rsidR="0077324C" w:rsidRPr="002A28E1">
        <w:t xml:space="preserve"> decision-making.</w:t>
      </w:r>
      <w:r w:rsidR="00B653E2" w:rsidRPr="002A28E1">
        <w:rPr>
          <w:rStyle w:val="FootnoteReference"/>
        </w:rPr>
        <w:footnoteReference w:id="872"/>
      </w:r>
      <w:r w:rsidR="00E162EB" w:rsidRPr="002A28E1">
        <w:t xml:space="preserve"> </w:t>
      </w:r>
      <w:r w:rsidR="00C72B40" w:rsidRPr="002A28E1">
        <w:t>According</w:t>
      </w:r>
      <w:r w:rsidR="006E098C" w:rsidRPr="002A28E1">
        <w:t xml:space="preserve"> the new law, </w:t>
      </w:r>
      <w:r w:rsidR="00D300A2" w:rsidRPr="002A28E1">
        <w:t xml:space="preserve">attorneys </w:t>
      </w:r>
      <w:r w:rsidR="00A62B03" w:rsidRPr="002A28E1">
        <w:t xml:space="preserve">who </w:t>
      </w:r>
      <w:r w:rsidR="0030285E" w:rsidRPr="002A28E1">
        <w:t>represent applicants</w:t>
      </w:r>
      <w:r w:rsidR="00A62B03" w:rsidRPr="002A28E1">
        <w:t xml:space="preserve"> in</w:t>
      </w:r>
      <w:r w:rsidR="00D300A2" w:rsidRPr="002A28E1">
        <w:t xml:space="preserve"> guardianship proceedings</w:t>
      </w:r>
      <w:r w:rsidR="00B3716B" w:rsidRPr="002A28E1">
        <w:t xml:space="preserve"> must </w:t>
      </w:r>
      <w:r w:rsidR="00E937C8" w:rsidRPr="002A28E1">
        <w:t xml:space="preserve">partake in one </w:t>
      </w:r>
      <w:r w:rsidR="006B185E" w:rsidRPr="002A28E1">
        <w:t>hour of</w:t>
      </w:r>
      <w:r w:rsidR="00C07099" w:rsidRPr="002A28E1">
        <w:t xml:space="preserve"> mandatory</w:t>
      </w:r>
      <w:r w:rsidR="006B185E" w:rsidRPr="002A28E1">
        <w:t xml:space="preserve"> training on alternatives to </w:t>
      </w:r>
      <w:r w:rsidR="00D73FB1" w:rsidRPr="002A28E1">
        <w:t xml:space="preserve">guardianship </w:t>
      </w:r>
      <w:r w:rsidR="002C7675" w:rsidRPr="002A28E1">
        <w:t>and supports and services.</w:t>
      </w:r>
      <w:r w:rsidR="001A4B2D" w:rsidRPr="002A28E1">
        <w:rPr>
          <w:rStyle w:val="FootnoteReference"/>
        </w:rPr>
        <w:footnoteReference w:id="873"/>
      </w:r>
    </w:p>
    <w:p w14:paraId="16AF86A2" w14:textId="66CCC339" w:rsidR="005E6239" w:rsidRPr="002A28E1" w:rsidRDefault="005E6239"/>
    <w:p w14:paraId="586A61C2" w14:textId="68365866" w:rsidR="005E6239" w:rsidRPr="002A28E1" w:rsidRDefault="005E6239">
      <w:r w:rsidRPr="002A28E1">
        <w:t>The Ward’s Bill of Rights</w:t>
      </w:r>
      <w:r w:rsidR="00195FEF" w:rsidRPr="002A28E1">
        <w:t xml:space="preserve"> lays out a comprehensive list of rights guaranteed to wards under guardianship.</w:t>
      </w:r>
      <w:r w:rsidR="00A74076" w:rsidRPr="002A28E1">
        <w:t xml:space="preserve"> </w:t>
      </w:r>
      <w:r w:rsidR="00DC38C0" w:rsidRPr="002A28E1">
        <w:t>T</w:t>
      </w:r>
      <w:r w:rsidR="00A74076" w:rsidRPr="002A28E1">
        <w:t xml:space="preserve">he Ward’s Bill of Rights </w:t>
      </w:r>
      <w:r w:rsidR="005E2AB4" w:rsidRPr="002A28E1">
        <w:t xml:space="preserve">opens by </w:t>
      </w:r>
      <w:r w:rsidR="00A74076" w:rsidRPr="002A28E1">
        <w:t>proclaim</w:t>
      </w:r>
      <w:r w:rsidR="008B400F" w:rsidRPr="002A28E1">
        <w:t>ing</w:t>
      </w:r>
      <w:r w:rsidR="00A74076" w:rsidRPr="002A28E1">
        <w:t xml:space="preserve"> that “a ward has all the rights, benefits</w:t>
      </w:r>
      <w:r w:rsidR="00D40AF6" w:rsidRPr="002A28E1">
        <w:t xml:space="preserve">, responsibilities and privileges granted by the constitution and laws of this state and the United States, except where specifically </w:t>
      </w:r>
      <w:r w:rsidR="004F3351" w:rsidRPr="002A28E1">
        <w:t>limited by a court-ordered guardianship or where otherwise lawfully restricted.”</w:t>
      </w:r>
      <w:r w:rsidR="00D2386B" w:rsidRPr="002A28E1">
        <w:rPr>
          <w:rStyle w:val="FootnoteReference"/>
        </w:rPr>
        <w:footnoteReference w:id="874"/>
      </w:r>
      <w:r w:rsidR="00D40AF6" w:rsidRPr="002A28E1">
        <w:t xml:space="preserve"> </w:t>
      </w:r>
      <w:r w:rsidR="00846C06" w:rsidRPr="002A28E1">
        <w:t>Amongst other guarantees, the law</w:t>
      </w:r>
      <w:r w:rsidR="00676314" w:rsidRPr="002A28E1">
        <w:t xml:space="preserve"> affirms that a ward is</w:t>
      </w:r>
      <w:r w:rsidR="00846C06" w:rsidRPr="002A28E1">
        <w:t xml:space="preserve"> </w:t>
      </w:r>
      <w:r w:rsidR="00676314" w:rsidRPr="002A28E1">
        <w:t>entitled to “consideration of the ward’s current and previously stated personal preferences, desires, medical and psychiatric treatment preferences, religious beliefs, living arrangements, and other preferences and opinions.”</w:t>
      </w:r>
      <w:r w:rsidR="0087107E" w:rsidRPr="002A28E1">
        <w:rPr>
          <w:rStyle w:val="FootnoteReference"/>
        </w:rPr>
        <w:footnoteReference w:id="875"/>
      </w:r>
      <w:r w:rsidR="00846C06" w:rsidRPr="002A28E1">
        <w:t xml:space="preserve"> </w:t>
      </w:r>
    </w:p>
    <w:p w14:paraId="07EA2696" w14:textId="3CD700B0" w:rsidR="00642A10" w:rsidRPr="002A28E1" w:rsidRDefault="00642A10"/>
    <w:p w14:paraId="5FC3A6BA" w14:textId="62C1161C" w:rsidR="00307288" w:rsidRPr="002A28E1" w:rsidRDefault="00642A10">
      <w:r w:rsidRPr="002A28E1">
        <w:t xml:space="preserve">Despite the fact that the US is not a State Party to the CRPD, the Texan legislation’s conformity to Article 12 of the CRPD </w:t>
      </w:r>
      <w:proofErr w:type="gramStart"/>
      <w:r w:rsidRPr="002A28E1">
        <w:t>can still be discussed</w:t>
      </w:r>
      <w:proofErr w:type="gramEnd"/>
      <w:r w:rsidRPr="002A28E1">
        <w:t>.</w:t>
      </w:r>
      <w:r w:rsidR="00204240" w:rsidRPr="002A28E1">
        <w:t xml:space="preserve"> </w:t>
      </w:r>
      <w:r w:rsidR="002B41E5" w:rsidRPr="002A28E1">
        <w:t>The legislation does</w:t>
      </w:r>
      <w:r w:rsidR="00204240" w:rsidRPr="002A28E1">
        <w:t xml:space="preserve"> provide for a system of supported decision-making</w:t>
      </w:r>
      <w:r w:rsidR="00974079" w:rsidRPr="002A28E1">
        <w:t xml:space="preserve"> allowing for the exercise of legal capacity</w:t>
      </w:r>
      <w:r w:rsidR="00307288" w:rsidRPr="002A28E1">
        <w:t xml:space="preserve">. The Act seems to present a genuine form of supported decision-making rather than a sort of </w:t>
      </w:r>
      <w:r w:rsidR="00307288" w:rsidRPr="002A28E1">
        <w:rPr>
          <w:i/>
        </w:rPr>
        <w:t xml:space="preserve">de facto </w:t>
      </w:r>
      <w:r w:rsidR="00307288" w:rsidRPr="002A28E1">
        <w:t xml:space="preserve">substitute decision-making, as it </w:t>
      </w:r>
      <w:proofErr w:type="gramStart"/>
      <w:r w:rsidR="00307288" w:rsidRPr="002A28E1">
        <w:t>is stipulated</w:t>
      </w:r>
      <w:proofErr w:type="gramEnd"/>
      <w:r w:rsidR="00307288" w:rsidRPr="002A28E1">
        <w:t xml:space="preserve"> that the supporter may not make decisions on the person’s behalf.</w:t>
      </w:r>
      <w:r w:rsidR="00307288" w:rsidRPr="002A28E1">
        <w:rPr>
          <w:rStyle w:val="FootnoteReference"/>
        </w:rPr>
        <w:footnoteReference w:id="876"/>
      </w:r>
    </w:p>
    <w:p w14:paraId="6DBA10C0" w14:textId="3A5C9A27" w:rsidR="00AF0130" w:rsidRPr="002A28E1" w:rsidRDefault="00AF0130"/>
    <w:p w14:paraId="4B4C2DB0" w14:textId="4E6F65BF" w:rsidR="00BA75BC" w:rsidRPr="000A4176" w:rsidRDefault="009A61B2" w:rsidP="00BA75BC">
      <w:r w:rsidRPr="000A4176">
        <w:t>Nonetheless</w:t>
      </w:r>
      <w:r w:rsidR="00BA75BC" w:rsidRPr="000A4176">
        <w:t>, Texan law does not appear to make supported decision-making accessible to all persons with disabilities, given that supported decision-making is only available to those who are “not considered incapacitated persons.”</w:t>
      </w:r>
      <w:r w:rsidR="00BA75BC" w:rsidRPr="000A4176">
        <w:rPr>
          <w:rStyle w:val="FootnoteReference"/>
        </w:rPr>
        <w:footnoteReference w:id="877"/>
      </w:r>
      <w:r w:rsidR="00BA75BC" w:rsidRPr="000A4176">
        <w:t xml:space="preserve"> This would suggest that supported decision-making </w:t>
      </w:r>
      <w:proofErr w:type="gramStart"/>
      <w:r w:rsidR="00BA75BC" w:rsidRPr="000A4176">
        <w:t>is intended</w:t>
      </w:r>
      <w:proofErr w:type="gramEnd"/>
      <w:r w:rsidR="00BA75BC" w:rsidRPr="000A4176">
        <w:t xml:space="preserve"> only for those with less</w:t>
      </w:r>
      <w:r w:rsidR="00AD23C6" w:rsidRPr="000A4176">
        <w:t xml:space="preserve"> intense </w:t>
      </w:r>
      <w:r w:rsidR="00B3656A" w:rsidRPr="000A4176">
        <w:t>support needs</w:t>
      </w:r>
      <w:r w:rsidR="00BA75BC" w:rsidRPr="000A4176">
        <w:t xml:space="preserve">, which would not be in keeping with the CRPD’s call to provide access to support to </w:t>
      </w:r>
      <w:r w:rsidR="00BA75BC" w:rsidRPr="000A4176">
        <w:rPr>
          <w:i/>
        </w:rPr>
        <w:t>all</w:t>
      </w:r>
      <w:r w:rsidR="00BA75BC" w:rsidRPr="000A4176">
        <w:t xml:space="preserve"> persons with disabilities. Indeed, the Committee </w:t>
      </w:r>
      <w:r w:rsidR="00BA75BC" w:rsidRPr="000A4176">
        <w:lastRenderedPageBreak/>
        <w:t xml:space="preserve">on the Rights of Persons with Disabilities has stated that the provision of support measures </w:t>
      </w:r>
      <w:proofErr w:type="gramStart"/>
      <w:r w:rsidR="00BA75BC" w:rsidRPr="000A4176">
        <w:t>should not be made</w:t>
      </w:r>
      <w:proofErr w:type="gramEnd"/>
      <w:r w:rsidR="00BA75BC" w:rsidRPr="000A4176">
        <w:t xml:space="preserve"> contingent on an evaluation of mental capacity.</w:t>
      </w:r>
      <w:r w:rsidR="00BA75BC" w:rsidRPr="000A4176">
        <w:rPr>
          <w:rStyle w:val="FootnoteReference"/>
        </w:rPr>
        <w:footnoteReference w:id="878"/>
      </w:r>
      <w:r w:rsidR="00BA75BC" w:rsidRPr="000A4176">
        <w:t xml:space="preserve"> </w:t>
      </w:r>
    </w:p>
    <w:p w14:paraId="0D929433" w14:textId="77777777" w:rsidR="00BA75BC" w:rsidRPr="002A28E1" w:rsidRDefault="00BA75BC"/>
    <w:p w14:paraId="6075E0EB" w14:textId="37E2F1E0" w:rsidR="00EF0E17" w:rsidRPr="002A28E1" w:rsidRDefault="00E634AC">
      <w:r w:rsidRPr="002A28E1">
        <w:t xml:space="preserve">The Act </w:t>
      </w:r>
      <w:r w:rsidR="00A53D73" w:rsidRPr="002A28E1">
        <w:t>does</w:t>
      </w:r>
      <w:r w:rsidRPr="002A28E1">
        <w:t xml:space="preserve"> contain certain safeguards to prevent abuse such as </w:t>
      </w:r>
      <w:r w:rsidR="00A9649D" w:rsidRPr="002A28E1">
        <w:t xml:space="preserve">the oversight exercised over the supporter by the Department </w:t>
      </w:r>
      <w:r w:rsidR="003C03A9" w:rsidRPr="002A28E1">
        <w:t>o</w:t>
      </w:r>
      <w:r w:rsidR="00A9649D" w:rsidRPr="002A28E1">
        <w:t>f Family and Protective Services.</w:t>
      </w:r>
      <w:r w:rsidR="005A51D9">
        <w:rPr>
          <w:rStyle w:val="FootnoteReference"/>
        </w:rPr>
        <w:footnoteReference w:id="879"/>
      </w:r>
      <w:r w:rsidR="00A9649D" w:rsidRPr="002A28E1">
        <w:t xml:space="preserve"> </w:t>
      </w:r>
      <w:r w:rsidRPr="002A28E1">
        <w:t>The Act provides that any person who receives a copy of a supported decision-making agreement or who knows of the existence of a supported decision-making agreement</w:t>
      </w:r>
      <w:r w:rsidR="00AD4D76" w:rsidRPr="002A28E1">
        <w:t xml:space="preserve"> and suspects that the person with disabilities is being </w:t>
      </w:r>
      <w:proofErr w:type="gramStart"/>
      <w:r w:rsidR="00AD4D76" w:rsidRPr="002A28E1">
        <w:t>abused</w:t>
      </w:r>
      <w:proofErr w:type="gramEnd"/>
      <w:r w:rsidR="00AD4D76" w:rsidRPr="002A28E1">
        <w:t xml:space="preserve">, neglected or exploited by the supporter </w:t>
      </w:r>
      <w:r w:rsidR="00804A13" w:rsidRPr="002A28E1">
        <w:t xml:space="preserve">should report </w:t>
      </w:r>
      <w:r w:rsidR="00524849" w:rsidRPr="002A28E1">
        <w:t xml:space="preserve">these allegations </w:t>
      </w:r>
      <w:r w:rsidR="00427148" w:rsidRPr="002A28E1">
        <w:t>to the Department of Family and Protective Services.</w:t>
      </w:r>
      <w:r w:rsidR="00437E0C" w:rsidRPr="002A28E1">
        <w:rPr>
          <w:rStyle w:val="FootnoteReference"/>
        </w:rPr>
        <w:footnoteReference w:id="880"/>
      </w:r>
      <w:r w:rsidR="000C0A34" w:rsidRPr="002A28E1">
        <w:t xml:space="preserve"> </w:t>
      </w:r>
      <w:r w:rsidR="00777C16" w:rsidRPr="002A28E1">
        <w:t xml:space="preserve">Nevertheless, the Act does not make explicit reference to upholding the “will and preferences” of persons with disabilities. </w:t>
      </w:r>
      <w:r w:rsidR="002421E3" w:rsidRPr="002A28E1">
        <w:t xml:space="preserve">Thus, the Act does not appear to provide for complaint mechanisms by which the actions of a support person </w:t>
      </w:r>
      <w:proofErr w:type="gramStart"/>
      <w:r w:rsidR="002421E3" w:rsidRPr="002A28E1">
        <w:t>can be challenged</w:t>
      </w:r>
      <w:proofErr w:type="gramEnd"/>
      <w:r w:rsidR="002421E3" w:rsidRPr="002A28E1">
        <w:t xml:space="preserve"> on the basis that they do not respect the will and preferences of the concerned person.</w:t>
      </w:r>
      <w:r w:rsidR="00C10674" w:rsidRPr="002A28E1">
        <w:t xml:space="preserve"> Additionally, the Act does not seem to stipulate any requirements for being a supporter.</w:t>
      </w:r>
    </w:p>
    <w:p w14:paraId="2C04711D" w14:textId="41741DF5" w:rsidR="00EF0E17" w:rsidRPr="002A28E1" w:rsidRDefault="00EF0E17">
      <w:pPr>
        <w:rPr>
          <w:highlight w:val="lightGray"/>
        </w:rPr>
      </w:pPr>
    </w:p>
    <w:p w14:paraId="1EAE113B" w14:textId="3E21A5D4" w:rsidR="00EF0E17" w:rsidRPr="002A28E1" w:rsidRDefault="00EF0E17">
      <w:pPr>
        <w:rPr>
          <w:highlight w:val="lightGray"/>
        </w:rPr>
      </w:pPr>
      <w:r w:rsidRPr="002A28E1">
        <w:t xml:space="preserve">The Texan legislative regime is problematic from the point of view of Article 12 given that it still allows for </w:t>
      </w:r>
      <w:r w:rsidR="00EB4C21">
        <w:t>substitute decision-making</w:t>
      </w:r>
      <w:r w:rsidR="00EB1BB1">
        <w:t xml:space="preserve"> in the form of guardianship</w:t>
      </w:r>
      <w:r w:rsidRPr="002A28E1">
        <w:t xml:space="preserve">. </w:t>
      </w:r>
      <w:proofErr w:type="gramStart"/>
      <w:r w:rsidRPr="002A28E1">
        <w:t xml:space="preserve">Under existing guardianship laws, the court may </w:t>
      </w:r>
      <w:r w:rsidR="00C208EB">
        <w:t xml:space="preserve">rely on medical evidence to </w:t>
      </w:r>
      <w:r w:rsidRPr="002A28E1">
        <w:t xml:space="preserve">declare that a proposed ward is </w:t>
      </w:r>
      <w:r w:rsidR="005955D0">
        <w:t>an “incapacitated person,” which</w:t>
      </w:r>
      <w:r w:rsidR="009F3CAF">
        <w:t>,</w:t>
      </w:r>
      <w:r w:rsidR="005955D0">
        <w:t xml:space="preserve"> under Texan law</w:t>
      </w:r>
      <w:r w:rsidR="009F3CAF">
        <w:t>,</w:t>
      </w:r>
      <w:r w:rsidR="005955D0">
        <w:t xml:space="preserve"> is a designation given to an </w:t>
      </w:r>
      <w:r w:rsidR="00BB78EB">
        <w:t>“</w:t>
      </w:r>
      <w:r w:rsidR="005955D0">
        <w:t>adult who</w:t>
      </w:r>
      <w:r w:rsidR="00BB78EB">
        <w:t xml:space="preserve">, because of a physical or mental condition, is </w:t>
      </w:r>
      <w:r w:rsidR="005955D0">
        <w:t>substantially unable to provide food, clothing, or shelter for himself or herself;</w:t>
      </w:r>
      <w:r w:rsidR="009F3CAF">
        <w:t xml:space="preserve"> or</w:t>
      </w:r>
      <w:r w:rsidR="005955D0">
        <w:t xml:space="preserve"> care for the person’s own physical health; or manage the person’s own financial affairs</w:t>
      </w:r>
      <w:r w:rsidR="0037211F">
        <w:t>.</w:t>
      </w:r>
      <w:r w:rsidRPr="002A28E1">
        <w:t>”</w:t>
      </w:r>
      <w:r w:rsidR="00920E8A" w:rsidRPr="002A28E1">
        <w:rPr>
          <w:rStyle w:val="FootnoteReference"/>
        </w:rPr>
        <w:footnoteReference w:id="881"/>
      </w:r>
      <w:proofErr w:type="gramEnd"/>
      <w:r w:rsidR="00920E8A" w:rsidRPr="002A28E1">
        <w:t xml:space="preserve"> </w:t>
      </w:r>
      <w:r w:rsidR="00B90A26">
        <w:t xml:space="preserve">Once this finding of incapacitation </w:t>
      </w:r>
      <w:proofErr w:type="gramStart"/>
      <w:r w:rsidR="00B90A26">
        <w:t>is made</w:t>
      </w:r>
      <w:proofErr w:type="gramEnd"/>
      <w:r w:rsidR="00B90A26">
        <w:t>, the court</w:t>
      </w:r>
      <w:r w:rsidR="00920E8A" w:rsidRPr="002A28E1">
        <w:t xml:space="preserve"> then proceed</w:t>
      </w:r>
      <w:r w:rsidR="00AA7D09">
        <w:t>s</w:t>
      </w:r>
      <w:r w:rsidR="00920E8A" w:rsidRPr="002A28E1">
        <w:t xml:space="preserve"> to appoint a guardian for </w:t>
      </w:r>
      <w:r w:rsidR="00613A60">
        <w:t>a given</w:t>
      </w:r>
      <w:r w:rsidR="00920E8A" w:rsidRPr="002A28E1">
        <w:t xml:space="preserve"> person.</w:t>
      </w:r>
      <w:r w:rsidR="00613A60">
        <w:rPr>
          <w:rStyle w:val="FootnoteReference"/>
        </w:rPr>
        <w:footnoteReference w:id="882"/>
      </w:r>
      <w:r w:rsidR="00697662" w:rsidRPr="002A28E1">
        <w:t xml:space="preserve"> </w:t>
      </w:r>
      <w:r w:rsidR="00974079" w:rsidRPr="002A28E1">
        <w:t>Guardianship</w:t>
      </w:r>
      <w:r w:rsidR="00697662" w:rsidRPr="002A28E1">
        <w:t xml:space="preserve"> proceedings </w:t>
      </w:r>
      <w:proofErr w:type="gramStart"/>
      <w:r w:rsidR="00697662" w:rsidRPr="002A28E1">
        <w:t xml:space="preserve">may be </w:t>
      </w:r>
      <w:r w:rsidR="00974079" w:rsidRPr="002A28E1">
        <w:t>initiated</w:t>
      </w:r>
      <w:proofErr w:type="gramEnd"/>
      <w:r w:rsidR="00697662" w:rsidRPr="002A28E1">
        <w:t xml:space="preserve"> by any person or by the court.</w:t>
      </w:r>
      <w:r w:rsidR="00733858">
        <w:rPr>
          <w:rStyle w:val="FootnoteReference"/>
        </w:rPr>
        <w:footnoteReference w:id="883"/>
      </w:r>
      <w:r w:rsidR="006B36AF">
        <w:t xml:space="preserve"> Thus, Texan law allows for restrictions of legal capacity </w:t>
      </w:r>
      <w:r w:rsidR="00B311AC">
        <w:t xml:space="preserve">based on </w:t>
      </w:r>
      <w:r w:rsidR="00045ED6">
        <w:t xml:space="preserve">some combination of the diagnosis of an impairment and </w:t>
      </w:r>
      <w:r w:rsidR="008D72B3">
        <w:t xml:space="preserve">an </w:t>
      </w:r>
      <w:r w:rsidR="00B311AC">
        <w:t>assessment of decision-making skills.</w:t>
      </w:r>
      <w:r w:rsidR="00D57787">
        <w:rPr>
          <w:rStyle w:val="FootnoteReference"/>
        </w:rPr>
        <w:footnoteReference w:id="884"/>
      </w:r>
    </w:p>
    <w:p w14:paraId="3FAD7ADB" w14:textId="7D4EFEF8" w:rsidR="00090FDB" w:rsidRPr="002A28E1" w:rsidRDefault="00090FDB"/>
    <w:p w14:paraId="5A986102" w14:textId="4494C623" w:rsidR="00090FDB" w:rsidRPr="002A28E1" w:rsidRDefault="00090FDB">
      <w:r w:rsidRPr="002A28E1">
        <w:t>In spite of its shortcomings, the Texan legislative</w:t>
      </w:r>
      <w:r w:rsidR="00A01EE4" w:rsidRPr="002A28E1">
        <w:t xml:space="preserve"> </w:t>
      </w:r>
      <w:r w:rsidR="001E2C26" w:rsidRPr="002A28E1">
        <w:t>refo</w:t>
      </w:r>
      <w:r w:rsidR="002D5F90">
        <w:t>r</w:t>
      </w:r>
      <w:r w:rsidR="001E2C26" w:rsidRPr="002A28E1">
        <w:t xml:space="preserve">m </w:t>
      </w:r>
      <w:r w:rsidRPr="002A28E1">
        <w:t xml:space="preserve">undoubtedly makes strides towards the empowerment of persons </w:t>
      </w:r>
      <w:r w:rsidRPr="00B420F9">
        <w:t>with disabilities.</w:t>
      </w:r>
      <w:r w:rsidR="00646B44" w:rsidRPr="00B420F9">
        <w:t xml:space="preserve"> </w:t>
      </w:r>
      <w:r w:rsidR="00FE52D6" w:rsidRPr="00B420F9">
        <w:t>Additionally, a</w:t>
      </w:r>
      <w:r w:rsidR="00123507" w:rsidRPr="00B420F9">
        <w:t xml:space="preserve">s asserted by Theodorou, the </w:t>
      </w:r>
      <w:r w:rsidR="00D824AE" w:rsidRPr="00B420F9">
        <w:t>passage of th</w:t>
      </w:r>
      <w:r w:rsidR="00710147" w:rsidRPr="00B420F9">
        <w:t xml:space="preserve">is </w:t>
      </w:r>
      <w:r w:rsidR="0027253B" w:rsidRPr="00B420F9">
        <w:t>legislation</w:t>
      </w:r>
      <w:r w:rsidR="007B0CE6" w:rsidRPr="00B420F9">
        <w:t xml:space="preserve"> in Texas </w:t>
      </w:r>
      <w:r w:rsidR="0013712A" w:rsidRPr="00B420F9">
        <w:t xml:space="preserve">demonstrates that </w:t>
      </w:r>
      <w:r w:rsidR="005B17F7" w:rsidRPr="00B420F9">
        <w:t xml:space="preserve">“the concept of </w:t>
      </w:r>
      <w:r w:rsidR="003472B2" w:rsidRPr="00B420F9">
        <w:t>self-determination for people with disabilities is resonating broadly, even when the UN and international community’s</w:t>
      </w:r>
      <w:r w:rsidR="005B122F" w:rsidRPr="00B420F9">
        <w:t xml:space="preserve"> stamp of approval is not emphasized.”</w:t>
      </w:r>
      <w:r w:rsidR="00E12395" w:rsidRPr="00B420F9">
        <w:rPr>
          <w:rStyle w:val="FootnoteReference"/>
        </w:rPr>
        <w:footnoteReference w:id="885"/>
      </w:r>
      <w:r w:rsidR="003C4B0B" w:rsidRPr="00B420F9">
        <w:t xml:space="preserve"> The Texan case </w:t>
      </w:r>
      <w:r w:rsidR="002056E0">
        <w:t>demonstrates</w:t>
      </w:r>
      <w:r w:rsidR="003C4B0B" w:rsidRPr="00B420F9">
        <w:t xml:space="preserve"> that </w:t>
      </w:r>
      <w:r w:rsidR="00DC10D3" w:rsidRPr="00B420F9">
        <w:t>it is possible for there to be a groundswell of support for legislative change in the area of disability rights without the pressure of the CRPD.</w:t>
      </w:r>
    </w:p>
    <w:p w14:paraId="01569253" w14:textId="77777777" w:rsidR="00AE4A99" w:rsidRPr="002A28E1" w:rsidRDefault="00AE4A99" w:rsidP="00AE4A99"/>
    <w:p w14:paraId="11330293" w14:textId="2B06E780" w:rsidR="00AE4A99" w:rsidRPr="002A28E1" w:rsidRDefault="00AE4A99" w:rsidP="00AE4A99"/>
    <w:p w14:paraId="42EBE0FB" w14:textId="6E22E1F6" w:rsidR="00022349" w:rsidRPr="002A28E1" w:rsidRDefault="00022349">
      <w:r w:rsidRPr="002A28E1">
        <w:br w:type="page"/>
      </w:r>
    </w:p>
    <w:p w14:paraId="3D598416" w14:textId="70611B98" w:rsidR="00022349" w:rsidRPr="002A28E1" w:rsidRDefault="00022349" w:rsidP="00D93BFE">
      <w:pPr>
        <w:pStyle w:val="Heading1"/>
      </w:pPr>
      <w:bookmarkStart w:id="101" w:name="_Toc16081768"/>
      <w:r w:rsidRPr="002A28E1">
        <w:lastRenderedPageBreak/>
        <w:t>Australia</w:t>
      </w:r>
      <w:r w:rsidR="00243D04" w:rsidRPr="002A28E1">
        <w:t>: Victoria</w:t>
      </w:r>
      <w:bookmarkEnd w:id="101"/>
    </w:p>
    <w:p w14:paraId="19D4136A" w14:textId="77777777" w:rsidR="00592835" w:rsidRPr="002A28E1" w:rsidRDefault="006C4171" w:rsidP="00FF32C6">
      <w:r w:rsidRPr="002A28E1">
        <w:t xml:space="preserve">Australia ratified the CRPD in 2009, accompanied by a declaration whereby </w:t>
      </w:r>
      <w:r w:rsidR="006146EA" w:rsidRPr="002A28E1">
        <w:t xml:space="preserve">the country </w:t>
      </w:r>
      <w:r w:rsidR="001A6305" w:rsidRPr="002A28E1">
        <w:t>affirm</w:t>
      </w:r>
      <w:r w:rsidR="00D92D79" w:rsidRPr="002A28E1">
        <w:t xml:space="preserve">ed </w:t>
      </w:r>
      <w:r w:rsidR="00DA4F9C" w:rsidRPr="002A28E1">
        <w:t xml:space="preserve">its </w:t>
      </w:r>
      <w:r w:rsidR="001A6305" w:rsidRPr="002A28E1">
        <w:t xml:space="preserve">“understanding that the Convention allows for fully supported or substituted decision-making </w:t>
      </w:r>
      <w:r w:rsidR="00311DFD" w:rsidRPr="002A28E1">
        <w:t>arrangements</w:t>
      </w:r>
      <w:r w:rsidR="001A6305" w:rsidRPr="002A28E1">
        <w:t>,</w:t>
      </w:r>
      <w:r w:rsidR="00356EE8" w:rsidRPr="002A28E1">
        <w:t xml:space="preserve"> which provide for decisions to be made on behalf of a person, </w:t>
      </w:r>
      <w:r w:rsidR="00003B2E" w:rsidRPr="002A28E1">
        <w:t xml:space="preserve">only where such arrangements are necessary, </w:t>
      </w:r>
      <w:r w:rsidR="00DA5196" w:rsidRPr="002A28E1">
        <w:t>as last resort and subject to safeguards</w:t>
      </w:r>
      <w:r w:rsidR="00005EF3" w:rsidRPr="002A28E1">
        <w:t>.”</w:t>
      </w:r>
      <w:r w:rsidR="00397DB2" w:rsidRPr="002A28E1">
        <w:rPr>
          <w:rStyle w:val="FootnoteReference"/>
        </w:rPr>
        <w:footnoteReference w:id="886"/>
      </w:r>
      <w:r w:rsidR="00311DFD" w:rsidRPr="002A28E1">
        <w:t xml:space="preserve"> </w:t>
      </w:r>
    </w:p>
    <w:p w14:paraId="3AD4CEDB" w14:textId="77777777" w:rsidR="00592835" w:rsidRPr="002A28E1" w:rsidRDefault="00592835" w:rsidP="00FF32C6"/>
    <w:p w14:paraId="2C3DA7BF" w14:textId="10C331B3" w:rsidR="006C4171" w:rsidRPr="002A28E1" w:rsidRDefault="002A316F" w:rsidP="00FF32C6">
      <w:r w:rsidRPr="002A28E1">
        <w:t>In 2014, the Australian Law Reform Commission</w:t>
      </w:r>
      <w:r w:rsidR="00982AE7" w:rsidRPr="002A28E1">
        <w:t xml:space="preserve"> issued a report entitled “Equality, Capacity and Disability in Commonwealth Laws</w:t>
      </w:r>
      <w:r w:rsidR="005C40DC" w:rsidRPr="002A28E1">
        <w:t>,</w:t>
      </w:r>
      <w:r w:rsidR="00EC2F8C" w:rsidRPr="002A28E1">
        <w:t>”</w:t>
      </w:r>
      <w:r w:rsidR="005C40DC" w:rsidRPr="002A28E1">
        <w:t xml:space="preserve"> </w:t>
      </w:r>
      <w:r w:rsidR="00592835" w:rsidRPr="002A28E1">
        <w:t xml:space="preserve">which </w:t>
      </w:r>
      <w:r w:rsidR="005C40DC" w:rsidRPr="002A28E1">
        <w:t xml:space="preserve">put forward </w:t>
      </w:r>
      <w:r w:rsidR="00887093" w:rsidRPr="002A28E1">
        <w:t xml:space="preserve">guiding principles to reform Australian law </w:t>
      </w:r>
      <w:r w:rsidR="00F430D9" w:rsidRPr="002A28E1">
        <w:t>in line with the CRPD.</w:t>
      </w:r>
      <w:r w:rsidR="000B27E8" w:rsidRPr="002A28E1">
        <w:rPr>
          <w:rStyle w:val="FootnoteReference"/>
        </w:rPr>
        <w:footnoteReference w:id="887"/>
      </w:r>
      <w:r w:rsidR="00EC2F8C" w:rsidRPr="002A28E1">
        <w:t xml:space="preserve"> This report recommended that national, state and territory laws </w:t>
      </w:r>
      <w:r w:rsidR="00455B59" w:rsidRPr="002A28E1">
        <w:t xml:space="preserve">be </w:t>
      </w:r>
      <w:r w:rsidR="00D1518F" w:rsidRPr="002A28E1">
        <w:t>changed</w:t>
      </w:r>
      <w:r w:rsidR="008544F4" w:rsidRPr="002A28E1">
        <w:t xml:space="preserve"> “to ensure that supported decision-making is encourage</w:t>
      </w:r>
      <w:r w:rsidR="002C0496" w:rsidRPr="002A28E1">
        <w:t>d</w:t>
      </w:r>
      <w:r w:rsidR="008544F4" w:rsidRPr="002A28E1">
        <w:t xml:space="preserve">, representative decision-makers are appointed only as a last resort; and the will preferences and rights of </w:t>
      </w:r>
      <w:proofErr w:type="gramStart"/>
      <w:r w:rsidR="008544F4" w:rsidRPr="002A28E1">
        <w:t>persons</w:t>
      </w:r>
      <w:proofErr w:type="gramEnd"/>
      <w:r w:rsidR="008544F4" w:rsidRPr="002A28E1">
        <w:t xml:space="preserve"> direct decisions that affect their lives.”</w:t>
      </w:r>
      <w:r w:rsidR="00DD0AAE" w:rsidRPr="002A28E1">
        <w:rPr>
          <w:rStyle w:val="FootnoteReference"/>
        </w:rPr>
        <w:footnoteReference w:id="888"/>
      </w:r>
      <w:r w:rsidR="00047091" w:rsidRPr="002A28E1">
        <w:t xml:space="preserve">  </w:t>
      </w:r>
      <w:r w:rsidR="00001A3A" w:rsidRPr="002A28E1">
        <w:t xml:space="preserve">The </w:t>
      </w:r>
      <w:proofErr w:type="gramStart"/>
      <w:r w:rsidR="00001A3A" w:rsidRPr="002A28E1">
        <w:t>report was prepared by the</w:t>
      </w:r>
      <w:r w:rsidR="00047091" w:rsidRPr="002A28E1">
        <w:t xml:space="preserve"> independent body of commissioners</w:t>
      </w:r>
      <w:proofErr w:type="gramEnd"/>
      <w:r w:rsidR="00047091" w:rsidRPr="002A28E1">
        <w:t xml:space="preserve"> </w:t>
      </w:r>
      <w:r w:rsidR="000B3678" w:rsidRPr="002A28E1">
        <w:t>and</w:t>
      </w:r>
      <w:r w:rsidR="00047091" w:rsidRPr="002A28E1">
        <w:t xml:space="preserve"> an advisory committee comprised of academics, members of the judiciary, and </w:t>
      </w:r>
      <w:r w:rsidR="00EC2F8C" w:rsidRPr="002A28E1">
        <w:t>members of civil society</w:t>
      </w:r>
      <w:r w:rsidR="00405BC2" w:rsidRPr="002A28E1">
        <w:t>.</w:t>
      </w:r>
      <w:r w:rsidR="001C4555" w:rsidRPr="002A28E1">
        <w:t xml:space="preserve"> </w:t>
      </w:r>
      <w:r w:rsidR="00DF351E" w:rsidRPr="002A28E1">
        <w:t xml:space="preserve">The </w:t>
      </w:r>
      <w:r w:rsidR="00D43C4A" w:rsidRPr="002A28E1">
        <w:t xml:space="preserve">report </w:t>
      </w:r>
      <w:r w:rsidR="0007156D" w:rsidRPr="002A28E1">
        <w:t xml:space="preserve">has not been </w:t>
      </w:r>
      <w:r w:rsidR="00763424" w:rsidRPr="002A28E1">
        <w:t>officially “endorsed” by the Australian Government.</w:t>
      </w:r>
      <w:r w:rsidR="005B033A" w:rsidRPr="002A28E1">
        <w:rPr>
          <w:rStyle w:val="FootnoteReference"/>
        </w:rPr>
        <w:footnoteReference w:id="889"/>
      </w:r>
    </w:p>
    <w:p w14:paraId="298ADB1D" w14:textId="4F04A008" w:rsidR="004C5DB6" w:rsidRPr="002A28E1" w:rsidRDefault="004C5DB6" w:rsidP="00FF32C6">
      <w:pPr>
        <w:rPr>
          <w:b/>
          <w:sz w:val="32"/>
          <w:szCs w:val="32"/>
        </w:rPr>
      </w:pPr>
    </w:p>
    <w:p w14:paraId="3D389DBD" w14:textId="06D5CF72" w:rsidR="00C9121A" w:rsidRPr="002A28E1" w:rsidRDefault="006F2091" w:rsidP="00FF32C6">
      <w:r w:rsidRPr="002A28E1">
        <w:t xml:space="preserve">In 2012, </w:t>
      </w:r>
      <w:r w:rsidR="00D12EC1" w:rsidRPr="002A28E1">
        <w:t>the Victoria Law Reform Commission</w:t>
      </w:r>
      <w:r w:rsidR="002344DB" w:rsidRPr="002A28E1">
        <w:t xml:space="preserve"> (VLRC)</w:t>
      </w:r>
      <w:r w:rsidR="00D12EC1" w:rsidRPr="002A28E1">
        <w:t xml:space="preserve"> </w:t>
      </w:r>
      <w:r w:rsidR="00245D6F" w:rsidRPr="002A28E1">
        <w:t xml:space="preserve">undertook a review of </w:t>
      </w:r>
      <w:r w:rsidR="006B08C4" w:rsidRPr="002A28E1">
        <w:t>Victoria’s guardianship legislation</w:t>
      </w:r>
      <w:r w:rsidR="001875EC" w:rsidRPr="002A28E1">
        <w:t xml:space="preserve"> at the behest </w:t>
      </w:r>
      <w:r w:rsidR="00AF0497" w:rsidRPr="002A28E1">
        <w:t>of the Attorney-General.</w:t>
      </w:r>
      <w:r w:rsidR="00850150">
        <w:rPr>
          <w:rStyle w:val="FootnoteReference"/>
        </w:rPr>
        <w:footnoteReference w:id="890"/>
      </w:r>
      <w:r w:rsidR="00E17025">
        <w:t xml:space="preserve"> A number of community organisations </w:t>
      </w:r>
      <w:r w:rsidR="004A4901">
        <w:t>participated in consultations and advanced submissions to the Commission, including the Victorian Equal Opportunity and Human Rights Commission, Seniors Rights Victoria, and Communication Rights Australia.</w:t>
      </w:r>
      <w:r w:rsidR="004A4901">
        <w:rPr>
          <w:rStyle w:val="FootnoteReference"/>
        </w:rPr>
        <w:footnoteReference w:id="891"/>
      </w:r>
      <w:r w:rsidR="007A1ECC" w:rsidRPr="002A28E1">
        <w:t xml:space="preserve"> </w:t>
      </w:r>
      <w:r w:rsidR="00335502" w:rsidRPr="002A28E1">
        <w:t>Part of the</w:t>
      </w:r>
      <w:r w:rsidR="00300882" w:rsidRPr="002A28E1">
        <w:t xml:space="preserve"> mandate of</w:t>
      </w:r>
      <w:r w:rsidR="00647E5D" w:rsidRPr="002A28E1">
        <w:t xml:space="preserve"> the</w:t>
      </w:r>
      <w:r w:rsidR="00D82939" w:rsidRPr="002A28E1">
        <w:t xml:space="preserve"> Victorian Law Reform Commission was</w:t>
      </w:r>
      <w:r w:rsidR="00E019FF" w:rsidRPr="002A28E1">
        <w:t xml:space="preserve"> to </w:t>
      </w:r>
      <w:r w:rsidR="004217DA" w:rsidRPr="002A28E1">
        <w:t>assess</w:t>
      </w:r>
      <w:r w:rsidR="00491FE1" w:rsidRPr="002A28E1">
        <w:t xml:space="preserve"> Victoria’s </w:t>
      </w:r>
      <w:r w:rsidR="0059469B" w:rsidRPr="002A28E1">
        <w:t xml:space="preserve">laws having regard to </w:t>
      </w:r>
      <w:r w:rsidR="004379D2" w:rsidRPr="002A28E1">
        <w:t>the General Principles</w:t>
      </w:r>
      <w:r w:rsidR="0062745A" w:rsidRPr="002A28E1">
        <w:t xml:space="preserve"> and provisions of </w:t>
      </w:r>
      <w:r w:rsidR="00AD2E2A" w:rsidRPr="002A28E1">
        <w:t>the CRDP.</w:t>
      </w:r>
      <w:r w:rsidR="00A441E8" w:rsidRPr="002A28E1">
        <w:rPr>
          <w:rStyle w:val="FootnoteReference"/>
        </w:rPr>
        <w:footnoteReference w:id="892"/>
      </w:r>
      <w:r w:rsidR="00273264" w:rsidRPr="002A28E1">
        <w:t xml:space="preserve"> Inter</w:t>
      </w:r>
      <w:r w:rsidR="000566E8" w:rsidRPr="002A28E1">
        <w:t xml:space="preserve"> </w:t>
      </w:r>
      <w:r w:rsidR="00273264" w:rsidRPr="002A28E1">
        <w:t xml:space="preserve">alia, </w:t>
      </w:r>
      <w:r w:rsidR="0013689F" w:rsidRPr="002A28E1">
        <w:t xml:space="preserve">the VLRC </w:t>
      </w:r>
      <w:r w:rsidR="009A5F8F" w:rsidRPr="002A28E1">
        <w:t xml:space="preserve">recommended the establishment of </w:t>
      </w:r>
      <w:r w:rsidR="008E7648" w:rsidRPr="002A28E1">
        <w:t>supported decision-making and co-decision-making measures</w:t>
      </w:r>
      <w:r w:rsidR="003737F5" w:rsidRPr="002A28E1">
        <w:t xml:space="preserve">, </w:t>
      </w:r>
      <w:r w:rsidR="008E67BF" w:rsidRPr="002A28E1">
        <w:t xml:space="preserve">all </w:t>
      </w:r>
      <w:r w:rsidR="003737F5" w:rsidRPr="002A28E1">
        <w:t>while maintaining</w:t>
      </w:r>
      <w:r w:rsidR="008E42BC" w:rsidRPr="002A28E1">
        <w:t xml:space="preserve"> </w:t>
      </w:r>
      <w:r w:rsidR="005D7AE5" w:rsidRPr="002A28E1">
        <w:t xml:space="preserve">the </w:t>
      </w:r>
      <w:r w:rsidR="003A1A5A" w:rsidRPr="002A28E1">
        <w:t>existing</w:t>
      </w:r>
      <w:r w:rsidR="003C0490" w:rsidRPr="002A28E1">
        <w:t xml:space="preserve"> </w:t>
      </w:r>
      <w:r w:rsidR="005D7AE5" w:rsidRPr="002A28E1">
        <w:t>alternative of</w:t>
      </w:r>
      <w:r w:rsidR="00C442D7" w:rsidRPr="002A28E1">
        <w:t xml:space="preserve"> </w:t>
      </w:r>
      <w:r w:rsidR="00F01495" w:rsidRPr="002A28E1">
        <w:t>substitute decision-making</w:t>
      </w:r>
      <w:r w:rsidR="00383F5A" w:rsidRPr="002A28E1">
        <w:t>.</w:t>
      </w:r>
      <w:r w:rsidR="00B71E71" w:rsidRPr="002A28E1">
        <w:rPr>
          <w:rStyle w:val="FootnoteReference"/>
        </w:rPr>
        <w:footnoteReference w:id="893"/>
      </w:r>
      <w:r w:rsidR="00BB24F3" w:rsidRPr="002A28E1">
        <w:t xml:space="preserve"> </w:t>
      </w:r>
    </w:p>
    <w:p w14:paraId="1577E6FF" w14:textId="77777777" w:rsidR="00C9121A" w:rsidRPr="002A28E1" w:rsidRDefault="00C9121A" w:rsidP="00FF32C6"/>
    <w:p w14:paraId="49B956D3" w14:textId="2CF172F6" w:rsidR="0095286D" w:rsidRPr="002A28E1" w:rsidRDefault="006A07F6" w:rsidP="00FF32C6">
      <w:r w:rsidRPr="002A28E1">
        <w:t xml:space="preserve">In the </w:t>
      </w:r>
      <w:r w:rsidR="00604778" w:rsidRPr="002A28E1">
        <w:t xml:space="preserve">wake of </w:t>
      </w:r>
      <w:r w:rsidR="000702E7" w:rsidRPr="002A28E1">
        <w:t>the VLRC</w:t>
      </w:r>
      <w:r w:rsidR="00D90931" w:rsidRPr="002A28E1">
        <w:t>’s</w:t>
      </w:r>
      <w:r w:rsidR="00604778" w:rsidRPr="002A28E1">
        <w:t xml:space="preserve"> </w:t>
      </w:r>
      <w:r w:rsidR="00A03F2E" w:rsidRPr="002A28E1">
        <w:t xml:space="preserve">report, </w:t>
      </w:r>
      <w:r w:rsidR="00E94454" w:rsidRPr="002A28E1">
        <w:t xml:space="preserve">the </w:t>
      </w:r>
      <w:r w:rsidR="00950695" w:rsidRPr="002A28E1">
        <w:t xml:space="preserve">Powers of Attorney Act (2014) </w:t>
      </w:r>
      <w:proofErr w:type="gramStart"/>
      <w:r w:rsidR="00C659B8" w:rsidRPr="002A28E1">
        <w:t>was enacted</w:t>
      </w:r>
      <w:proofErr w:type="gramEnd"/>
      <w:r w:rsidR="007E1917" w:rsidRPr="002A28E1">
        <w:t xml:space="preserve">, allowing for the appointment </w:t>
      </w:r>
      <w:r w:rsidR="0050680C" w:rsidRPr="002A28E1">
        <w:t>of a “supportive attorney</w:t>
      </w:r>
      <w:r w:rsidR="00A3161A" w:rsidRPr="002A28E1">
        <w:t>.</w:t>
      </w:r>
      <w:r w:rsidR="003D3124" w:rsidRPr="002A28E1">
        <w:t>”</w:t>
      </w:r>
      <w:bookmarkStart w:id="102" w:name="_Ref15310166"/>
      <w:r w:rsidR="00A63FB5" w:rsidRPr="002A28E1">
        <w:rPr>
          <w:rStyle w:val="FootnoteReference"/>
        </w:rPr>
        <w:footnoteReference w:id="894"/>
      </w:r>
      <w:bookmarkEnd w:id="102"/>
      <w:r w:rsidR="00327574" w:rsidRPr="002A28E1">
        <w:t xml:space="preserve"> The supportive attorney “supports the person making the appointment to make and give effect to the person’s own decisions</w:t>
      </w:r>
      <w:r w:rsidR="00B74689" w:rsidRPr="002A28E1">
        <w:t>.</w:t>
      </w:r>
      <w:r w:rsidR="00327574" w:rsidRPr="002A28E1">
        <w:t>”</w:t>
      </w:r>
      <w:r w:rsidR="007359AC" w:rsidRPr="002A28E1">
        <w:rPr>
          <w:rStyle w:val="FootnoteReference"/>
        </w:rPr>
        <w:footnoteReference w:id="895"/>
      </w:r>
      <w:r w:rsidR="00B74689" w:rsidRPr="002A28E1">
        <w:t xml:space="preserve"> </w:t>
      </w:r>
      <w:r w:rsidR="001745F6" w:rsidRPr="002A28E1">
        <w:t xml:space="preserve">The </w:t>
      </w:r>
      <w:r w:rsidR="00CC0ED2" w:rsidRPr="002A28E1">
        <w:t xml:space="preserve">supportive attorney may assist </w:t>
      </w:r>
      <w:r w:rsidR="007D18D9" w:rsidRPr="002A28E1">
        <w:t xml:space="preserve">with </w:t>
      </w:r>
      <w:r w:rsidR="006B4D68" w:rsidRPr="002A28E1">
        <w:t xml:space="preserve">decisions </w:t>
      </w:r>
      <w:r w:rsidR="006A7F78" w:rsidRPr="002A28E1">
        <w:t xml:space="preserve">relating to “personal or financial or other matters </w:t>
      </w:r>
      <w:r w:rsidR="006A7F78" w:rsidRPr="002A28E1">
        <w:lastRenderedPageBreak/>
        <w:t>specified in the appointment.”</w:t>
      </w:r>
      <w:r w:rsidR="00140418" w:rsidRPr="002A28E1">
        <w:rPr>
          <w:rStyle w:val="FootnoteReference"/>
        </w:rPr>
        <w:footnoteReference w:id="896"/>
      </w:r>
      <w:r w:rsidR="00764219" w:rsidRPr="002A28E1">
        <w:t xml:space="preserve"> Thus, the supportive attorney does not make decisions on behalf of the principal, </w:t>
      </w:r>
      <w:r w:rsidR="00CF386D" w:rsidRPr="002A28E1">
        <w:t xml:space="preserve">as </w:t>
      </w:r>
      <w:r w:rsidR="00A75AB0" w:rsidRPr="002A28E1">
        <w:t xml:space="preserve">is the case with the general or enduring powers of </w:t>
      </w:r>
      <w:proofErr w:type="gramStart"/>
      <w:r w:rsidR="00A75AB0" w:rsidRPr="002A28E1">
        <w:t>attorney which</w:t>
      </w:r>
      <w:proofErr w:type="gramEnd"/>
      <w:r w:rsidR="00A75AB0" w:rsidRPr="002A28E1">
        <w:t xml:space="preserve"> continue to be available under the Act.</w:t>
      </w:r>
      <w:r w:rsidR="00FA50AB" w:rsidRPr="002A28E1">
        <w:rPr>
          <w:rStyle w:val="FootnoteReference"/>
        </w:rPr>
        <w:footnoteReference w:id="897"/>
      </w:r>
      <w:r w:rsidR="00A75AB0" w:rsidRPr="002A28E1">
        <w:t xml:space="preserve"> </w:t>
      </w:r>
      <w:r w:rsidR="00551204" w:rsidRPr="002A28E1">
        <w:t>A principal may authorise a supportive attorney to access, collect or obtain information</w:t>
      </w:r>
      <w:r w:rsidR="000A1EE9" w:rsidRPr="002A28E1">
        <w:t>;</w:t>
      </w:r>
      <w:bookmarkStart w:id="103" w:name="_Ref15375756"/>
      <w:r w:rsidR="00551204" w:rsidRPr="002A28E1">
        <w:rPr>
          <w:rStyle w:val="FootnoteReference"/>
        </w:rPr>
        <w:footnoteReference w:id="898"/>
      </w:r>
      <w:bookmarkEnd w:id="103"/>
      <w:r w:rsidR="00547515" w:rsidRPr="002A28E1">
        <w:t xml:space="preserve"> to communicate or help them to communicate supported decisions;</w:t>
      </w:r>
      <w:r w:rsidR="00547515" w:rsidRPr="002A28E1">
        <w:rPr>
          <w:rStyle w:val="FootnoteReference"/>
        </w:rPr>
        <w:footnoteReference w:id="899"/>
      </w:r>
      <w:r w:rsidR="00C46D46" w:rsidRPr="002A28E1">
        <w:t xml:space="preserve"> or to do “anything that is reasonably necessary to give effect to a supported decision.”</w:t>
      </w:r>
      <w:r w:rsidR="00C46D46" w:rsidRPr="002A28E1">
        <w:rPr>
          <w:rStyle w:val="FootnoteReference"/>
        </w:rPr>
        <w:footnoteReference w:id="900"/>
      </w:r>
    </w:p>
    <w:p w14:paraId="77F6D077" w14:textId="77777777" w:rsidR="0095286D" w:rsidRPr="002A28E1" w:rsidRDefault="0095286D" w:rsidP="00FF32C6"/>
    <w:p w14:paraId="7F7C2B18" w14:textId="5B64186D" w:rsidR="004C5DB6" w:rsidRPr="002A28E1" w:rsidRDefault="002E7E0D" w:rsidP="00FF32C6">
      <w:pPr>
        <w:rPr>
          <w:highlight w:val="lightGray"/>
        </w:rPr>
      </w:pPr>
      <w:r w:rsidRPr="00B628F5">
        <w:t>In order to appoint a supportive attorney, a person must have</w:t>
      </w:r>
      <w:r w:rsidR="008518A5" w:rsidRPr="00B628F5">
        <w:t xml:space="preserve"> the decision-making capacity </w:t>
      </w:r>
      <w:proofErr w:type="gramStart"/>
      <w:r w:rsidR="008518A5" w:rsidRPr="00B628F5">
        <w:t>with regards to</w:t>
      </w:r>
      <w:proofErr w:type="gramEnd"/>
      <w:r w:rsidR="008518A5" w:rsidRPr="00B628F5">
        <w:t xml:space="preserve"> making the</w:t>
      </w:r>
      <w:r w:rsidR="0088264C" w:rsidRPr="00B628F5">
        <w:t xml:space="preserve"> appointment</w:t>
      </w:r>
      <w:r w:rsidR="008518A5" w:rsidRPr="00B628F5">
        <w:t>.</w:t>
      </w:r>
      <w:r w:rsidR="00C20D3C" w:rsidRPr="00B628F5">
        <w:rPr>
          <w:rStyle w:val="FootnoteReference"/>
        </w:rPr>
        <w:footnoteReference w:id="901"/>
      </w:r>
      <w:r w:rsidR="00301691" w:rsidRPr="00B628F5">
        <w:t xml:space="preserve"> Notably, the supportive attorney appointment ceases to have effect </w:t>
      </w:r>
      <w:r w:rsidR="004A3E7D" w:rsidRPr="00B628F5">
        <w:t xml:space="preserve">during times in which the principal does not have decision-making capacity for the </w:t>
      </w:r>
      <w:proofErr w:type="gramStart"/>
      <w:r w:rsidR="004A3E7D" w:rsidRPr="00B628F5">
        <w:t>matters which</w:t>
      </w:r>
      <w:proofErr w:type="gramEnd"/>
      <w:r w:rsidR="004A3E7D" w:rsidRPr="00B628F5">
        <w:t xml:space="preserve"> the supportive </w:t>
      </w:r>
      <w:r w:rsidR="000B24D8" w:rsidRPr="00B628F5">
        <w:t>attorney appointment covers.</w:t>
      </w:r>
      <w:r w:rsidR="000B24D8" w:rsidRPr="00B628F5">
        <w:rPr>
          <w:rStyle w:val="FootnoteReference"/>
        </w:rPr>
        <w:footnoteReference w:id="902"/>
      </w:r>
      <w:r w:rsidR="00B06108" w:rsidRPr="00B628F5">
        <w:t xml:space="preserve"> According to the Act, a person has “decision-making capacity” </w:t>
      </w:r>
      <w:proofErr w:type="gramStart"/>
      <w:r w:rsidR="007A16EC" w:rsidRPr="00B628F5">
        <w:t>with regards to</w:t>
      </w:r>
      <w:proofErr w:type="gramEnd"/>
      <w:r w:rsidR="007A16EC" w:rsidRPr="00B628F5">
        <w:t xml:space="preserve"> a particular decision </w:t>
      </w:r>
      <w:r w:rsidR="00B06108" w:rsidRPr="00B628F5">
        <w:t>if they can understand, retain, and use or weigh information relevant to the decision; comprehend the effect of the decision; and express the decision and</w:t>
      </w:r>
      <w:r w:rsidR="00B06108" w:rsidRPr="002A28E1">
        <w:t xml:space="preserve"> their opinions and needs regarding the decision in some manner.</w:t>
      </w:r>
      <w:r w:rsidR="00B06108" w:rsidRPr="002A28E1">
        <w:rPr>
          <w:rStyle w:val="FootnoteReference"/>
        </w:rPr>
        <w:footnoteReference w:id="903"/>
      </w:r>
    </w:p>
    <w:p w14:paraId="465B3901" w14:textId="34A6B7FA" w:rsidR="00484359" w:rsidRPr="002A28E1" w:rsidRDefault="00484359" w:rsidP="00FF32C6"/>
    <w:p w14:paraId="7C23EAFE" w14:textId="78ECCD30" w:rsidR="001318A6" w:rsidRPr="002A28E1" w:rsidRDefault="00484359" w:rsidP="00FF32C6">
      <w:r w:rsidRPr="00B628F5">
        <w:t>The Act outlines the duties and obligations of supportive attorneys, including the obligation to act honestly, diligently and in good faith, to exercise reasonable skill and care,</w:t>
      </w:r>
      <w:r w:rsidR="00C55C6B" w:rsidRPr="00B628F5">
        <w:t xml:space="preserve"> </w:t>
      </w:r>
      <w:proofErr w:type="gramStart"/>
      <w:r w:rsidR="00C55C6B" w:rsidRPr="00B628F5">
        <w:t>to not use</w:t>
      </w:r>
      <w:proofErr w:type="gramEnd"/>
      <w:r w:rsidR="00C55C6B" w:rsidRPr="00B628F5">
        <w:t xml:space="preserve"> the position for profit,</w:t>
      </w:r>
      <w:r w:rsidRPr="00B628F5">
        <w:t xml:space="preserve"> to avoid conflicts of interest, </w:t>
      </w:r>
      <w:r w:rsidR="00FD1445" w:rsidRPr="00B628F5">
        <w:t xml:space="preserve">and to </w:t>
      </w:r>
      <w:r w:rsidR="00774155" w:rsidRPr="00B628F5">
        <w:t>communicate with the principal in a manner in which</w:t>
      </w:r>
      <w:r w:rsidR="00976B40" w:rsidRPr="00B628F5">
        <w:t xml:space="preserve"> is understandable </w:t>
      </w:r>
      <w:r w:rsidR="001C7F71" w:rsidRPr="00B628F5">
        <w:t xml:space="preserve">and helpful </w:t>
      </w:r>
      <w:r w:rsidR="00976B40" w:rsidRPr="00B628F5">
        <w:t>to</w:t>
      </w:r>
      <w:r w:rsidR="00774155" w:rsidRPr="00B628F5">
        <w:t xml:space="preserve"> the principa</w:t>
      </w:r>
      <w:r w:rsidR="00862412" w:rsidRPr="00B628F5">
        <w:t>l</w:t>
      </w:r>
      <w:r w:rsidR="00976B40" w:rsidRPr="00B628F5">
        <w:t>.</w:t>
      </w:r>
      <w:r w:rsidR="007E17D6" w:rsidRPr="00B628F5">
        <w:rPr>
          <w:rStyle w:val="FootnoteReference"/>
        </w:rPr>
        <w:footnoteReference w:id="904"/>
      </w:r>
      <w:r w:rsidR="007E17D6" w:rsidRPr="00B628F5">
        <w:t xml:space="preserve"> </w:t>
      </w:r>
      <w:r w:rsidR="007F606B" w:rsidRPr="00B628F5">
        <w:t>Persons who are</w:t>
      </w:r>
      <w:r w:rsidR="008518A5" w:rsidRPr="00B628F5">
        <w:t xml:space="preserve"> insolvent or under administration cannot be appointed as supportive attorneys, nor can</w:t>
      </w:r>
      <w:r w:rsidR="007F606B" w:rsidRPr="00B628F5">
        <w:t xml:space="preserve"> care workers, health providers or accommodation </w:t>
      </w:r>
      <w:r w:rsidR="00D84C1D" w:rsidRPr="00B628F5">
        <w:t>providers</w:t>
      </w:r>
      <w:r w:rsidR="007F606B" w:rsidRPr="00B628F5">
        <w:t xml:space="preserve"> for the </w:t>
      </w:r>
      <w:r w:rsidR="00D84C1D" w:rsidRPr="00B628F5">
        <w:t>principal</w:t>
      </w:r>
      <w:r w:rsidR="007F606B" w:rsidRPr="00B628F5">
        <w:t>.</w:t>
      </w:r>
      <w:r w:rsidR="007F606B" w:rsidRPr="00B628F5">
        <w:rPr>
          <w:rStyle w:val="FootnoteReference"/>
        </w:rPr>
        <w:footnoteReference w:id="905"/>
      </w:r>
      <w:r w:rsidR="007F606B" w:rsidRPr="00B628F5">
        <w:t xml:space="preserve"> The </w:t>
      </w:r>
      <w:r w:rsidR="00ED2F4B" w:rsidRPr="00B628F5">
        <w:t>appointment</w:t>
      </w:r>
      <w:r w:rsidR="007F606B" w:rsidRPr="00B628F5">
        <w:t xml:space="preserve"> </w:t>
      </w:r>
      <w:proofErr w:type="gramStart"/>
      <w:r w:rsidR="00ED2F4B" w:rsidRPr="00B628F5">
        <w:t>is</w:t>
      </w:r>
      <w:r w:rsidR="007F606B" w:rsidRPr="00B628F5">
        <w:t xml:space="preserve"> </w:t>
      </w:r>
      <w:r w:rsidR="00ED2F4B" w:rsidRPr="00B628F5">
        <w:t>executed</w:t>
      </w:r>
      <w:proofErr w:type="gramEnd"/>
      <w:r w:rsidR="00ED2F4B" w:rsidRPr="00B628F5">
        <w:t xml:space="preserve"> through the signing of a</w:t>
      </w:r>
      <w:r w:rsidR="003523B5" w:rsidRPr="00B628F5">
        <w:t>n appointment</w:t>
      </w:r>
      <w:r w:rsidR="00ED2F4B" w:rsidRPr="00B628F5">
        <w:t xml:space="preserve"> form</w:t>
      </w:r>
      <w:r w:rsidR="003523B5" w:rsidRPr="00B628F5">
        <w:t xml:space="preserve"> by the principal and by a second individual</w:t>
      </w:r>
      <w:r w:rsidR="003523B5" w:rsidRPr="002A28E1">
        <w:t xml:space="preserve"> at the principal’s direction,</w:t>
      </w:r>
      <w:r w:rsidR="00ED2F4B" w:rsidRPr="002A28E1">
        <w:t xml:space="preserve"> in the presence of two witnesses</w:t>
      </w:r>
      <w:r w:rsidR="003523B5" w:rsidRPr="002A28E1">
        <w:t>.</w:t>
      </w:r>
      <w:r w:rsidR="003523B5" w:rsidRPr="002A28E1">
        <w:rPr>
          <w:rStyle w:val="FootnoteReference"/>
        </w:rPr>
        <w:footnoteReference w:id="906"/>
      </w:r>
      <w:r w:rsidR="003523B5" w:rsidRPr="002A28E1">
        <w:t xml:space="preserve"> The supportive attorney then accepts the appointment by signing a statement of acceptance </w:t>
      </w:r>
      <w:r w:rsidR="00283834" w:rsidRPr="002A28E1">
        <w:t>prescribed in the form.</w:t>
      </w:r>
      <w:r w:rsidR="00283834" w:rsidRPr="002A28E1">
        <w:rPr>
          <w:rStyle w:val="FootnoteReference"/>
        </w:rPr>
        <w:footnoteReference w:id="907"/>
      </w:r>
      <w:r w:rsidR="00C93EB8" w:rsidRPr="002A28E1">
        <w:t xml:space="preserve"> The principal can </w:t>
      </w:r>
      <w:r w:rsidR="009F657D" w:rsidRPr="002A28E1">
        <w:t>specify</w:t>
      </w:r>
      <w:r w:rsidR="00C93EB8" w:rsidRPr="002A28E1">
        <w:t xml:space="preserve"> in the form a particular time, circumstance or occasion upon which an appointment begins, but if no</w:t>
      </w:r>
      <w:r w:rsidR="0067055C" w:rsidRPr="002A28E1">
        <w:t xml:space="preserve"> </w:t>
      </w:r>
      <w:r w:rsidR="00C93EB8" w:rsidRPr="002A28E1">
        <w:t xml:space="preserve">such specification </w:t>
      </w:r>
      <w:proofErr w:type="gramStart"/>
      <w:r w:rsidR="00C93EB8" w:rsidRPr="002A28E1">
        <w:t>is made</w:t>
      </w:r>
      <w:proofErr w:type="gramEnd"/>
      <w:r w:rsidR="000B0D46" w:rsidRPr="002A28E1">
        <w:t>,</w:t>
      </w:r>
      <w:r w:rsidR="0060547D" w:rsidRPr="002A28E1">
        <w:t xml:space="preserve"> the appointment begins </w:t>
      </w:r>
      <w:r w:rsidR="00142B85" w:rsidRPr="002A28E1">
        <w:t>immediately.</w:t>
      </w:r>
      <w:r w:rsidR="00142B85" w:rsidRPr="002A28E1">
        <w:rPr>
          <w:rStyle w:val="FootnoteReference"/>
        </w:rPr>
        <w:footnoteReference w:id="908"/>
      </w:r>
      <w:r w:rsidR="00105721" w:rsidRPr="002A28E1">
        <w:t xml:space="preserve"> </w:t>
      </w:r>
      <w:r w:rsidR="003E656B" w:rsidRPr="002A28E1">
        <w:t xml:space="preserve">The </w:t>
      </w:r>
      <w:proofErr w:type="gramStart"/>
      <w:r w:rsidR="003E656B" w:rsidRPr="002A28E1">
        <w:t>appointment may be revoked by</w:t>
      </w:r>
      <w:r w:rsidR="009F657D" w:rsidRPr="002A28E1">
        <w:t xml:space="preserve"> </w:t>
      </w:r>
      <w:r w:rsidR="003E656B" w:rsidRPr="002A28E1">
        <w:t>th</w:t>
      </w:r>
      <w:r w:rsidR="009F657D" w:rsidRPr="002A28E1">
        <w:t>e</w:t>
      </w:r>
      <w:r w:rsidR="003E656B" w:rsidRPr="002A28E1">
        <w:t xml:space="preserve"> principal</w:t>
      </w:r>
      <w:proofErr w:type="gramEnd"/>
      <w:r w:rsidR="003E656B" w:rsidRPr="002A28E1">
        <w:t xml:space="preserve"> at any time where the principal has decision making capacity in relation to making the supportive attorney appointment.</w:t>
      </w:r>
      <w:r w:rsidR="009E35F2" w:rsidRPr="002A28E1">
        <w:rPr>
          <w:rStyle w:val="FootnoteReference"/>
        </w:rPr>
        <w:footnoteReference w:id="909"/>
      </w:r>
    </w:p>
    <w:p w14:paraId="64C0FBD3" w14:textId="5A89B79A" w:rsidR="00D26D98" w:rsidRPr="002A28E1" w:rsidRDefault="00D26D98" w:rsidP="00FF32C6"/>
    <w:p w14:paraId="664FBEC2" w14:textId="0AF77869" w:rsidR="00CC6886" w:rsidRPr="002A28E1" w:rsidRDefault="00C327AE" w:rsidP="00FF32C6">
      <w:r w:rsidRPr="002A28E1">
        <w:t>The Victorian Civil and Administrative Tribunal (</w:t>
      </w:r>
      <w:r w:rsidR="00D26D98" w:rsidRPr="002A28E1">
        <w:t>VCAT</w:t>
      </w:r>
      <w:r w:rsidRPr="002A28E1">
        <w:t>)</w:t>
      </w:r>
      <w:r w:rsidR="00D26D98" w:rsidRPr="002A28E1">
        <w:t xml:space="preserve"> is </w:t>
      </w:r>
      <w:r w:rsidR="00384FC9" w:rsidRPr="002A28E1">
        <w:t>empowered</w:t>
      </w:r>
      <w:r w:rsidR="00D26D98" w:rsidRPr="002A28E1">
        <w:t xml:space="preserve"> to make orders pertaining to supportive attorney </w:t>
      </w:r>
      <w:r w:rsidR="008C1C9F" w:rsidRPr="002A28E1">
        <w:t>appointments</w:t>
      </w:r>
      <w:r w:rsidR="00384FC9" w:rsidRPr="002A28E1">
        <w:t xml:space="preserve"> on their own initiative, or on the application of the principal, the supportive attorney, the Public</w:t>
      </w:r>
      <w:r w:rsidR="00BE4BD4" w:rsidRPr="002A28E1">
        <w:t xml:space="preserve"> </w:t>
      </w:r>
      <w:r w:rsidR="00384FC9" w:rsidRPr="002A28E1">
        <w:t xml:space="preserve">Advocate, the </w:t>
      </w:r>
      <w:r w:rsidR="00BE4BD4" w:rsidRPr="002A28E1">
        <w:t>principal’s</w:t>
      </w:r>
      <w:r w:rsidR="00384FC9" w:rsidRPr="002A28E1">
        <w:t xml:space="preserve"> nearest relative,</w:t>
      </w:r>
      <w:r w:rsidR="00FD4950" w:rsidRPr="002A28E1">
        <w:t xml:space="preserve"> </w:t>
      </w:r>
      <w:r w:rsidR="00384FC9" w:rsidRPr="002A28E1">
        <w:t xml:space="preserve">or any </w:t>
      </w:r>
      <w:r w:rsidR="00384FC9" w:rsidRPr="002A28E1">
        <w:lastRenderedPageBreak/>
        <w:t>person whom VCAT deems has a “special interest”</w:t>
      </w:r>
      <w:r w:rsidR="00AC64F6" w:rsidRPr="002A28E1">
        <w:t xml:space="preserve"> in the principal’s affairs.</w:t>
      </w:r>
      <w:r w:rsidR="001B3F9A" w:rsidRPr="002A28E1">
        <w:rPr>
          <w:rStyle w:val="FootnoteReference"/>
        </w:rPr>
        <w:footnoteReference w:id="910"/>
      </w:r>
      <w:r w:rsidR="006171DF" w:rsidRPr="002A28E1">
        <w:t xml:space="preserve"> These orders made by VCAT </w:t>
      </w:r>
      <w:r w:rsidR="00D87B15" w:rsidRPr="002A28E1">
        <w:t>may pertain to a variety of matters, including</w:t>
      </w:r>
      <w:r w:rsidR="00137395" w:rsidRPr="002A28E1">
        <w:t xml:space="preserve"> the principal’s decision-making capacity over the matters covered by the appointment,</w:t>
      </w:r>
      <w:r w:rsidR="00156FC4" w:rsidRPr="002A28E1">
        <w:t xml:space="preserve"> the consequences of</w:t>
      </w:r>
      <w:r w:rsidR="00D87B15" w:rsidRPr="002A28E1">
        <w:t xml:space="preserve"> </w:t>
      </w:r>
      <w:r w:rsidR="004C38B4" w:rsidRPr="002A28E1">
        <w:t>failure</w:t>
      </w:r>
      <w:r w:rsidR="00CC763C" w:rsidRPr="002A28E1">
        <w:t>s</w:t>
      </w:r>
      <w:r w:rsidR="004C38B4" w:rsidRPr="002A28E1">
        <w:t xml:space="preserve"> to comply with </w:t>
      </w:r>
      <w:r w:rsidR="00475C94" w:rsidRPr="002A28E1">
        <w:t>obligations under the</w:t>
      </w:r>
      <w:r w:rsidR="00F83118" w:rsidRPr="002A28E1">
        <w:t xml:space="preserve"> Act, </w:t>
      </w:r>
      <w:r w:rsidR="00A4116E" w:rsidRPr="002A28E1">
        <w:t>the supportive attorney’s adherence to the terms of the appointment</w:t>
      </w:r>
      <w:r w:rsidR="0081472E" w:rsidRPr="002A28E1">
        <w:t xml:space="preserve">, </w:t>
      </w:r>
      <w:r w:rsidR="00483BE3" w:rsidRPr="002A28E1">
        <w:t xml:space="preserve">and undue </w:t>
      </w:r>
      <w:r w:rsidR="0019565B" w:rsidRPr="002A28E1">
        <w:t>influence</w:t>
      </w:r>
      <w:r w:rsidR="005E68FF" w:rsidRPr="002A28E1">
        <w:t xml:space="preserve"> exerted</w:t>
      </w:r>
      <w:r w:rsidR="005D5E4A" w:rsidRPr="002A28E1">
        <w:t xml:space="preserve"> by the supportive attorney </w:t>
      </w:r>
      <w:r w:rsidR="00802CD7" w:rsidRPr="002A28E1">
        <w:t>over the principal</w:t>
      </w:r>
      <w:r w:rsidR="00AA60AD" w:rsidRPr="002A28E1">
        <w:t>.</w:t>
      </w:r>
      <w:r w:rsidR="00AA60AD" w:rsidRPr="002A28E1">
        <w:rPr>
          <w:rStyle w:val="FootnoteReference"/>
        </w:rPr>
        <w:footnoteReference w:id="911"/>
      </w:r>
      <w:r w:rsidR="005C1A16" w:rsidRPr="002A28E1">
        <w:t xml:space="preserve"> VCAT may </w:t>
      </w:r>
      <w:r w:rsidR="005B2E5B" w:rsidRPr="002A28E1">
        <w:t xml:space="preserve">revoke </w:t>
      </w:r>
      <w:r w:rsidR="00332A3B" w:rsidRPr="002A28E1">
        <w:t>the supportive attorney appointment</w:t>
      </w:r>
      <w:r w:rsidR="0009066B" w:rsidRPr="002A28E1">
        <w:t xml:space="preserve"> or </w:t>
      </w:r>
      <w:r w:rsidR="008050F9" w:rsidRPr="002A28E1">
        <w:t xml:space="preserve">the </w:t>
      </w:r>
      <w:r w:rsidR="00226FE0" w:rsidRPr="002A28E1">
        <w:t xml:space="preserve">designation of a particular supportive attorney, change the effect of the supportive attorney appointment, suspend the supportive attorney appointment for a given time, </w:t>
      </w:r>
      <w:r w:rsidR="00F31037" w:rsidRPr="002A28E1">
        <w:t xml:space="preserve">or make any other order it deems </w:t>
      </w:r>
      <w:r w:rsidR="00256475" w:rsidRPr="002A28E1">
        <w:t>necessary with respect to the supportive attorney appointment.</w:t>
      </w:r>
      <w:r w:rsidR="00256475" w:rsidRPr="002A28E1">
        <w:rPr>
          <w:rStyle w:val="FootnoteReference"/>
        </w:rPr>
        <w:footnoteReference w:id="912"/>
      </w:r>
      <w:r w:rsidR="00226FE0" w:rsidRPr="002A28E1">
        <w:t xml:space="preserve"> </w:t>
      </w:r>
      <w:r w:rsidR="002E6D53" w:rsidRPr="002A28E1">
        <w:t>Finally, the Act lays out penalties for supportive attorneys who dishonestly obtain or use a supportive attorney appointment.</w:t>
      </w:r>
      <w:r w:rsidR="002E6D53" w:rsidRPr="002A28E1">
        <w:rPr>
          <w:rStyle w:val="FootnoteReference"/>
        </w:rPr>
        <w:footnoteReference w:id="913"/>
      </w:r>
    </w:p>
    <w:p w14:paraId="57D5FC2D" w14:textId="473837F8" w:rsidR="001318A6" w:rsidRPr="002A28E1" w:rsidRDefault="001318A6" w:rsidP="00FF32C6"/>
    <w:p w14:paraId="52C7F4F7" w14:textId="4990EE95" w:rsidR="001318A6" w:rsidRPr="002A28E1" w:rsidRDefault="001318A6" w:rsidP="00FF32C6">
      <w:r w:rsidRPr="00ED145A">
        <w:t>It is also worth mentioning that Victoria’s Medical Treatment Planning and Decisions Act 2016</w:t>
      </w:r>
      <w:r w:rsidR="00893AEF" w:rsidRPr="00ED145A">
        <w:t xml:space="preserve"> introduced provisions </w:t>
      </w:r>
      <w:r w:rsidR="00F5394D" w:rsidRPr="00ED145A">
        <w:t>allowing for</w:t>
      </w:r>
      <w:r w:rsidR="00243861" w:rsidRPr="00ED145A">
        <w:t xml:space="preserve"> the appointment </w:t>
      </w:r>
      <w:r w:rsidR="00B763CB" w:rsidRPr="00ED145A">
        <w:t>of support persons.</w:t>
      </w:r>
      <w:bookmarkStart w:id="104" w:name="_Ref15310204"/>
      <w:r w:rsidR="00B763CB" w:rsidRPr="00ED145A">
        <w:rPr>
          <w:rStyle w:val="FootnoteReference"/>
        </w:rPr>
        <w:footnoteReference w:id="914"/>
      </w:r>
      <w:bookmarkEnd w:id="104"/>
      <w:r w:rsidR="00B763CB" w:rsidRPr="00ED145A">
        <w:t xml:space="preserve"> </w:t>
      </w:r>
      <w:proofErr w:type="gramStart"/>
      <w:r w:rsidR="00B763CB" w:rsidRPr="00ED145A">
        <w:t>Under this Act, any person with decision-making capacity may appoint a support person,</w:t>
      </w:r>
      <w:r w:rsidR="00B763CB" w:rsidRPr="00ED145A">
        <w:rPr>
          <w:rStyle w:val="FootnoteReference"/>
        </w:rPr>
        <w:footnoteReference w:id="915"/>
      </w:r>
      <w:r w:rsidR="00B763CB" w:rsidRPr="00ED145A">
        <w:t xml:space="preserve"> who</w:t>
      </w:r>
      <w:r w:rsidR="00557422" w:rsidRPr="00ED145A">
        <w:t xml:space="preserve">se role is </w:t>
      </w:r>
      <w:r w:rsidR="00B9545E" w:rsidRPr="00ED145A">
        <w:t>“</w:t>
      </w:r>
      <w:r w:rsidR="00557422" w:rsidRPr="00ED145A">
        <w:t xml:space="preserve">to </w:t>
      </w:r>
      <w:r w:rsidR="006127BB" w:rsidRPr="00ED145A">
        <w:t xml:space="preserve">support the person to </w:t>
      </w:r>
      <w:r w:rsidR="00302E15" w:rsidRPr="00ED145A">
        <w:t>make, communicate and give effect to</w:t>
      </w:r>
      <w:r w:rsidR="005644EF" w:rsidRPr="00ED145A">
        <w:t xml:space="preserve"> the person’s </w:t>
      </w:r>
      <w:r w:rsidR="00B84C9E" w:rsidRPr="00ED145A">
        <w:t>medical treatment decisions</w:t>
      </w:r>
      <w:r w:rsidR="00A94F93" w:rsidRPr="00ED145A">
        <w:t xml:space="preserve">,” and </w:t>
      </w:r>
      <w:r w:rsidR="00557422" w:rsidRPr="00ED145A">
        <w:t>“</w:t>
      </w:r>
      <w:r w:rsidR="00A823C2" w:rsidRPr="00ED145A">
        <w:t xml:space="preserve">to </w:t>
      </w:r>
      <w:r w:rsidR="002D3749" w:rsidRPr="00ED145A">
        <w:t>represent the interests of the person in respect of the person</w:t>
      </w:r>
      <w:r w:rsidR="00D81C9A" w:rsidRPr="00ED145A">
        <w:t xml:space="preserve">’s medical treatment, including when the person does not have </w:t>
      </w:r>
      <w:r w:rsidR="001A1559" w:rsidRPr="00ED145A">
        <w:t xml:space="preserve">decision-making capacity in relation to </w:t>
      </w:r>
      <w:r w:rsidR="00215B28" w:rsidRPr="00ED145A">
        <w:t>medical treatment decisions</w:t>
      </w:r>
      <w:r w:rsidR="001C048A" w:rsidRPr="00ED145A">
        <w:t>.</w:t>
      </w:r>
      <w:r w:rsidR="00215B28" w:rsidRPr="00ED145A">
        <w:t>”</w:t>
      </w:r>
      <w:r w:rsidR="007935FD" w:rsidRPr="00ED145A">
        <w:rPr>
          <w:rStyle w:val="FootnoteReference"/>
        </w:rPr>
        <w:footnoteReference w:id="916"/>
      </w:r>
      <w:proofErr w:type="gramEnd"/>
      <w:r w:rsidR="00CD0822" w:rsidRPr="00ED145A">
        <w:t xml:space="preserve"> The Act </w:t>
      </w:r>
      <w:r w:rsidR="008F04FE" w:rsidRPr="00ED145A">
        <w:t xml:space="preserve">stipulates that </w:t>
      </w:r>
      <w:r w:rsidR="00AC061A" w:rsidRPr="00ED145A">
        <w:t xml:space="preserve">support persons </w:t>
      </w:r>
      <w:proofErr w:type="gramStart"/>
      <w:r w:rsidR="00763CDF" w:rsidRPr="00ED145A">
        <w:t>are</w:t>
      </w:r>
      <w:proofErr w:type="gramEnd"/>
      <w:r w:rsidR="00763CDF" w:rsidRPr="00ED145A">
        <w:t xml:space="preserve"> not </w:t>
      </w:r>
      <w:r w:rsidR="00DF15A4" w:rsidRPr="00ED145A">
        <w:t xml:space="preserve">authorised to </w:t>
      </w:r>
      <w:r w:rsidR="001B7FB9" w:rsidRPr="00ED145A">
        <w:t>make a person</w:t>
      </w:r>
      <w:r w:rsidR="002261DA" w:rsidRPr="00ED145A">
        <w:t>’s medical treatment decisions.</w:t>
      </w:r>
      <w:r w:rsidR="002C31EC" w:rsidRPr="00ED145A">
        <w:rPr>
          <w:rStyle w:val="FootnoteReference"/>
        </w:rPr>
        <w:footnoteReference w:id="917"/>
      </w:r>
      <w:r w:rsidR="00F67A23" w:rsidRPr="00ED145A">
        <w:t xml:space="preserve"> Appointments </w:t>
      </w:r>
      <w:proofErr w:type="gramStart"/>
      <w:r w:rsidR="00F67A23" w:rsidRPr="00ED145A">
        <w:t>must be made in writing, signed</w:t>
      </w:r>
      <w:r w:rsidR="00BF2CC0" w:rsidRPr="00ED145A">
        <w:t xml:space="preserve"> by the affected person, </w:t>
      </w:r>
      <w:r w:rsidR="00BB7012" w:rsidRPr="00ED145A">
        <w:t>witnessed, and duly certified</w:t>
      </w:r>
      <w:proofErr w:type="gramEnd"/>
      <w:r w:rsidR="00BB7012" w:rsidRPr="00ED145A">
        <w:t>.</w:t>
      </w:r>
      <w:r w:rsidR="00BB7012" w:rsidRPr="00ED145A">
        <w:rPr>
          <w:rStyle w:val="FootnoteReference"/>
        </w:rPr>
        <w:footnoteReference w:id="918"/>
      </w:r>
      <w:r w:rsidR="00D72726" w:rsidRPr="00ED145A">
        <w:t xml:space="preserve"> </w:t>
      </w:r>
      <w:r w:rsidR="00B67932" w:rsidRPr="00ED145A">
        <w:t>Appointments come into effect immediately.</w:t>
      </w:r>
      <w:r w:rsidR="00B67932" w:rsidRPr="00ED145A">
        <w:rPr>
          <w:rStyle w:val="FootnoteReference"/>
        </w:rPr>
        <w:footnoteReference w:id="919"/>
      </w:r>
      <w:r w:rsidR="00B67932" w:rsidRPr="00ED145A">
        <w:t xml:space="preserve"> </w:t>
      </w:r>
      <w:r w:rsidR="003551DA" w:rsidRPr="00ED145A">
        <w:t>Persons may revoke appointments of their support persons so long as they retain decision-making capacity with respect to the revocation decision.</w:t>
      </w:r>
      <w:r w:rsidR="003551DA" w:rsidRPr="00ED145A">
        <w:rPr>
          <w:rStyle w:val="FootnoteReference"/>
        </w:rPr>
        <w:footnoteReference w:id="920"/>
      </w:r>
      <w:r w:rsidR="006A2978" w:rsidRPr="00ED145A">
        <w:t xml:space="preserve"> </w:t>
      </w:r>
      <w:r w:rsidR="00D72726" w:rsidRPr="00ED145A">
        <w:t>People may apply to VCAT to contest the validity of the appointment or revocation of the appointment of a support person</w:t>
      </w:r>
      <w:r w:rsidR="006700D4" w:rsidRPr="00ED145A">
        <w:t xml:space="preserve"> or </w:t>
      </w:r>
      <w:r w:rsidR="009E615B" w:rsidRPr="00ED145A">
        <w:t>request an order for “any other matter in relation to an appointment,” with the permission of</w:t>
      </w:r>
      <w:r w:rsidR="009E615B" w:rsidRPr="002A28E1">
        <w:t xml:space="preserve"> VCAT.</w:t>
      </w:r>
      <w:r w:rsidR="009E615B" w:rsidRPr="002A28E1">
        <w:rPr>
          <w:rStyle w:val="FootnoteReference"/>
        </w:rPr>
        <w:footnoteReference w:id="921"/>
      </w:r>
    </w:p>
    <w:p w14:paraId="75A0A40F" w14:textId="2EC2D4C7" w:rsidR="003122F2" w:rsidRPr="002A28E1" w:rsidRDefault="003122F2" w:rsidP="00FF32C6"/>
    <w:p w14:paraId="407BE154" w14:textId="3A1FDB32" w:rsidR="00CE30CC" w:rsidRPr="002A28E1" w:rsidRDefault="00642559" w:rsidP="00FF32C6">
      <w:r>
        <w:t>The</w:t>
      </w:r>
      <w:r w:rsidR="00160EAC" w:rsidRPr="002A28E1">
        <w:t xml:space="preserve"> state of Victoria continued in this trend of recognizing supported decision-making in law with</w:t>
      </w:r>
      <w:r w:rsidR="002924F6" w:rsidRPr="002A28E1">
        <w:t xml:space="preserve"> </w:t>
      </w:r>
      <w:r w:rsidR="003D1F0C" w:rsidRPr="002A28E1">
        <w:t>amendments to its Guardianship and Administration Act enacted in 2019.</w:t>
      </w:r>
      <w:bookmarkStart w:id="105" w:name="_Ref15310234"/>
      <w:r w:rsidR="00223969" w:rsidRPr="002A28E1">
        <w:rPr>
          <w:rStyle w:val="FootnoteReference"/>
        </w:rPr>
        <w:footnoteReference w:id="922"/>
      </w:r>
      <w:bookmarkEnd w:id="105"/>
      <w:r w:rsidR="00CF2F01" w:rsidRPr="002A28E1">
        <w:t xml:space="preserve"> </w:t>
      </w:r>
      <w:r w:rsidR="00CB0DD9" w:rsidRPr="002A28E1">
        <w:t xml:space="preserve">Under this amended legislation, </w:t>
      </w:r>
      <w:r w:rsidR="00DA5F54" w:rsidRPr="002A28E1">
        <w:t>a person</w:t>
      </w:r>
      <w:r w:rsidR="00CB0DD9" w:rsidRPr="002A28E1">
        <w:t xml:space="preserve"> may now apply to </w:t>
      </w:r>
      <w:r w:rsidR="00C327AE" w:rsidRPr="002A28E1">
        <w:t>VCAT</w:t>
      </w:r>
      <w:r w:rsidR="00CB0DD9" w:rsidRPr="002A28E1">
        <w:t xml:space="preserve"> for the appointment of</w:t>
      </w:r>
      <w:r w:rsidR="00691747" w:rsidRPr="002A28E1">
        <w:t xml:space="preserve"> “supportive guardians” </w:t>
      </w:r>
      <w:r w:rsidR="007A2540" w:rsidRPr="002A28E1">
        <w:t xml:space="preserve">and “supportive </w:t>
      </w:r>
      <w:r w:rsidR="00A4667F" w:rsidRPr="002A28E1">
        <w:t>administrators”</w:t>
      </w:r>
      <w:r w:rsidR="00DA5F54" w:rsidRPr="002A28E1">
        <w:t xml:space="preserve"> for </w:t>
      </w:r>
      <w:r w:rsidR="0005274F" w:rsidRPr="002A28E1">
        <w:t xml:space="preserve">a </w:t>
      </w:r>
      <w:r w:rsidR="00DA5F54" w:rsidRPr="002A28E1">
        <w:t>person</w:t>
      </w:r>
      <w:r w:rsidR="0005274F" w:rsidRPr="002A28E1">
        <w:t xml:space="preserve"> </w:t>
      </w:r>
      <w:r w:rsidR="00DA5F54" w:rsidRPr="002A28E1">
        <w:t>with disabilities.</w:t>
      </w:r>
      <w:r w:rsidR="00A4667F" w:rsidRPr="002A28E1">
        <w:rPr>
          <w:rStyle w:val="FootnoteReference"/>
        </w:rPr>
        <w:footnoteReference w:id="923"/>
      </w:r>
      <w:r w:rsidR="007D106B" w:rsidRPr="002A28E1">
        <w:t xml:space="preserve"> </w:t>
      </w:r>
      <w:r w:rsidR="00856F09" w:rsidRPr="002A28E1">
        <w:t>S</w:t>
      </w:r>
      <w:r w:rsidR="007D106B" w:rsidRPr="002A28E1">
        <w:t xml:space="preserve">upportive </w:t>
      </w:r>
      <w:r w:rsidR="007D106B" w:rsidRPr="002A28E1">
        <w:lastRenderedPageBreak/>
        <w:t>guardians assist with</w:t>
      </w:r>
      <w:r w:rsidR="00B50385" w:rsidRPr="002A28E1">
        <w:t xml:space="preserve"> </w:t>
      </w:r>
      <w:r w:rsidR="00450CB0" w:rsidRPr="002A28E1">
        <w:t>personal matters</w:t>
      </w:r>
      <w:r w:rsidR="00C96D64" w:rsidRPr="002A28E1">
        <w:t xml:space="preserve"> (defined as “any matter</w:t>
      </w:r>
      <w:r w:rsidR="0083589E" w:rsidRPr="002A28E1">
        <w:t>[s]</w:t>
      </w:r>
      <w:r w:rsidR="00C96D64" w:rsidRPr="002A28E1">
        <w:t xml:space="preserve"> relating to the person’s personal or lifestyle affairs”)</w:t>
      </w:r>
      <w:r w:rsidR="00450CB0" w:rsidRPr="002A28E1">
        <w:t xml:space="preserve">, while </w:t>
      </w:r>
      <w:r w:rsidR="00692313" w:rsidRPr="002A28E1">
        <w:t xml:space="preserve">supportive administrators </w:t>
      </w:r>
      <w:r w:rsidR="004B5B55" w:rsidRPr="002A28E1">
        <w:t>help with</w:t>
      </w:r>
      <w:r w:rsidR="007621F6" w:rsidRPr="002A28E1">
        <w:t xml:space="preserve"> </w:t>
      </w:r>
      <w:r w:rsidR="001E7FBA" w:rsidRPr="002A28E1">
        <w:t>financial matters</w:t>
      </w:r>
      <w:r w:rsidR="0083589E" w:rsidRPr="002A28E1">
        <w:t xml:space="preserve"> (defined as “any matter[s] relating to the person’s financial or property affairs”</w:t>
      </w:r>
      <w:proofErr w:type="gramStart"/>
      <w:r w:rsidR="0083589E" w:rsidRPr="002A28E1">
        <w:t xml:space="preserve">) </w:t>
      </w:r>
      <w:r w:rsidR="001E7FBA" w:rsidRPr="002A28E1">
        <w:t>.</w:t>
      </w:r>
      <w:proofErr w:type="gramEnd"/>
      <w:r w:rsidR="0083772F" w:rsidRPr="002A28E1">
        <w:rPr>
          <w:rStyle w:val="FootnoteReference"/>
        </w:rPr>
        <w:footnoteReference w:id="924"/>
      </w:r>
      <w:r w:rsidR="00AC0E16" w:rsidRPr="002A28E1">
        <w:t xml:space="preserve"> </w:t>
      </w:r>
      <w:r w:rsidR="003F0573" w:rsidRPr="002A28E1">
        <w:t xml:space="preserve">The order establishing the supportive guardianship or the supportive administration specifies the particular matters </w:t>
      </w:r>
      <w:r w:rsidR="008A6B89" w:rsidRPr="002A28E1">
        <w:t>with respect to which the supportive guardian or the supportive administrator has powers.</w:t>
      </w:r>
      <w:r w:rsidR="00560BE3" w:rsidRPr="002A28E1">
        <w:rPr>
          <w:rStyle w:val="FootnoteReference"/>
        </w:rPr>
        <w:footnoteReference w:id="925"/>
      </w:r>
      <w:r w:rsidR="009A5743" w:rsidRPr="002A28E1">
        <w:t xml:space="preserve"> The orders can </w:t>
      </w:r>
      <w:r w:rsidR="003C4E19" w:rsidRPr="002A28E1">
        <w:t xml:space="preserve">grant </w:t>
      </w:r>
      <w:r w:rsidR="00A81C7A" w:rsidRPr="002A28E1">
        <w:t>the supportive guardian or supportive administrator with a range of powers, such as the power to access, collect or obtain information; the power to communicate</w:t>
      </w:r>
      <w:r w:rsidR="007E23B3" w:rsidRPr="002A28E1">
        <w:t xml:space="preserve"> or to help the </w:t>
      </w:r>
      <w:r w:rsidR="00ED5E82" w:rsidRPr="002A28E1">
        <w:t>supported person to communicate</w:t>
      </w:r>
      <w:r w:rsidR="00A81C7A" w:rsidRPr="002A28E1">
        <w:t xml:space="preserve"> decisions </w:t>
      </w:r>
      <w:r w:rsidR="00C0534D" w:rsidRPr="002A28E1">
        <w:t>that they make</w:t>
      </w:r>
      <w:r w:rsidR="008148F0" w:rsidRPr="002A28E1">
        <w:t>, as well as the power</w:t>
      </w:r>
      <w:r w:rsidR="00264DEA" w:rsidRPr="002A28E1">
        <w:t xml:space="preserve"> </w:t>
      </w:r>
      <w:r w:rsidR="008148F0" w:rsidRPr="002A28E1">
        <w:t>t</w:t>
      </w:r>
      <w:r w:rsidR="00264DEA" w:rsidRPr="002A28E1">
        <w:t>o</w:t>
      </w:r>
      <w:r w:rsidR="008148F0" w:rsidRPr="002A28E1">
        <w:t xml:space="preserve"> </w:t>
      </w:r>
      <w:r w:rsidR="00374422" w:rsidRPr="002A28E1">
        <w:t xml:space="preserve">do anything </w:t>
      </w:r>
      <w:r w:rsidR="00264DEA" w:rsidRPr="002A28E1">
        <w:t xml:space="preserve">that is reasonably necessary to give effect to </w:t>
      </w:r>
      <w:r w:rsidR="004552B3" w:rsidRPr="002A28E1">
        <w:t>decisions.</w:t>
      </w:r>
      <w:r w:rsidR="00EE0054" w:rsidRPr="002A28E1">
        <w:rPr>
          <w:rStyle w:val="FootnoteReference"/>
        </w:rPr>
        <w:footnoteReference w:id="926"/>
      </w:r>
    </w:p>
    <w:p w14:paraId="641BAE58" w14:textId="77777777" w:rsidR="00CE30CC" w:rsidRPr="002A28E1" w:rsidRDefault="00CE30CC" w:rsidP="00FF32C6"/>
    <w:p w14:paraId="0342ECAC" w14:textId="62275770" w:rsidR="003F0573" w:rsidRPr="00AA1E88" w:rsidRDefault="00E75E2A" w:rsidP="00FF32C6">
      <w:proofErr w:type="gramStart"/>
      <w:r w:rsidRPr="002A28E1">
        <w:t xml:space="preserve">Supportive </w:t>
      </w:r>
      <w:r w:rsidRPr="00AA1E88">
        <w:t>guardians and supportive administrators are subject to</w:t>
      </w:r>
      <w:r w:rsidR="00012009" w:rsidRPr="00AA1E88">
        <w:t xml:space="preserve"> </w:t>
      </w:r>
      <w:r w:rsidR="00146E85" w:rsidRPr="00AA1E88">
        <w:t>specific</w:t>
      </w:r>
      <w:r w:rsidRPr="00AA1E88">
        <w:t xml:space="preserve"> duties and obligations</w:t>
      </w:r>
      <w:r w:rsidR="00272C14" w:rsidRPr="00AA1E88">
        <w:t>,</w:t>
      </w:r>
      <w:r w:rsidR="00DB2126" w:rsidRPr="00AA1E88">
        <w:t xml:space="preserve"> </w:t>
      </w:r>
      <w:r w:rsidR="00A77233" w:rsidRPr="00AA1E88">
        <w:t>including the obligation to act honestly, diligently and in good faith</w:t>
      </w:r>
      <w:r w:rsidR="002F69B3" w:rsidRPr="00AA1E88">
        <w:t>;</w:t>
      </w:r>
      <w:r w:rsidR="00A77233" w:rsidRPr="00AA1E88">
        <w:t xml:space="preserve"> to exercise reasonable skill and care</w:t>
      </w:r>
      <w:r w:rsidR="00D675ED" w:rsidRPr="00AA1E88">
        <w:t>;</w:t>
      </w:r>
      <w:r w:rsidR="00A77233" w:rsidRPr="00AA1E88">
        <w:t xml:space="preserve"> to not use the position for profit</w:t>
      </w:r>
      <w:r w:rsidR="00D675ED" w:rsidRPr="00AA1E88">
        <w:t>;</w:t>
      </w:r>
      <w:r w:rsidR="00A77233" w:rsidRPr="00AA1E88">
        <w:t xml:space="preserve"> to avoid conflicts of interest</w:t>
      </w:r>
      <w:r w:rsidR="00444CD6" w:rsidRPr="00AA1E88">
        <w:t>;</w:t>
      </w:r>
      <w:r w:rsidR="00A74CBC" w:rsidRPr="00AA1E88">
        <w:t xml:space="preserve"> to </w:t>
      </w:r>
      <w:r w:rsidR="006414C8" w:rsidRPr="00AA1E88">
        <w:t>not coerce, intimidate or unduly influence the supported person;</w:t>
      </w:r>
      <w:r w:rsidR="00A77233" w:rsidRPr="00AA1E88">
        <w:t xml:space="preserve"> and to communicate with the </w:t>
      </w:r>
      <w:r w:rsidR="00357856" w:rsidRPr="00AA1E88">
        <w:t>supported</w:t>
      </w:r>
      <w:r w:rsidR="0082401F" w:rsidRPr="00AA1E88">
        <w:t xml:space="preserve"> per</w:t>
      </w:r>
      <w:r w:rsidR="004F7901" w:rsidRPr="00AA1E88">
        <w:t>son</w:t>
      </w:r>
      <w:r w:rsidR="00A77233" w:rsidRPr="00AA1E88">
        <w:t xml:space="preserve"> in a manner in which is understandable and helpful to the </w:t>
      </w:r>
      <w:r w:rsidR="008F2E7A" w:rsidRPr="00AA1E88">
        <w:t>supported person.</w:t>
      </w:r>
      <w:r w:rsidR="000D32B5" w:rsidRPr="00AA1E88">
        <w:rPr>
          <w:rStyle w:val="FootnoteReference"/>
        </w:rPr>
        <w:footnoteReference w:id="927"/>
      </w:r>
      <w:proofErr w:type="gramEnd"/>
      <w:r w:rsidR="008D2E9A" w:rsidRPr="00AA1E88">
        <w:t xml:space="preserve"> Supportive guardians and supportive administrators must also </w:t>
      </w:r>
      <w:r w:rsidR="002D0023" w:rsidRPr="00AA1E88">
        <w:t xml:space="preserve">respect </w:t>
      </w:r>
      <w:r w:rsidR="008D2E9A" w:rsidRPr="00AA1E88">
        <w:t xml:space="preserve">the </w:t>
      </w:r>
      <w:r w:rsidR="00102D51" w:rsidRPr="00AA1E88">
        <w:t>general</w:t>
      </w:r>
      <w:r w:rsidR="008D2E9A" w:rsidRPr="00AA1E88">
        <w:t xml:space="preserve"> principles of the Act, </w:t>
      </w:r>
      <w:r w:rsidR="005F6C45" w:rsidRPr="00AA1E88">
        <w:t xml:space="preserve">including </w:t>
      </w:r>
      <w:r w:rsidR="00C871F6" w:rsidRPr="00AA1E88">
        <w:t xml:space="preserve">the </w:t>
      </w:r>
      <w:r w:rsidR="00D168DF" w:rsidRPr="00AA1E88">
        <w:t>provision which affirms that “the will and preferences of a person with a disability should direct</w:t>
      </w:r>
      <w:proofErr w:type="gramStart"/>
      <w:r w:rsidR="00D168DF" w:rsidRPr="00AA1E88">
        <w:t>,  as</w:t>
      </w:r>
      <w:proofErr w:type="gramEnd"/>
      <w:r w:rsidR="00D168DF" w:rsidRPr="00AA1E88">
        <w:t xml:space="preserve"> far as practicable, decisions made for that person.”</w:t>
      </w:r>
      <w:r w:rsidR="002D4BF8" w:rsidRPr="00AA1E88">
        <w:rPr>
          <w:rStyle w:val="FootnoteReference"/>
        </w:rPr>
        <w:footnoteReference w:id="928"/>
      </w:r>
    </w:p>
    <w:p w14:paraId="6133E672" w14:textId="76364F7D" w:rsidR="00A77233" w:rsidRPr="002A28E1" w:rsidRDefault="00A77233" w:rsidP="00FF32C6"/>
    <w:p w14:paraId="04A0D794" w14:textId="77777777" w:rsidR="00533AD1" w:rsidRPr="002A28E1" w:rsidRDefault="00533AD1" w:rsidP="00533AD1">
      <w:r w:rsidRPr="002A28E1">
        <w:t>Under the Act, VCAT will only agree to designate a supportive administrator or supportive guardian if they conclude that that with support, the person would have decision-making capacity with respect to the given personal or financial matter.</w:t>
      </w:r>
      <w:r w:rsidRPr="002A28E1">
        <w:rPr>
          <w:rStyle w:val="FootnoteReference"/>
        </w:rPr>
        <w:footnoteReference w:id="929"/>
      </w:r>
      <w:r w:rsidRPr="002A28E1">
        <w:t xml:space="preserve"> The Act employs the same definition of “decision-making capacity” as outlined in the 2014 Powers of Attorney Act and the 2016 Medical Treatment Planning and Decisions Act.</w:t>
      </w:r>
      <w:r w:rsidRPr="002A28E1">
        <w:rPr>
          <w:rStyle w:val="FootnoteReference"/>
        </w:rPr>
        <w:footnoteReference w:id="930"/>
      </w:r>
    </w:p>
    <w:p w14:paraId="1C946985" w14:textId="458B527E" w:rsidR="00533AD1" w:rsidRPr="002A28E1" w:rsidRDefault="00533AD1" w:rsidP="00FF32C6"/>
    <w:p w14:paraId="0CE8864A" w14:textId="4AF0F737" w:rsidR="00633E4D" w:rsidRPr="002A28E1" w:rsidRDefault="00633E4D" w:rsidP="00FF32C6">
      <w:r w:rsidRPr="002A28E1">
        <w:t xml:space="preserve">VCAT will only appoint a supporter if they believe that the person will comply with the aforementioned </w:t>
      </w:r>
      <w:r w:rsidR="001768A3" w:rsidRPr="002A28E1">
        <w:t>duties</w:t>
      </w:r>
      <w:r w:rsidR="00F76D64" w:rsidRPr="002A28E1">
        <w:t xml:space="preserve"> and obligations</w:t>
      </w:r>
      <w:r w:rsidR="00DC5949" w:rsidRPr="002A28E1">
        <w:t xml:space="preserve"> and if they deem the </w:t>
      </w:r>
      <w:proofErr w:type="gramStart"/>
      <w:r w:rsidR="00DC5949" w:rsidRPr="002A28E1">
        <w:t>person to be “</w:t>
      </w:r>
      <w:proofErr w:type="gramEnd"/>
      <w:r w:rsidR="00DC5949" w:rsidRPr="002A28E1">
        <w:t>suitable” for the role.</w:t>
      </w:r>
      <w:r w:rsidR="00DC5949" w:rsidRPr="002A28E1">
        <w:rPr>
          <w:rStyle w:val="FootnoteReference"/>
        </w:rPr>
        <w:footnoteReference w:id="931"/>
      </w:r>
      <w:r w:rsidR="00BD4EA8" w:rsidRPr="002A28E1">
        <w:t xml:space="preserve"> </w:t>
      </w:r>
      <w:proofErr w:type="gramStart"/>
      <w:r w:rsidR="00BD4EA8" w:rsidRPr="002A28E1">
        <w:t>In assessing a potential supporter’s suitability, VCAT considers</w:t>
      </w:r>
      <w:r w:rsidR="00A636FF" w:rsidRPr="002A28E1">
        <w:t>: “the will and preferences of the proposed supported person (so far as they can be ascertained); the desirability of preserving existing family relationships and other relationships that are important to the proposed supported person; the nature of the relationship between the person and the proposed supported person, in particular whether the relationship is characterised by trust; whether the person will be available to the proposed supported person and able to meet and communicate with the proposed supported person; the capacity of the person to recognise and give due regard to the importance of the relationship the proposed supported person has with any companion animal of the proposed supported person.”</w:t>
      </w:r>
      <w:r w:rsidR="00A636FF" w:rsidRPr="002A28E1">
        <w:rPr>
          <w:rStyle w:val="FootnoteReference"/>
        </w:rPr>
        <w:footnoteReference w:id="932"/>
      </w:r>
      <w:proofErr w:type="gramEnd"/>
      <w:r w:rsidR="001E3D11" w:rsidRPr="002A28E1">
        <w:t xml:space="preserve"> </w:t>
      </w:r>
      <w:r w:rsidR="00BE11F6" w:rsidRPr="002A28E1">
        <w:t xml:space="preserve"> </w:t>
      </w:r>
      <w:r w:rsidR="00BD4EA8" w:rsidRPr="002A28E1">
        <w:t xml:space="preserve"> </w:t>
      </w:r>
    </w:p>
    <w:p w14:paraId="23F3E16C" w14:textId="5E1BBFA1" w:rsidR="000F4BCC" w:rsidRPr="002A28E1" w:rsidRDefault="000F4BCC" w:rsidP="00FF32C6"/>
    <w:p w14:paraId="699363B2" w14:textId="2762926B" w:rsidR="000F4BCC" w:rsidRPr="002A28E1" w:rsidRDefault="000F4BCC" w:rsidP="00FF32C6">
      <w:r w:rsidRPr="002A28E1">
        <w:lastRenderedPageBreak/>
        <w:t>VCAT is required to reassess orders for supportive administration</w:t>
      </w:r>
      <w:r w:rsidR="003141A8">
        <w:t xml:space="preserve"> </w:t>
      </w:r>
      <w:r w:rsidRPr="002A28E1">
        <w:t>and supportive guardianship within a year of making the order and at least once every three years</w:t>
      </w:r>
      <w:r w:rsidR="00FB55B2">
        <w:t xml:space="preserve"> afterwards</w:t>
      </w:r>
      <w:r w:rsidRPr="002A28E1">
        <w:t>.</w:t>
      </w:r>
      <w:r w:rsidRPr="002A28E1">
        <w:rPr>
          <w:rStyle w:val="FootnoteReference"/>
        </w:rPr>
        <w:footnoteReference w:id="933"/>
      </w:r>
      <w:r w:rsidRPr="002A28E1">
        <w:t xml:space="preserve"> The Act also lays out penalties for supportive guardians and supportive administrators who use orders dishonestly.</w:t>
      </w:r>
      <w:r w:rsidRPr="002A28E1">
        <w:rPr>
          <w:rStyle w:val="FootnoteReference"/>
        </w:rPr>
        <w:footnoteReference w:id="934"/>
      </w:r>
    </w:p>
    <w:p w14:paraId="0710991C" w14:textId="22CE8118" w:rsidR="00E31584" w:rsidRPr="002A28E1" w:rsidRDefault="00E31584" w:rsidP="00FF32C6"/>
    <w:p w14:paraId="0D0B9709" w14:textId="3275E655" w:rsidR="00DC6847" w:rsidRPr="002A28E1" w:rsidRDefault="00E31584" w:rsidP="00FF32C6">
      <w:r w:rsidRPr="002A28E1">
        <w:t>Alongside th</w:t>
      </w:r>
      <w:r w:rsidR="00E32107" w:rsidRPr="002A28E1">
        <w:t>ese</w:t>
      </w:r>
      <w:r w:rsidRPr="002A28E1">
        <w:t xml:space="preserve"> regime</w:t>
      </w:r>
      <w:r w:rsidR="00E32107" w:rsidRPr="002A28E1">
        <w:t>s</w:t>
      </w:r>
      <w:r w:rsidRPr="002A28E1">
        <w:t xml:space="preserve"> of supportive</w:t>
      </w:r>
      <w:r w:rsidR="0079551A" w:rsidRPr="002A28E1">
        <w:t xml:space="preserve"> guardianship and</w:t>
      </w:r>
      <w:r w:rsidR="00A13409" w:rsidRPr="002A28E1">
        <w:t xml:space="preserve"> supportive</w:t>
      </w:r>
      <w:r w:rsidR="0079551A" w:rsidRPr="002A28E1">
        <w:t xml:space="preserve"> </w:t>
      </w:r>
      <w:r w:rsidR="00C47090" w:rsidRPr="002A28E1">
        <w:t xml:space="preserve">administration, </w:t>
      </w:r>
      <w:r w:rsidR="00074FFE" w:rsidRPr="002A28E1">
        <w:t>the Act also ret</w:t>
      </w:r>
      <w:r w:rsidR="00223AB6" w:rsidRPr="002A28E1">
        <w:t xml:space="preserve">ains </w:t>
      </w:r>
      <w:r w:rsidR="00A161BE" w:rsidRPr="002A28E1">
        <w:t xml:space="preserve">regimes of guardianship </w:t>
      </w:r>
      <w:r w:rsidR="005A33FE" w:rsidRPr="002A28E1">
        <w:t xml:space="preserve">and </w:t>
      </w:r>
      <w:r w:rsidR="00977327" w:rsidRPr="002A28E1">
        <w:t>administration</w:t>
      </w:r>
      <w:r w:rsidR="004527F9" w:rsidRPr="002A28E1">
        <w:t xml:space="preserve">, under which appointed persons </w:t>
      </w:r>
      <w:r w:rsidR="00A310D3" w:rsidRPr="002A28E1">
        <w:t xml:space="preserve">are authorised to make decisions </w:t>
      </w:r>
      <w:r w:rsidR="00752ECD" w:rsidRPr="002A28E1">
        <w:t>about</w:t>
      </w:r>
      <w:r w:rsidR="00990398" w:rsidRPr="002A28E1">
        <w:t xml:space="preserve"> particular</w:t>
      </w:r>
      <w:r w:rsidR="00C416F9" w:rsidRPr="002A28E1">
        <w:t xml:space="preserve"> personal or financial</w:t>
      </w:r>
      <w:r w:rsidR="00752ECD" w:rsidRPr="002A28E1">
        <w:t xml:space="preserve"> matters</w:t>
      </w:r>
      <w:r w:rsidR="00F20E95" w:rsidRPr="002A28E1">
        <w:t xml:space="preserve"> concerning the represented person</w:t>
      </w:r>
      <w:r w:rsidR="00CF752F" w:rsidRPr="002A28E1">
        <w:t>.</w:t>
      </w:r>
      <w:r w:rsidR="00CF752F" w:rsidRPr="002A28E1">
        <w:rPr>
          <w:rStyle w:val="FootnoteReference"/>
        </w:rPr>
        <w:footnoteReference w:id="935"/>
      </w:r>
      <w:r w:rsidR="00DE3CE1">
        <w:t xml:space="preserve"> </w:t>
      </w:r>
      <w:r w:rsidR="007C3545">
        <w:t xml:space="preserve">The Act specifies that VCAT may only appoint a guardian or administrator </w:t>
      </w:r>
      <w:r w:rsidR="000725A8">
        <w:t>where</w:t>
      </w:r>
      <w:r w:rsidR="007C3545">
        <w:t xml:space="preserve"> </w:t>
      </w:r>
      <w:r w:rsidR="00F35BF3">
        <w:t>they</w:t>
      </w:r>
      <w:r w:rsidR="007C3545">
        <w:t xml:space="preserve"> deem</w:t>
      </w:r>
      <w:r w:rsidR="005D4412">
        <w:t xml:space="preserve"> </w:t>
      </w:r>
      <w:r w:rsidR="0086102C">
        <w:t xml:space="preserve">that a person </w:t>
      </w:r>
      <w:r w:rsidR="005918A8">
        <w:t>does not</w:t>
      </w:r>
      <w:r w:rsidR="007C3545">
        <w:t xml:space="preserve"> have decision-making capacity with respect to a given personal or financial matter</w:t>
      </w:r>
      <w:r w:rsidR="00F20E95" w:rsidRPr="002A28E1">
        <w:t xml:space="preserve"> </w:t>
      </w:r>
      <w:r w:rsidR="00C861B6">
        <w:t xml:space="preserve">due </w:t>
      </w:r>
      <w:r w:rsidR="00582929">
        <w:t xml:space="preserve">to </w:t>
      </w:r>
      <w:r w:rsidR="00DD7682">
        <w:t>a</w:t>
      </w:r>
      <w:r w:rsidR="00C861B6">
        <w:t xml:space="preserve"> disability.</w:t>
      </w:r>
      <w:r w:rsidR="00B83504">
        <w:rPr>
          <w:rStyle w:val="FootnoteReference"/>
        </w:rPr>
        <w:footnoteReference w:id="936"/>
      </w:r>
      <w:r w:rsidR="00C861B6">
        <w:t xml:space="preserve"> </w:t>
      </w:r>
      <w:r w:rsidR="00162514">
        <w:t>According to the Act, g</w:t>
      </w:r>
      <w:r w:rsidR="00164115">
        <w:t>uardians and administrators</w:t>
      </w:r>
      <w:r w:rsidR="0040323F" w:rsidRPr="002A28E1">
        <w:t xml:space="preserve"> should </w:t>
      </w:r>
      <w:r w:rsidR="004F7BF9" w:rsidRPr="002A28E1">
        <w:t>“give all practicable and appropriate effect to the represented person’s will and preferences</w:t>
      </w:r>
      <w:r w:rsidR="000C4AB9" w:rsidRPr="002A28E1">
        <w:t>.”</w:t>
      </w:r>
      <w:r w:rsidR="001D797A" w:rsidRPr="002A28E1">
        <w:rPr>
          <w:rStyle w:val="FootnoteReference"/>
        </w:rPr>
        <w:footnoteReference w:id="937"/>
      </w:r>
      <w:r w:rsidR="000C4AB9" w:rsidRPr="002A28E1">
        <w:t xml:space="preserve"> If they are unable to ascertain the </w:t>
      </w:r>
      <w:r w:rsidR="00FA1027" w:rsidRPr="002A28E1">
        <w:t>represented</w:t>
      </w:r>
      <w:r w:rsidR="000C4AB9" w:rsidRPr="002A28E1">
        <w:t xml:space="preserve"> person’s will and preferences, </w:t>
      </w:r>
      <w:r w:rsidR="00B01B62">
        <w:t xml:space="preserve">a </w:t>
      </w:r>
      <w:r w:rsidR="000C4AB9" w:rsidRPr="002A28E1">
        <w:t xml:space="preserve">representative should </w:t>
      </w:r>
      <w:r w:rsidR="00470378" w:rsidRPr="002A28E1">
        <w:t>pursue what they b</w:t>
      </w:r>
      <w:r w:rsidR="00D01F46" w:rsidRPr="002A28E1">
        <w:t>e</w:t>
      </w:r>
      <w:r w:rsidR="00470378" w:rsidRPr="002A28E1">
        <w:t>lieve the represented person’s will and preferences are “likely to be, based on all the information available, including information obtained by consulting the represented person’s relatives, close friends and carers</w:t>
      </w:r>
      <w:r w:rsidR="001E178C" w:rsidRPr="002A28E1">
        <w:t>.”</w:t>
      </w:r>
      <w:r w:rsidR="009B3E77" w:rsidRPr="002A28E1">
        <w:rPr>
          <w:rStyle w:val="FootnoteReference"/>
        </w:rPr>
        <w:footnoteReference w:id="938"/>
      </w:r>
      <w:r w:rsidR="001E178C" w:rsidRPr="002A28E1">
        <w:t xml:space="preserve"> If </w:t>
      </w:r>
      <w:r w:rsidR="00C77ACD">
        <w:t xml:space="preserve">a </w:t>
      </w:r>
      <w:r w:rsidR="001E178C" w:rsidRPr="002A28E1">
        <w:t xml:space="preserve">representative </w:t>
      </w:r>
      <w:r w:rsidR="00C77ACD">
        <w:t>is</w:t>
      </w:r>
      <w:r w:rsidR="002E1C3C">
        <w:t xml:space="preserve"> </w:t>
      </w:r>
      <w:r w:rsidR="001E178C" w:rsidRPr="002A28E1">
        <w:t>unable to ascertain the represented person’s likely will and preferences, then they “should act in a manner which promotes the represented person’s personal and social wellbeing.”</w:t>
      </w:r>
      <w:r w:rsidR="009B3E77" w:rsidRPr="002A28E1">
        <w:rPr>
          <w:rStyle w:val="FootnoteReference"/>
        </w:rPr>
        <w:footnoteReference w:id="939"/>
      </w:r>
      <w:r w:rsidR="00C41390" w:rsidRPr="002A28E1">
        <w:t xml:space="preserve"> The Act also stipulates that the represented person’s will and preference</w:t>
      </w:r>
      <w:r w:rsidR="00633D98">
        <w:t>s</w:t>
      </w:r>
      <w:r w:rsidR="00C41390" w:rsidRPr="002A28E1">
        <w:t xml:space="preserve"> </w:t>
      </w:r>
      <w:proofErr w:type="gramStart"/>
      <w:r w:rsidR="00C41390" w:rsidRPr="002A28E1">
        <w:t xml:space="preserve">may be </w:t>
      </w:r>
      <w:r w:rsidR="00536CF5" w:rsidRPr="002A28E1">
        <w:t>overridden</w:t>
      </w:r>
      <w:proofErr w:type="gramEnd"/>
      <w:r w:rsidR="00536CF5" w:rsidRPr="002A28E1">
        <w:t xml:space="preserve"> to avoid “serious harm”</w:t>
      </w:r>
      <w:r w:rsidR="00D01F46" w:rsidRPr="002A28E1">
        <w:t xml:space="preserve"> to the represented person.</w:t>
      </w:r>
      <w:r w:rsidR="00D01F46" w:rsidRPr="002A28E1">
        <w:rPr>
          <w:rStyle w:val="FootnoteReference"/>
        </w:rPr>
        <w:footnoteReference w:id="940"/>
      </w:r>
      <w:r w:rsidR="00D01F46" w:rsidRPr="002A28E1">
        <w:t xml:space="preserve"> </w:t>
      </w:r>
    </w:p>
    <w:p w14:paraId="4B6151A4" w14:textId="6F85E4C1" w:rsidR="00DC6847" w:rsidRPr="002A28E1" w:rsidRDefault="00DC6847" w:rsidP="00FF32C6"/>
    <w:p w14:paraId="7EA5BAB1" w14:textId="6A92041F" w:rsidR="00DC6847" w:rsidRPr="002A28E1" w:rsidRDefault="00DC6847" w:rsidP="00FF32C6">
      <w:proofErr w:type="gramStart"/>
      <w:r w:rsidRPr="002A28E1">
        <w:t xml:space="preserve">When appointing a guardian or administrator, VCAT assesses the </w:t>
      </w:r>
      <w:r w:rsidR="006C3C9E" w:rsidRPr="002A28E1">
        <w:t>potential</w:t>
      </w:r>
      <w:r w:rsidRPr="002A28E1">
        <w:t xml:space="preserve"> representative’s suitability for the role by considering,</w:t>
      </w:r>
      <w:r w:rsidR="00E564B8" w:rsidRPr="002A28E1">
        <w:t xml:space="preserve"> inter alia,</w:t>
      </w:r>
      <w:r w:rsidRPr="002A28E1">
        <w:t xml:space="preserve"> “the will and preferences of the proposed represented person (so far as they can be ascertained); the desirability of preserving existing relationships that are important to the proposed </w:t>
      </w:r>
      <w:r w:rsidR="00E564B8" w:rsidRPr="002A28E1">
        <w:t>represented</w:t>
      </w:r>
      <w:r w:rsidRPr="002A28E1">
        <w:t xml:space="preserve"> person; </w:t>
      </w:r>
      <w:r w:rsidR="00E564B8" w:rsidRPr="002A28E1">
        <w:t xml:space="preserve">the desirability of appointing a person who is a relative of the proposed </w:t>
      </w:r>
      <w:r w:rsidR="00B85A20" w:rsidRPr="002A28E1">
        <w:t>represented</w:t>
      </w:r>
      <w:r w:rsidR="00E564B8" w:rsidRPr="002A28E1">
        <w:t xml:space="preserve"> person, or who has a personal relationship with the proposed represented person, rather than appointing a person with no such relationship; whether the person will be available to the proposed represented person and able to meet and communicate with the proposed represented perso</w:t>
      </w:r>
      <w:r w:rsidR="004B7C23" w:rsidRPr="002A28E1">
        <w:t>n.”</w:t>
      </w:r>
      <w:r w:rsidR="009F06F2" w:rsidRPr="002A28E1">
        <w:rPr>
          <w:rStyle w:val="FootnoteReference"/>
        </w:rPr>
        <w:footnoteReference w:id="941"/>
      </w:r>
      <w:proofErr w:type="gramEnd"/>
    </w:p>
    <w:p w14:paraId="7EDA012E" w14:textId="0C6C48A9" w:rsidR="001E62B4" w:rsidRPr="002A28E1" w:rsidRDefault="001E62B4" w:rsidP="00FF32C6"/>
    <w:p w14:paraId="7D242134" w14:textId="5BFF6F8F" w:rsidR="000A6A43" w:rsidRPr="002A28E1" w:rsidRDefault="001E62B4" w:rsidP="00FF32C6">
      <w:r w:rsidRPr="002A28E1">
        <w:t xml:space="preserve">Victoria has </w:t>
      </w:r>
      <w:r w:rsidR="00691EE9" w:rsidRPr="002A28E1">
        <w:t>undoubtedly</w:t>
      </w:r>
      <w:r w:rsidRPr="002A28E1">
        <w:t xml:space="preserve"> made great strides </w:t>
      </w:r>
      <w:r w:rsidR="00C044C0" w:rsidRPr="002A28E1">
        <w:t xml:space="preserve">towards complying with Article 12 of the CRPD </w:t>
      </w:r>
      <w:r w:rsidR="00FC14CB" w:rsidRPr="002A28E1">
        <w:t xml:space="preserve">by </w:t>
      </w:r>
      <w:r w:rsidR="00691EE9" w:rsidRPr="002A28E1">
        <w:t>introducing various forms of supported decision-making into its legislation</w:t>
      </w:r>
      <w:r w:rsidR="00CD7629" w:rsidRPr="002A28E1">
        <w:t xml:space="preserve">, </w:t>
      </w:r>
      <w:r w:rsidR="00691EE9" w:rsidRPr="002A28E1">
        <w:t>allow</w:t>
      </w:r>
      <w:r w:rsidR="00CD7629" w:rsidRPr="002A28E1">
        <w:t>ing</w:t>
      </w:r>
      <w:r w:rsidR="00691EE9" w:rsidRPr="002A28E1">
        <w:t xml:space="preserve"> persons with disabilities to exercise their legal capacity</w:t>
      </w:r>
      <w:r w:rsidR="003902B7" w:rsidRPr="002A28E1">
        <w:t xml:space="preserve"> in personal and financial matters</w:t>
      </w:r>
      <w:r w:rsidR="00691EE9" w:rsidRPr="002A28E1">
        <w:t xml:space="preserve">. </w:t>
      </w:r>
      <w:r w:rsidR="002C3E41" w:rsidRPr="002A28E1">
        <w:t xml:space="preserve">The support measures proposed seem </w:t>
      </w:r>
      <w:r w:rsidR="00A65E1B" w:rsidRPr="002A28E1">
        <w:t xml:space="preserve">largely </w:t>
      </w:r>
      <w:r w:rsidR="00EF2D4E" w:rsidRPr="002A28E1">
        <w:t>imbued</w:t>
      </w:r>
      <w:r w:rsidR="002C3E41" w:rsidRPr="002A28E1">
        <w:t xml:space="preserve"> in the “will and preferences” paradigm. Notably,</w:t>
      </w:r>
      <w:r w:rsidR="00B47B60" w:rsidRPr="002A28E1">
        <w:t xml:space="preserve"> for instance,</w:t>
      </w:r>
      <w:r w:rsidR="002C3E41" w:rsidRPr="002A28E1">
        <w:t xml:space="preserve"> the principal making a supportive attorney appointment can choose the moment at which it enters into force,</w:t>
      </w:r>
      <w:r w:rsidR="00804A7E">
        <w:rPr>
          <w:rStyle w:val="FootnoteReference"/>
        </w:rPr>
        <w:footnoteReference w:id="942"/>
      </w:r>
      <w:r w:rsidR="002C3E41" w:rsidRPr="002A28E1">
        <w:t xml:space="preserve"> which seemingly aligns with Article 12. </w:t>
      </w:r>
      <w:r w:rsidR="00D703E3">
        <w:t xml:space="preserve">Despite this innovation, however, supportive powers of attorney cease to have effect </w:t>
      </w:r>
      <w:r w:rsidR="005C1A99">
        <w:t xml:space="preserve">when a person </w:t>
      </w:r>
      <w:proofErr w:type="gramStart"/>
      <w:r w:rsidR="005C1A99">
        <w:t>is deemed</w:t>
      </w:r>
      <w:proofErr w:type="gramEnd"/>
      <w:r w:rsidR="005C1A99">
        <w:t xml:space="preserve"> to lack</w:t>
      </w:r>
      <w:r w:rsidR="00D703E3">
        <w:t xml:space="preserve"> </w:t>
      </w:r>
      <w:r w:rsidR="00D703E3">
        <w:lastRenderedPageBreak/>
        <w:t xml:space="preserve">mental capacity </w:t>
      </w:r>
      <w:r w:rsidR="005C1A99">
        <w:t>in a given area</w:t>
      </w:r>
      <w:r w:rsidR="00D703E3">
        <w:t>,</w:t>
      </w:r>
      <w:r w:rsidR="005C1A99">
        <w:rPr>
          <w:rStyle w:val="FootnoteReference"/>
        </w:rPr>
        <w:footnoteReference w:id="943"/>
      </w:r>
      <w:r w:rsidR="00D703E3">
        <w:t xml:space="preserve"> and this is problematic from the point of view of Article 12.</w:t>
      </w:r>
      <w:r w:rsidR="00D703E3">
        <w:rPr>
          <w:rStyle w:val="FootnoteReference"/>
        </w:rPr>
        <w:footnoteReference w:id="944"/>
      </w:r>
      <w:r w:rsidR="00D703E3">
        <w:t xml:space="preserve"> </w:t>
      </w:r>
      <w:r w:rsidR="00114732">
        <w:t xml:space="preserve">Additionally, </w:t>
      </w:r>
      <w:r w:rsidR="00D55F30">
        <w:t xml:space="preserve">the “will and </w:t>
      </w:r>
      <w:r w:rsidR="00D63E84">
        <w:t>preferences</w:t>
      </w:r>
      <w:r w:rsidR="00D55F30">
        <w:t xml:space="preserve">” paradigm </w:t>
      </w:r>
      <w:r w:rsidR="00D63E84">
        <w:t>features among</w:t>
      </w:r>
      <w:r w:rsidR="00D55F30">
        <w:t xml:space="preserve"> </w:t>
      </w:r>
      <w:r w:rsidR="00182669">
        <w:t>general principles which</w:t>
      </w:r>
      <w:r w:rsidR="0087464B">
        <w:t xml:space="preserve"> s</w:t>
      </w:r>
      <w:r w:rsidR="00307682" w:rsidRPr="002A28E1">
        <w:t xml:space="preserve">upportive guardians and supportive administrators must </w:t>
      </w:r>
      <w:r w:rsidR="00182669">
        <w:t>abide by</w:t>
      </w:r>
      <w:r w:rsidR="00307682" w:rsidRPr="002A28E1">
        <w:t>.</w:t>
      </w:r>
      <w:r w:rsidR="00D63E84">
        <w:rPr>
          <w:rStyle w:val="FootnoteReference"/>
        </w:rPr>
        <w:footnoteReference w:id="945"/>
      </w:r>
      <w:r w:rsidR="00307682" w:rsidRPr="002A28E1">
        <w:t xml:space="preserve"> </w:t>
      </w:r>
      <w:r w:rsidR="005F1791">
        <w:t>Nevertheless, th</w:t>
      </w:r>
      <w:r w:rsidR="00B05ABC">
        <w:t>is</w:t>
      </w:r>
      <w:r w:rsidR="005F1791">
        <w:t xml:space="preserve"> provision </w:t>
      </w:r>
      <w:r w:rsidR="005F1791" w:rsidRPr="004E1478">
        <w:t>is rather ambiguous, as it directs support persons to uphold the supported person’s will and preferences “as far as practicable</w:t>
      </w:r>
      <w:r w:rsidR="00AF725F" w:rsidRPr="004E1478">
        <w:t>,</w:t>
      </w:r>
      <w:r w:rsidR="005F1791" w:rsidRPr="004E1478">
        <w:t>”</w:t>
      </w:r>
      <w:r w:rsidR="008B65F1" w:rsidRPr="004E1478">
        <w:rPr>
          <w:rStyle w:val="FootnoteReference"/>
        </w:rPr>
        <w:footnoteReference w:id="946"/>
      </w:r>
      <w:r w:rsidR="00AF725F" w:rsidRPr="004E1478">
        <w:t xml:space="preserve"> which risks authorizing supporters to disregard a person’s will where it is difficult to discern.</w:t>
      </w:r>
    </w:p>
    <w:p w14:paraId="12A9676B" w14:textId="77777777" w:rsidR="000A6A43" w:rsidRPr="002A28E1" w:rsidRDefault="000A6A43" w:rsidP="00FF32C6"/>
    <w:p w14:paraId="50877CF9" w14:textId="60C0DFBF" w:rsidR="001311C8" w:rsidRPr="002A28E1" w:rsidRDefault="00CF0EFA" w:rsidP="00FF32C6">
      <w:r>
        <w:t>It is critical to note that</w:t>
      </w:r>
      <w:r w:rsidR="00CD7629" w:rsidRPr="002A28E1">
        <w:t xml:space="preserve"> </w:t>
      </w:r>
      <w:r w:rsidR="0098264A" w:rsidRPr="002A28E1">
        <w:t>all three pieces of legislation</w:t>
      </w:r>
      <w:r w:rsidR="000079C5" w:rsidRPr="002A28E1">
        <w:t xml:space="preserve"> </w:t>
      </w:r>
      <w:r w:rsidR="00035883" w:rsidRPr="002A28E1">
        <w:t>discussed</w:t>
      </w:r>
      <w:r w:rsidR="00186646" w:rsidRPr="002A28E1">
        <w:t xml:space="preserve"> </w:t>
      </w:r>
      <w:r w:rsidR="002E313E" w:rsidRPr="002A28E1">
        <w:t>m</w:t>
      </w:r>
      <w:r w:rsidR="00C04395" w:rsidRPr="002A28E1">
        <w:t xml:space="preserve">ake </w:t>
      </w:r>
      <w:r w:rsidR="00487450" w:rsidRPr="002A28E1">
        <w:t xml:space="preserve">the provision of </w:t>
      </w:r>
      <w:r w:rsidR="00C04395" w:rsidRPr="002A28E1">
        <w:t>supported decision</w:t>
      </w:r>
      <w:r w:rsidR="009276B2" w:rsidRPr="002A28E1">
        <w:t>-</w:t>
      </w:r>
      <w:r w:rsidR="00C04395" w:rsidRPr="002A28E1">
        <w:t xml:space="preserve">making </w:t>
      </w:r>
      <w:r w:rsidR="00566264" w:rsidRPr="002A28E1">
        <w:t>contingent on</w:t>
      </w:r>
      <w:r w:rsidR="00A05741">
        <w:t xml:space="preserve"> </w:t>
      </w:r>
      <w:r w:rsidR="00BD2DEC">
        <w:t>satisfying</w:t>
      </w:r>
      <w:r w:rsidR="00566264" w:rsidRPr="002A28E1">
        <w:t xml:space="preserve"> a requisite level of</w:t>
      </w:r>
      <w:r w:rsidR="006C034A" w:rsidRPr="002A28E1">
        <w:t xml:space="preserve"> </w:t>
      </w:r>
      <w:r w:rsidR="00AA27E3" w:rsidRPr="002A28E1">
        <w:t>“decision-making capacity</w:t>
      </w:r>
      <w:r w:rsidR="00566264" w:rsidRPr="002A28E1">
        <w:t>.</w:t>
      </w:r>
      <w:r w:rsidR="00AA27E3" w:rsidRPr="002A28E1">
        <w:t>”</w:t>
      </w:r>
      <w:r w:rsidR="00056296">
        <w:rPr>
          <w:rStyle w:val="FootnoteReference"/>
        </w:rPr>
        <w:footnoteReference w:id="947"/>
      </w:r>
      <w:r w:rsidR="00AA27E3" w:rsidRPr="002A28E1">
        <w:t xml:space="preserve"> </w:t>
      </w:r>
      <w:r w:rsidR="00577DD4" w:rsidRPr="002A28E1">
        <w:t>This framework would seem to</w:t>
      </w:r>
      <w:r w:rsidR="00397DE1" w:rsidRPr="002A28E1">
        <w:t xml:space="preserve"> grant or</w:t>
      </w:r>
      <w:r w:rsidR="00577DD4" w:rsidRPr="002A28E1">
        <w:t xml:space="preserve"> deny supported decision-making </w:t>
      </w:r>
      <w:proofErr w:type="gramStart"/>
      <w:r w:rsidR="00577DD4" w:rsidRPr="002A28E1">
        <w:t>on the basis of</w:t>
      </w:r>
      <w:proofErr w:type="gramEnd"/>
      <w:r w:rsidR="00577DD4" w:rsidRPr="002A28E1">
        <w:t xml:space="preserve"> </w:t>
      </w:r>
      <w:r w:rsidR="00BA6495" w:rsidRPr="002A28E1">
        <w:t>an assessment</w:t>
      </w:r>
      <w:r w:rsidR="00855107" w:rsidRPr="002A28E1">
        <w:t xml:space="preserve"> of mental capacity, which is not in conformity with Article 12.</w:t>
      </w:r>
      <w:r w:rsidR="00855107" w:rsidRPr="002A28E1">
        <w:rPr>
          <w:rStyle w:val="FootnoteReference"/>
        </w:rPr>
        <w:footnoteReference w:id="948"/>
      </w:r>
      <w:r w:rsidR="00855107" w:rsidRPr="002A28E1">
        <w:t xml:space="preserve"> </w:t>
      </w:r>
    </w:p>
    <w:p w14:paraId="363FD357" w14:textId="77777777" w:rsidR="001311C8" w:rsidRPr="002A28E1" w:rsidRDefault="001311C8" w:rsidP="00FF32C6"/>
    <w:p w14:paraId="312C341E" w14:textId="07C4DB08" w:rsidR="001E62B4" w:rsidRPr="002A28E1" w:rsidRDefault="00A93716" w:rsidP="00FF32C6">
      <w:r w:rsidRPr="002A28E1">
        <w:t xml:space="preserve">The three legislative schemes do lay out certain safeguards, such as the powers of oversight vested in VCAT to receive complaints from a wide range of </w:t>
      </w:r>
      <w:proofErr w:type="gramStart"/>
      <w:r w:rsidRPr="002A28E1">
        <w:t>people and then make orders with respect to supportive attorney appoint</w:t>
      </w:r>
      <w:r w:rsidR="002A2A63" w:rsidRPr="002A28E1">
        <w:t>ment</w:t>
      </w:r>
      <w:r w:rsidRPr="002A28E1">
        <w:t>s</w:t>
      </w:r>
      <w:proofErr w:type="gramEnd"/>
      <w:r w:rsidRPr="002A28E1">
        <w:t xml:space="preserve"> and support persons for medical treatment.</w:t>
      </w:r>
      <w:r w:rsidR="006D3AFB">
        <w:rPr>
          <w:rStyle w:val="FootnoteReference"/>
        </w:rPr>
        <w:footnoteReference w:id="949"/>
      </w:r>
      <w:r w:rsidRPr="002A28E1">
        <w:t xml:space="preserve"> </w:t>
      </w:r>
      <w:r w:rsidR="00EA672D" w:rsidRPr="002A28E1">
        <w:t>Moreover, VCAT’s regular reas</w:t>
      </w:r>
      <w:r w:rsidR="0043304A" w:rsidRPr="002A28E1">
        <w:t>sess</w:t>
      </w:r>
      <w:r w:rsidR="00EA672D" w:rsidRPr="002A28E1">
        <w:t>ment of supportive guardianship and supportive administration orders constitutes a notable safeguard.</w:t>
      </w:r>
      <w:r w:rsidR="00CD4BB6">
        <w:rPr>
          <w:rStyle w:val="FootnoteReference"/>
        </w:rPr>
        <w:footnoteReference w:id="950"/>
      </w:r>
      <w:r w:rsidR="00EA672D" w:rsidRPr="002A28E1">
        <w:t xml:space="preserve"> </w:t>
      </w:r>
      <w:r w:rsidR="0059264D" w:rsidRPr="002A28E1">
        <w:t xml:space="preserve">Other safeguards </w:t>
      </w:r>
      <w:proofErr w:type="gramStart"/>
      <w:r w:rsidR="0059264D" w:rsidRPr="002A28E1">
        <w:t>may also be found</w:t>
      </w:r>
      <w:proofErr w:type="gramEnd"/>
      <w:r w:rsidR="0059264D" w:rsidRPr="002A28E1">
        <w:t xml:space="preserve"> in the long list of considerations that </w:t>
      </w:r>
      <w:r w:rsidR="005D66CB" w:rsidRPr="002A28E1">
        <w:t>VCAT must take into account when determining the suitability of a potential supportive guardian or supportive administrator.</w:t>
      </w:r>
      <w:r w:rsidR="009620A7">
        <w:rPr>
          <w:rStyle w:val="FootnoteReference"/>
        </w:rPr>
        <w:footnoteReference w:id="951"/>
      </w:r>
      <w:r w:rsidR="005D66CB" w:rsidRPr="002A28E1">
        <w:t xml:space="preserve"> </w:t>
      </w:r>
      <w:r w:rsidR="00A5668B" w:rsidRPr="002A28E1">
        <w:t xml:space="preserve">Nevertheless, it is </w:t>
      </w:r>
      <w:r w:rsidR="00233338" w:rsidRPr="004211D8">
        <w:t>possibly</w:t>
      </w:r>
      <w:r w:rsidR="00A5668B" w:rsidRPr="004211D8">
        <w:t xml:space="preserve"> troublesome from the perspective of Article 12 </w:t>
      </w:r>
      <w:r w:rsidR="00FC4E5A" w:rsidRPr="004211D8">
        <w:t xml:space="preserve">that supportive guardians and supportive administrators </w:t>
      </w:r>
      <w:proofErr w:type="gramStart"/>
      <w:r w:rsidR="00FC4E5A" w:rsidRPr="004211D8">
        <w:t>are appointed</w:t>
      </w:r>
      <w:proofErr w:type="gramEnd"/>
      <w:r w:rsidR="00FC4E5A" w:rsidRPr="004211D8">
        <w:t xml:space="preserve"> by VCAT and not by the person with disabilities themselves</w:t>
      </w:r>
      <w:r w:rsidR="007A0FDE" w:rsidRPr="004211D8">
        <w:t>. Although when evaluating the suitability</w:t>
      </w:r>
      <w:r w:rsidR="00FC3F38" w:rsidRPr="004211D8">
        <w:t xml:space="preserve"> of</w:t>
      </w:r>
      <w:r w:rsidR="007A0FDE" w:rsidRPr="004211D8">
        <w:t xml:space="preserve"> a potential supporter, VCAT</w:t>
      </w:r>
      <w:r w:rsidR="007A0FDE" w:rsidRPr="002A28E1">
        <w:t xml:space="preserve"> must “take into account […] the will and preferences of the </w:t>
      </w:r>
      <w:r w:rsidR="009C5FF3" w:rsidRPr="002A28E1">
        <w:t>supported person,”</w:t>
      </w:r>
      <w:r w:rsidR="00E628E0">
        <w:rPr>
          <w:rStyle w:val="FootnoteReference"/>
        </w:rPr>
        <w:footnoteReference w:id="952"/>
      </w:r>
      <w:r w:rsidR="009C5FF3" w:rsidRPr="002A28E1">
        <w:t xml:space="preserve"> </w:t>
      </w:r>
      <w:r w:rsidR="00117FAE" w:rsidRPr="002A28E1">
        <w:t xml:space="preserve">they are not required </w:t>
      </w:r>
      <w:r w:rsidR="008F4074" w:rsidRPr="002A28E1">
        <w:t xml:space="preserve">to adhere to the person’s will and preferences and therefore there is </w:t>
      </w:r>
      <w:r w:rsidR="00C25633" w:rsidRPr="002A28E1">
        <w:t>undoubtedly</w:t>
      </w:r>
      <w:r w:rsidR="008F4074" w:rsidRPr="002A28E1">
        <w:t xml:space="preserve"> a risk that </w:t>
      </w:r>
      <w:r w:rsidR="002B695B" w:rsidRPr="002A28E1">
        <w:t xml:space="preserve">a support person </w:t>
      </w:r>
      <w:proofErr w:type="gramStart"/>
      <w:r w:rsidR="002B695B" w:rsidRPr="002A28E1">
        <w:t>could be imposed</w:t>
      </w:r>
      <w:proofErr w:type="gramEnd"/>
      <w:r w:rsidR="002B695B" w:rsidRPr="002A28E1">
        <w:t xml:space="preserve"> </w:t>
      </w:r>
      <w:r w:rsidR="00CE1396" w:rsidRPr="002A28E1">
        <w:t xml:space="preserve">on an </w:t>
      </w:r>
      <w:r w:rsidR="00C25633" w:rsidRPr="002A28E1">
        <w:t>individual</w:t>
      </w:r>
      <w:r w:rsidR="00CE1396" w:rsidRPr="002A28E1">
        <w:t xml:space="preserve"> </w:t>
      </w:r>
      <w:r w:rsidR="002B695B" w:rsidRPr="002A28E1">
        <w:t>against the</w:t>
      </w:r>
      <w:r w:rsidR="00F305DC" w:rsidRPr="002A28E1">
        <w:t>ir</w:t>
      </w:r>
      <w:r w:rsidR="002B695B" w:rsidRPr="002A28E1">
        <w:t xml:space="preserve"> </w:t>
      </w:r>
      <w:r w:rsidR="003C1D75" w:rsidRPr="002A28E1">
        <w:t>will</w:t>
      </w:r>
      <w:r w:rsidR="00E926E4" w:rsidRPr="002A28E1">
        <w:t xml:space="preserve">. </w:t>
      </w:r>
      <w:r w:rsidR="001D64D0" w:rsidRPr="002A28E1">
        <w:t xml:space="preserve">This risk </w:t>
      </w:r>
      <w:proofErr w:type="gramStart"/>
      <w:r w:rsidR="003643FF" w:rsidRPr="002A28E1">
        <w:t>is compounded</w:t>
      </w:r>
      <w:proofErr w:type="gramEnd"/>
      <w:r w:rsidR="003643FF" w:rsidRPr="002A28E1">
        <w:t xml:space="preserve"> by the fact that persons other than the person with disabilities </w:t>
      </w:r>
      <w:r w:rsidR="00EB2759" w:rsidRPr="002A28E1">
        <w:t>themselves</w:t>
      </w:r>
      <w:r w:rsidR="00010A62" w:rsidRPr="002A28E1">
        <w:t xml:space="preserve"> </w:t>
      </w:r>
      <w:r w:rsidR="003643FF" w:rsidRPr="002A28E1">
        <w:t xml:space="preserve">may apply to VCAT </w:t>
      </w:r>
      <w:r w:rsidR="00D604B3">
        <w:t xml:space="preserve">in the first place to request </w:t>
      </w:r>
      <w:r w:rsidR="00C25633" w:rsidRPr="002A28E1">
        <w:t>supportive</w:t>
      </w:r>
      <w:r w:rsidR="003643FF" w:rsidRPr="002A28E1">
        <w:t xml:space="preserve"> guardianship and supportive administration orders.</w:t>
      </w:r>
      <w:r w:rsidR="003643FF" w:rsidRPr="002A28E1">
        <w:rPr>
          <w:rStyle w:val="FootnoteReference"/>
        </w:rPr>
        <w:footnoteReference w:id="953"/>
      </w:r>
      <w:r w:rsidR="003C1D75" w:rsidRPr="002A28E1">
        <w:t xml:space="preserve"> </w:t>
      </w:r>
    </w:p>
    <w:p w14:paraId="7C71A7FA" w14:textId="2F4611B1" w:rsidR="007D527C" w:rsidRPr="002A28E1" w:rsidRDefault="007D527C" w:rsidP="00FF32C6"/>
    <w:p w14:paraId="2E216E1F" w14:textId="72F39563" w:rsidR="007D527C" w:rsidRPr="001367AA" w:rsidRDefault="007D527C" w:rsidP="00FF32C6">
      <w:r w:rsidRPr="001367AA">
        <w:t xml:space="preserve">Victoria’s legislation does not </w:t>
      </w:r>
      <w:r w:rsidR="003B6A49" w:rsidRPr="001367AA">
        <w:t xml:space="preserve">explicitly </w:t>
      </w:r>
      <w:r w:rsidRPr="001367AA">
        <w:t xml:space="preserve">recognize </w:t>
      </w:r>
      <w:r w:rsidR="00F979A6" w:rsidRPr="001367AA">
        <w:t xml:space="preserve">universal legal </w:t>
      </w:r>
      <w:r w:rsidR="008537DB" w:rsidRPr="001367AA">
        <w:t>capacity to all persons with disabilities</w:t>
      </w:r>
      <w:r w:rsidR="00CB48D5" w:rsidRPr="001367AA">
        <w:t>, as demanded by Article 12.</w:t>
      </w:r>
      <w:r w:rsidR="00B8035B" w:rsidRPr="001367AA">
        <w:t xml:space="preserve"> </w:t>
      </w:r>
      <w:r w:rsidR="000C3E90" w:rsidRPr="001367AA">
        <w:t xml:space="preserve">Victoria’s legislation </w:t>
      </w:r>
      <w:r w:rsidR="007861FD" w:rsidRPr="001367AA">
        <w:t>also</w:t>
      </w:r>
      <w:r w:rsidR="000C3E90" w:rsidRPr="001367AA">
        <w:t xml:space="preserve"> maintain</w:t>
      </w:r>
      <w:r w:rsidR="00DD4E88" w:rsidRPr="001367AA">
        <w:t>s</w:t>
      </w:r>
      <w:r w:rsidR="001005D5" w:rsidRPr="001367AA">
        <w:t xml:space="preserve"> what arguably</w:t>
      </w:r>
      <w:r w:rsidR="00611193" w:rsidRPr="001367AA">
        <w:t xml:space="preserve"> </w:t>
      </w:r>
      <w:r w:rsidR="00DD7F08" w:rsidRPr="001367AA">
        <w:t xml:space="preserve">constitute </w:t>
      </w:r>
      <w:r w:rsidR="00F02062" w:rsidRPr="001367AA">
        <w:t>measures</w:t>
      </w:r>
      <w:r w:rsidR="0046351D" w:rsidRPr="001367AA">
        <w:t xml:space="preserve"> of substitute decision-making </w:t>
      </w:r>
      <w:r w:rsidR="00295922" w:rsidRPr="001367AA">
        <w:t>in the form of</w:t>
      </w:r>
      <w:r w:rsidR="0046351D" w:rsidRPr="001367AA">
        <w:t xml:space="preserve"> </w:t>
      </w:r>
      <w:r w:rsidR="000702EC" w:rsidRPr="001367AA">
        <w:t xml:space="preserve">guardianship and </w:t>
      </w:r>
      <w:r w:rsidR="009B1B84" w:rsidRPr="001367AA">
        <w:t xml:space="preserve">administration, </w:t>
      </w:r>
      <w:r w:rsidR="00E45709" w:rsidRPr="001367AA">
        <w:t>arrangements</w:t>
      </w:r>
      <w:r w:rsidR="00B86356" w:rsidRPr="001367AA">
        <w:t xml:space="preserve"> under which</w:t>
      </w:r>
      <w:r w:rsidR="009B1B84" w:rsidRPr="001367AA">
        <w:t xml:space="preserve"> decisions </w:t>
      </w:r>
      <w:proofErr w:type="gramStart"/>
      <w:r w:rsidR="009B1B84" w:rsidRPr="001367AA">
        <w:t>are made</w:t>
      </w:r>
      <w:proofErr w:type="gramEnd"/>
      <w:r w:rsidR="009B1B84" w:rsidRPr="001367AA">
        <w:t xml:space="preserve"> on behalf of </w:t>
      </w:r>
      <w:r w:rsidR="00204B52" w:rsidRPr="001367AA">
        <w:t>a person with disabilities</w:t>
      </w:r>
      <w:r w:rsidR="00392A89" w:rsidRPr="001367AA">
        <w:rPr>
          <w:rStyle w:val="FootnoteReference"/>
        </w:rPr>
        <w:footnoteReference w:id="954"/>
      </w:r>
      <w:r w:rsidR="004F1AB2" w:rsidRPr="001367AA">
        <w:t xml:space="preserve"> and potentially against their will</w:t>
      </w:r>
      <w:r w:rsidR="00204B52" w:rsidRPr="001367AA">
        <w:t>.</w:t>
      </w:r>
      <w:r w:rsidR="00920989" w:rsidRPr="001367AA">
        <w:rPr>
          <w:rStyle w:val="FootnoteReference"/>
        </w:rPr>
        <w:footnoteReference w:id="955"/>
      </w:r>
      <w:r w:rsidR="00204B52" w:rsidRPr="001367AA">
        <w:t xml:space="preserve"> </w:t>
      </w:r>
      <w:r w:rsidR="009E0FBB" w:rsidRPr="001367AA">
        <w:t xml:space="preserve">Moreover, guardianship and administration </w:t>
      </w:r>
      <w:r w:rsidR="009E0FBB" w:rsidRPr="001367AA">
        <w:lastRenderedPageBreak/>
        <w:t xml:space="preserve">orders in Victoria </w:t>
      </w:r>
      <w:r w:rsidR="00B8705A" w:rsidRPr="001367AA">
        <w:t xml:space="preserve">are made </w:t>
      </w:r>
      <w:proofErr w:type="gramStart"/>
      <w:r w:rsidR="00B8705A" w:rsidRPr="001367AA">
        <w:t>on the basis of</w:t>
      </w:r>
      <w:proofErr w:type="gramEnd"/>
      <w:r w:rsidR="00B8705A" w:rsidRPr="001367AA">
        <w:t xml:space="preserve"> a person’s </w:t>
      </w:r>
      <w:r w:rsidR="00CD07CB" w:rsidRPr="001367AA">
        <w:t>“</w:t>
      </w:r>
      <w:r w:rsidR="00B8705A" w:rsidRPr="001367AA">
        <w:t>disability</w:t>
      </w:r>
      <w:r w:rsidR="00CD07CB" w:rsidRPr="001367AA">
        <w:t>”</w:t>
      </w:r>
      <w:r w:rsidR="00B8705A" w:rsidRPr="001367AA">
        <w:t xml:space="preserve"> and their </w:t>
      </w:r>
      <w:r w:rsidR="00CD07CB" w:rsidRPr="001367AA">
        <w:t>“</w:t>
      </w:r>
      <w:r w:rsidR="00B8705A" w:rsidRPr="001367AA">
        <w:t xml:space="preserve">decision-making </w:t>
      </w:r>
      <w:r w:rsidR="002771B6" w:rsidRPr="001367AA">
        <w:t>capacity</w:t>
      </w:r>
      <w:r w:rsidR="004E6029" w:rsidRPr="001367AA">
        <w:t>,</w:t>
      </w:r>
      <w:r w:rsidR="00CD07CB" w:rsidRPr="001367AA">
        <w:t>”</w:t>
      </w:r>
      <w:r w:rsidR="00B6537E" w:rsidRPr="001367AA">
        <w:rPr>
          <w:rStyle w:val="FootnoteReference"/>
        </w:rPr>
        <w:footnoteReference w:id="956"/>
      </w:r>
      <w:r w:rsidR="004E6029" w:rsidRPr="001367AA">
        <w:t xml:space="preserve"> </w:t>
      </w:r>
      <w:r w:rsidR="00653652" w:rsidRPr="001367AA">
        <w:t xml:space="preserve">thus restricting the </w:t>
      </w:r>
      <w:r w:rsidR="001367AA">
        <w:t>exercise of</w:t>
      </w:r>
      <w:r w:rsidR="004D25BC">
        <w:t xml:space="preserve"> </w:t>
      </w:r>
      <w:r w:rsidR="004E6029" w:rsidRPr="001367AA">
        <w:t xml:space="preserve">legal capacity </w:t>
      </w:r>
      <w:r w:rsidR="00DD1812">
        <w:t>for</w:t>
      </w:r>
      <w:r w:rsidR="004E6029" w:rsidRPr="001367AA">
        <w:t xml:space="preserve"> persons with disabilities in a manner contrary to Article 12.</w:t>
      </w:r>
      <w:r w:rsidR="004E6029" w:rsidRPr="001367AA">
        <w:rPr>
          <w:rStyle w:val="FootnoteReference"/>
        </w:rPr>
        <w:footnoteReference w:id="957"/>
      </w:r>
      <w:r w:rsidR="00CD07CB" w:rsidRPr="001367AA">
        <w:t xml:space="preserve"> </w:t>
      </w:r>
      <w:r w:rsidR="00BA5420" w:rsidRPr="001367AA">
        <w:t xml:space="preserve">Therefore, although Victoria has introduced </w:t>
      </w:r>
      <w:r w:rsidR="00AD6035" w:rsidRPr="001367AA">
        <w:t>detailed</w:t>
      </w:r>
      <w:r w:rsidR="00BA5420" w:rsidRPr="001367AA">
        <w:t xml:space="preserve"> support systems</w:t>
      </w:r>
      <w:r w:rsidR="00AD6035" w:rsidRPr="001367AA">
        <w:t xml:space="preserve"> into </w:t>
      </w:r>
      <w:r w:rsidR="002F4215" w:rsidRPr="001367AA">
        <w:t>several pieces of</w:t>
      </w:r>
      <w:r w:rsidR="00394FB7" w:rsidRPr="001367AA">
        <w:t xml:space="preserve"> legislation, </w:t>
      </w:r>
      <w:r w:rsidR="00DF2D59" w:rsidRPr="001367AA">
        <w:t>eliminating substituted decision-making would be a critical step towar</w:t>
      </w:r>
      <w:r w:rsidR="00CA20B1" w:rsidRPr="001367AA">
        <w:t xml:space="preserve">ds </w:t>
      </w:r>
      <w:r w:rsidR="000261B4" w:rsidRPr="001367AA">
        <w:t>satisfying</w:t>
      </w:r>
      <w:r w:rsidR="00177C39" w:rsidRPr="001367AA">
        <w:t xml:space="preserve"> the requirements of Article 12. This may be a difficult </w:t>
      </w:r>
      <w:r w:rsidR="00FF3B11" w:rsidRPr="001367AA">
        <w:t>goal to achieve, however, in light of Australia’s declaration asserting that the CRPD allows for substitute</w:t>
      </w:r>
      <w:r w:rsidR="00F252AE" w:rsidRPr="001367AA">
        <w:t>d</w:t>
      </w:r>
      <w:r w:rsidR="00FF3B11" w:rsidRPr="001367AA">
        <w:t xml:space="preserve"> decision-making measures.  </w:t>
      </w:r>
    </w:p>
    <w:p w14:paraId="55AAFD11" w14:textId="3FCDCDF0" w:rsidR="00267C24" w:rsidRPr="002A28E1" w:rsidRDefault="00FF32C6" w:rsidP="0079310E">
      <w:pPr>
        <w:rPr>
          <w:rFonts w:ascii="Arial" w:hAnsi="Arial" w:cs="Arial"/>
          <w:sz w:val="22"/>
          <w:szCs w:val="22"/>
        </w:rPr>
      </w:pPr>
      <w:r w:rsidRPr="002A28E1">
        <w:rPr>
          <w:b/>
          <w:sz w:val="32"/>
          <w:szCs w:val="32"/>
        </w:rPr>
        <w:br w:type="page"/>
      </w:r>
    </w:p>
    <w:p w14:paraId="5562371B" w14:textId="4B28E8E6" w:rsidR="00AC00CE" w:rsidRPr="002A28E1" w:rsidRDefault="00AC00CE" w:rsidP="00AC00CE">
      <w:pPr>
        <w:pStyle w:val="Heading1"/>
        <w:rPr>
          <w:sz w:val="24"/>
          <w:szCs w:val="24"/>
        </w:rPr>
      </w:pPr>
      <w:bookmarkStart w:id="106" w:name="_Toc16081769"/>
      <w:r w:rsidRPr="002A28E1">
        <w:lastRenderedPageBreak/>
        <w:t>Discussion</w:t>
      </w:r>
      <w:bookmarkEnd w:id="106"/>
    </w:p>
    <w:p w14:paraId="42DD8C86" w14:textId="3EFE08DE" w:rsidR="008E4AC0" w:rsidRPr="002A28E1" w:rsidRDefault="008A5E4D" w:rsidP="00A7547F">
      <w:r w:rsidRPr="002A28E1">
        <w:t>Th</w:t>
      </w:r>
      <w:r w:rsidR="00107555" w:rsidRPr="002A28E1">
        <w:t>is overview of legislative reforms pertaining to legal capacity</w:t>
      </w:r>
      <w:r w:rsidRPr="002A28E1">
        <w:t xml:space="preserve"> </w:t>
      </w:r>
      <w:r w:rsidR="00B84EBE" w:rsidRPr="002A28E1">
        <w:t xml:space="preserve">evidences </w:t>
      </w:r>
      <w:r w:rsidR="00F64DD7" w:rsidRPr="002A28E1">
        <w:t xml:space="preserve">a </w:t>
      </w:r>
      <w:r w:rsidR="00B84EBE" w:rsidRPr="002A28E1">
        <w:t xml:space="preserve">considerable diversity </w:t>
      </w:r>
      <w:r w:rsidR="003E72A4" w:rsidRPr="002A28E1">
        <w:t>in</w:t>
      </w:r>
      <w:r w:rsidR="00B84EBE" w:rsidRPr="002A28E1">
        <w:t xml:space="preserve"> </w:t>
      </w:r>
      <w:r w:rsidR="00604EC3" w:rsidRPr="002A28E1">
        <w:t xml:space="preserve">the </w:t>
      </w:r>
      <w:r w:rsidR="003E72A4" w:rsidRPr="002A28E1">
        <w:t>approaches adopted. The substantive content of the reforms varies significantly,</w:t>
      </w:r>
      <w:r w:rsidR="00B84EBE" w:rsidRPr="002A28E1">
        <w:t xml:space="preserve"> </w:t>
      </w:r>
      <w:r w:rsidR="003E72A4" w:rsidRPr="002A28E1">
        <w:t xml:space="preserve">as does </w:t>
      </w:r>
      <w:r w:rsidR="00B84EBE" w:rsidRPr="002A28E1">
        <w:t xml:space="preserve">the level of detail in which </w:t>
      </w:r>
      <w:r w:rsidR="003E72A4" w:rsidRPr="002A28E1">
        <w:t>the reforms</w:t>
      </w:r>
      <w:r w:rsidR="00B84EBE" w:rsidRPr="002A28E1">
        <w:t xml:space="preserve"> </w:t>
      </w:r>
      <w:proofErr w:type="gramStart"/>
      <w:r w:rsidR="00B84EBE" w:rsidRPr="002A28E1">
        <w:t>are described</w:t>
      </w:r>
      <w:proofErr w:type="gramEnd"/>
      <w:r w:rsidR="00B84EBE" w:rsidRPr="002A28E1">
        <w:t>.</w:t>
      </w:r>
      <w:r w:rsidR="002A7217" w:rsidRPr="002A28E1">
        <w:t xml:space="preserve"> </w:t>
      </w:r>
      <w:r w:rsidR="00FE47E5" w:rsidRPr="002A28E1">
        <w:t>The</w:t>
      </w:r>
      <w:r w:rsidR="000454F2" w:rsidRPr="002A28E1">
        <w:t xml:space="preserve"> “progressiveness” of</w:t>
      </w:r>
      <w:r w:rsidR="00A0146D" w:rsidRPr="002A28E1">
        <w:t xml:space="preserve"> the</w:t>
      </w:r>
      <w:r w:rsidR="00FE47E5" w:rsidRPr="002A28E1">
        <w:t xml:space="preserve"> language employed </w:t>
      </w:r>
      <w:r w:rsidR="002432B9" w:rsidRPr="002A28E1">
        <w:t>in e</w:t>
      </w:r>
      <w:r w:rsidR="002A7217" w:rsidRPr="002A28E1">
        <w:t xml:space="preserve">ach </w:t>
      </w:r>
      <w:r w:rsidR="003C6179" w:rsidRPr="002A28E1">
        <w:t>approach</w:t>
      </w:r>
      <w:r w:rsidR="004C37CA" w:rsidRPr="002A28E1">
        <w:t xml:space="preserve"> </w:t>
      </w:r>
      <w:r w:rsidR="00FA2667" w:rsidRPr="002A28E1">
        <w:t>undoubtedly</w:t>
      </w:r>
      <w:r w:rsidR="003C6179" w:rsidRPr="002A28E1">
        <w:t xml:space="preserve"> reveals different vision</w:t>
      </w:r>
      <w:r w:rsidR="009561F1" w:rsidRPr="002A28E1">
        <w:t>s</w:t>
      </w:r>
      <w:r w:rsidR="003C6179" w:rsidRPr="002A28E1">
        <w:t xml:space="preserve"> </w:t>
      </w:r>
      <w:r w:rsidR="00F03E24" w:rsidRPr="002A28E1">
        <w:t>of disability rights</w:t>
      </w:r>
      <w:r w:rsidR="00395B6B" w:rsidRPr="002A28E1">
        <w:t xml:space="preserve"> and signals </w:t>
      </w:r>
      <w:r w:rsidR="004C239D" w:rsidRPr="002A28E1">
        <w:t>diverse degrees of compliance with Article 12 of the CRPD.</w:t>
      </w:r>
      <w:r w:rsidR="00515DF6" w:rsidRPr="002A28E1">
        <w:t xml:space="preserve"> The following section will pinpoint some</w:t>
      </w:r>
      <w:r w:rsidR="000B3C13" w:rsidRPr="002A28E1">
        <w:t xml:space="preserve"> </w:t>
      </w:r>
      <w:r w:rsidR="00515DF6" w:rsidRPr="002A28E1">
        <w:t xml:space="preserve">common </w:t>
      </w:r>
      <w:r w:rsidR="009B25D3" w:rsidRPr="002A28E1">
        <w:t>trends</w:t>
      </w:r>
      <w:r w:rsidR="002F557B" w:rsidRPr="002A28E1">
        <w:t xml:space="preserve"> in</w:t>
      </w:r>
      <w:r w:rsidR="00993BDE" w:rsidRPr="002A28E1">
        <w:t xml:space="preserve"> the legislative reform</w:t>
      </w:r>
      <w:r w:rsidR="00F77694" w:rsidRPr="002A28E1">
        <w:t xml:space="preserve"> process</w:t>
      </w:r>
      <w:r w:rsidR="002045A5">
        <w:t>es</w:t>
      </w:r>
      <w:r w:rsidR="00560B73" w:rsidRPr="002A28E1">
        <w:t xml:space="preserve">, with a focus on </w:t>
      </w:r>
      <w:r w:rsidR="00D96993" w:rsidRPr="002A28E1">
        <w:t>shared challenges encountered</w:t>
      </w:r>
      <w:r w:rsidR="00D97A72" w:rsidRPr="002A28E1">
        <w:t>. As</w:t>
      </w:r>
      <w:r w:rsidR="00E40919" w:rsidRPr="002A28E1">
        <w:t xml:space="preserve"> well,</w:t>
      </w:r>
      <w:r w:rsidR="00E91084" w:rsidRPr="002A28E1">
        <w:t xml:space="preserve"> this discussion will highlight innovations </w:t>
      </w:r>
      <w:r w:rsidR="00AE5966">
        <w:t>contained</w:t>
      </w:r>
      <w:r w:rsidR="00E91084" w:rsidRPr="002A28E1">
        <w:t xml:space="preserve"> in </w:t>
      </w:r>
      <w:r w:rsidR="00070E4A">
        <w:t>certain</w:t>
      </w:r>
      <w:r w:rsidR="00E91084" w:rsidRPr="002A28E1">
        <w:t xml:space="preserve"> legislative schemes, with the </w:t>
      </w:r>
      <w:r w:rsidR="003C51AB" w:rsidRPr="002A28E1">
        <w:t>idea</w:t>
      </w:r>
      <w:r w:rsidR="00E91084" w:rsidRPr="002A28E1">
        <w:t xml:space="preserve"> that these could provide soluti</w:t>
      </w:r>
      <w:r w:rsidR="00D93844" w:rsidRPr="002A28E1">
        <w:t>o</w:t>
      </w:r>
      <w:r w:rsidR="00E91084" w:rsidRPr="002A28E1">
        <w:t xml:space="preserve">ns to some </w:t>
      </w:r>
      <w:r w:rsidR="00AC6FD0" w:rsidRPr="002A28E1">
        <w:t xml:space="preserve">of the </w:t>
      </w:r>
      <w:r w:rsidR="00BC6AD6" w:rsidRPr="002A28E1">
        <w:t>common pitfalls.</w:t>
      </w:r>
    </w:p>
    <w:p w14:paraId="2EE6B035" w14:textId="21EE4A57" w:rsidR="004521C6" w:rsidRDefault="004521C6" w:rsidP="00A7547F"/>
    <w:p w14:paraId="4DA6B183" w14:textId="0F64CD8B" w:rsidR="00BF03A6" w:rsidRDefault="00BF03A6" w:rsidP="00BF03A6">
      <w:pPr>
        <w:pStyle w:val="Heading2"/>
      </w:pPr>
      <w:bookmarkStart w:id="107" w:name="_Toc16081770"/>
      <w:r>
        <w:t>The Role of Civil Society</w:t>
      </w:r>
      <w:bookmarkEnd w:id="107"/>
      <w:r>
        <w:t xml:space="preserve"> </w:t>
      </w:r>
    </w:p>
    <w:p w14:paraId="292E0F82" w14:textId="77777777" w:rsidR="00BF03A6" w:rsidRPr="002A28E1" w:rsidRDefault="00BF03A6" w:rsidP="00A7547F"/>
    <w:p w14:paraId="4B87D10A" w14:textId="7B47BE5E" w:rsidR="001B4C47" w:rsidRPr="002A28E1" w:rsidRDefault="00B111A9" w:rsidP="00A7547F">
      <w:r w:rsidRPr="002A28E1">
        <w:t xml:space="preserve">Firstly, </w:t>
      </w:r>
      <w:r w:rsidR="00EC2105">
        <w:t xml:space="preserve">one may observe </w:t>
      </w:r>
      <w:r w:rsidR="00E11802" w:rsidRPr="002A28E1">
        <w:t xml:space="preserve">the </w:t>
      </w:r>
      <w:r w:rsidR="00C11CCB" w:rsidRPr="002A28E1">
        <w:t xml:space="preserve">central role of civil society </w:t>
      </w:r>
      <w:r w:rsidR="0094545B" w:rsidRPr="002A28E1">
        <w:t xml:space="preserve">in </w:t>
      </w:r>
      <w:r w:rsidR="002703A8">
        <w:t xml:space="preserve">the </w:t>
      </w:r>
      <w:r w:rsidR="0043238F" w:rsidRPr="002A28E1">
        <w:t>initiat</w:t>
      </w:r>
      <w:r w:rsidR="002703A8">
        <w:t>ion of</w:t>
      </w:r>
      <w:r w:rsidR="0094545B" w:rsidRPr="002A28E1">
        <w:t xml:space="preserve"> </w:t>
      </w:r>
      <w:r w:rsidR="00FC4C55" w:rsidRPr="002A28E1">
        <w:t>legislative reform</w:t>
      </w:r>
      <w:r w:rsidR="002703A8">
        <w:t>s</w:t>
      </w:r>
      <w:r w:rsidR="00323059" w:rsidRPr="002A28E1">
        <w:t>.</w:t>
      </w:r>
      <w:r w:rsidR="00E857A1" w:rsidRPr="002A28E1">
        <w:t xml:space="preserve"> </w:t>
      </w:r>
      <w:r w:rsidR="00144FFD">
        <w:t>In</w:t>
      </w:r>
      <w:r w:rsidR="003F40F0">
        <w:t xml:space="preserve"> the jurisdictions studied in this report</w:t>
      </w:r>
      <w:r w:rsidR="0019229F" w:rsidRPr="002A28E1">
        <w:t>,</w:t>
      </w:r>
      <w:r w:rsidR="00635C0B" w:rsidRPr="002A28E1">
        <w:t xml:space="preserve"> civil society organizations</w:t>
      </w:r>
      <w:r w:rsidR="00216EC1" w:rsidRPr="002A28E1">
        <w:t xml:space="preserve"> </w:t>
      </w:r>
      <w:r w:rsidR="001660E1">
        <w:t>were</w:t>
      </w:r>
      <w:r w:rsidR="00863055">
        <w:t xml:space="preserve"> generally</w:t>
      </w:r>
      <w:r w:rsidR="00216EC1" w:rsidRPr="002A28E1">
        <w:t xml:space="preserve"> </w:t>
      </w:r>
      <w:r w:rsidR="00EC0E1B" w:rsidRPr="002A28E1">
        <w:t>heavily involved</w:t>
      </w:r>
      <w:r w:rsidR="00635C0B" w:rsidRPr="002A28E1">
        <w:t xml:space="preserve"> in drafting legislation and </w:t>
      </w:r>
      <w:r w:rsidR="00464A18" w:rsidRPr="002A28E1">
        <w:t xml:space="preserve">advocating </w:t>
      </w:r>
      <w:r w:rsidR="00531B74" w:rsidRPr="002A28E1">
        <w:t xml:space="preserve">for </w:t>
      </w:r>
      <w:r w:rsidR="00FF7813" w:rsidRPr="002A28E1">
        <w:t>government</w:t>
      </w:r>
      <w:r w:rsidR="00AE2FA2" w:rsidRPr="002A28E1">
        <w:t>al</w:t>
      </w:r>
      <w:r w:rsidR="00531B74" w:rsidRPr="002A28E1">
        <w:t xml:space="preserve"> </w:t>
      </w:r>
      <w:r w:rsidR="00D657CC" w:rsidRPr="002A28E1">
        <w:t>enactment</w:t>
      </w:r>
      <w:r w:rsidR="00531B74" w:rsidRPr="002A28E1">
        <w:t xml:space="preserve"> </w:t>
      </w:r>
      <w:r w:rsidR="005B12D1" w:rsidRPr="002A28E1">
        <w:t xml:space="preserve">of </w:t>
      </w:r>
      <w:r w:rsidR="009165BC" w:rsidRPr="002A28E1">
        <w:t xml:space="preserve">legal capacity </w:t>
      </w:r>
      <w:r w:rsidR="005B12D1" w:rsidRPr="002A28E1">
        <w:t>reforms</w:t>
      </w:r>
      <w:r w:rsidR="00B00087" w:rsidRPr="002A28E1">
        <w:t xml:space="preserve">. </w:t>
      </w:r>
      <w:r w:rsidR="009F3707" w:rsidRPr="002A28E1">
        <w:t xml:space="preserve">Even in the countries where seminal court judgements </w:t>
      </w:r>
      <w:proofErr w:type="gramStart"/>
      <w:r w:rsidR="009F3707" w:rsidRPr="002A28E1">
        <w:t>are seen</w:t>
      </w:r>
      <w:proofErr w:type="gramEnd"/>
      <w:r w:rsidR="009F3707" w:rsidRPr="002A28E1">
        <w:t xml:space="preserve"> to have catalyzed the legislative reforms, civil society played an instrumental part, bringing these cases on behalf of persons with disabilities.</w:t>
      </w:r>
      <w:r w:rsidR="009F3707" w:rsidRPr="002A28E1">
        <w:rPr>
          <w:rStyle w:val="FootnoteReference"/>
        </w:rPr>
        <w:footnoteReference w:id="958"/>
      </w:r>
      <w:r w:rsidR="009F3707" w:rsidRPr="002A28E1">
        <w:t xml:space="preserve"> </w:t>
      </w:r>
    </w:p>
    <w:p w14:paraId="10E8F3BD" w14:textId="77777777" w:rsidR="001B4C47" w:rsidRPr="002A28E1" w:rsidRDefault="001B4C47" w:rsidP="00A7547F"/>
    <w:p w14:paraId="3428D08C" w14:textId="13244066" w:rsidR="00371B75" w:rsidRPr="002A28E1" w:rsidRDefault="00291984" w:rsidP="00A7547F">
      <w:r w:rsidRPr="00136084">
        <w:t>The CRPD has been at the heart of m</w:t>
      </w:r>
      <w:r w:rsidR="00CF58A6" w:rsidRPr="00136084">
        <w:t xml:space="preserve">any civil society efforts. </w:t>
      </w:r>
      <w:r w:rsidR="002847F1" w:rsidRPr="00136084">
        <w:t xml:space="preserve">In </w:t>
      </w:r>
      <w:r w:rsidR="0047510F" w:rsidRPr="00136084">
        <w:t>numerous</w:t>
      </w:r>
      <w:r w:rsidR="002847F1" w:rsidRPr="00136084">
        <w:t xml:space="preserve"> </w:t>
      </w:r>
      <w:r w:rsidR="00DC0DCE" w:rsidRPr="00136084">
        <w:t>countries</w:t>
      </w:r>
      <w:r w:rsidR="002847F1" w:rsidRPr="00136084">
        <w:t xml:space="preserve">, civil society actors </w:t>
      </w:r>
      <w:r w:rsidR="00DC3E6D" w:rsidRPr="00136084">
        <w:t>pressed for legislative reform in line with the UN Convention.</w:t>
      </w:r>
      <w:r w:rsidR="00C21C7A" w:rsidRPr="00136084">
        <w:rPr>
          <w:rStyle w:val="FootnoteReference"/>
        </w:rPr>
        <w:footnoteReference w:id="959"/>
      </w:r>
      <w:r w:rsidR="00DC3E6D" w:rsidRPr="00136084">
        <w:t xml:space="preserve"> Many </w:t>
      </w:r>
      <w:r w:rsidR="006C4FFA" w:rsidRPr="00136084">
        <w:t>civil society organizations</w:t>
      </w:r>
      <w:r w:rsidR="00DC3E6D" w:rsidRPr="00136084">
        <w:t xml:space="preserve"> expressed their </w:t>
      </w:r>
      <w:r w:rsidR="00E22274" w:rsidRPr="00136084">
        <w:t>ultimate</w:t>
      </w:r>
      <w:r w:rsidR="00FD1949" w:rsidRPr="00136084">
        <w:t xml:space="preserve"> </w:t>
      </w:r>
      <w:r w:rsidR="00DC3E6D" w:rsidRPr="00136084">
        <w:t xml:space="preserve">dissatisfaction with legislative </w:t>
      </w:r>
      <w:r w:rsidR="009108B2" w:rsidRPr="00136084">
        <w:t>changes</w:t>
      </w:r>
      <w:r w:rsidR="00DC3E6D" w:rsidRPr="00136084">
        <w:t xml:space="preserve"> that in their view fell short of compliance with the Convention.</w:t>
      </w:r>
      <w:r w:rsidR="00936C47" w:rsidRPr="00136084">
        <w:rPr>
          <w:rStyle w:val="FootnoteReference"/>
        </w:rPr>
        <w:footnoteReference w:id="960"/>
      </w:r>
      <w:r w:rsidR="00DC3E6D" w:rsidRPr="00136084">
        <w:t xml:space="preserve"> </w:t>
      </w:r>
      <w:r w:rsidR="00A1327C" w:rsidRPr="00136084">
        <w:t>Nevertheless</w:t>
      </w:r>
      <w:r w:rsidR="00893AA5" w:rsidRPr="00136084">
        <w:t>, t</w:t>
      </w:r>
      <w:r w:rsidR="00F829A0" w:rsidRPr="00136084">
        <w:t xml:space="preserve">he reforms </w:t>
      </w:r>
      <w:r w:rsidR="007A7284" w:rsidRPr="00136084">
        <w:t>enacted</w:t>
      </w:r>
      <w:r w:rsidR="00F829A0" w:rsidRPr="00136084">
        <w:t xml:space="preserve"> in Canada prior to the adoption of the CRPD</w:t>
      </w:r>
      <w:r w:rsidR="008E02E3" w:rsidRPr="00136084">
        <w:t>,</w:t>
      </w:r>
      <w:r w:rsidR="00F829A0" w:rsidRPr="00136084">
        <w:t xml:space="preserve"> </w:t>
      </w:r>
      <w:r w:rsidR="00631979" w:rsidRPr="00136084">
        <w:t xml:space="preserve">as well as </w:t>
      </w:r>
      <w:r w:rsidR="006273C1" w:rsidRPr="00136084">
        <w:t>th</w:t>
      </w:r>
      <w:r w:rsidR="00F41EF4" w:rsidRPr="00136084">
        <w:t>e</w:t>
      </w:r>
      <w:r w:rsidR="00630C75" w:rsidRPr="00136084">
        <w:t xml:space="preserve"> legislative </w:t>
      </w:r>
      <w:r w:rsidR="00BC2AA2" w:rsidRPr="00136084">
        <w:t>developments</w:t>
      </w:r>
      <w:r w:rsidR="006273C1" w:rsidRPr="00136084">
        <w:t xml:space="preserve"> in the </w:t>
      </w:r>
      <w:r w:rsidR="00911D92" w:rsidRPr="00136084">
        <w:t xml:space="preserve">United </w:t>
      </w:r>
      <w:proofErr w:type="gramStart"/>
      <w:r w:rsidR="00911D92" w:rsidRPr="00136084">
        <w:t>States</w:t>
      </w:r>
      <w:r w:rsidR="00276F5F" w:rsidRPr="00136084">
        <w:t xml:space="preserve"> which</w:t>
      </w:r>
      <w:proofErr w:type="gramEnd"/>
      <w:r w:rsidR="00276F5F" w:rsidRPr="00136084">
        <w:t xml:space="preserve"> took place in the absence of </w:t>
      </w:r>
      <w:r w:rsidR="00027A51" w:rsidRPr="00136084">
        <w:t>the</w:t>
      </w:r>
      <w:r w:rsidR="00027A51" w:rsidRPr="002A28E1">
        <w:t xml:space="preserve"> CRPD</w:t>
      </w:r>
      <w:r w:rsidR="008E02E3">
        <w:t>,</w:t>
      </w:r>
      <w:r w:rsidR="000C00A7" w:rsidRPr="002A28E1">
        <w:t xml:space="preserve"> </w:t>
      </w:r>
      <w:r w:rsidR="005D7DBA" w:rsidRPr="002A28E1">
        <w:t xml:space="preserve">suggest </w:t>
      </w:r>
      <w:r w:rsidR="004D442B" w:rsidRPr="002A28E1">
        <w:t xml:space="preserve">that </w:t>
      </w:r>
      <w:r w:rsidR="001F5962" w:rsidRPr="002A28E1">
        <w:t xml:space="preserve">the </w:t>
      </w:r>
      <w:r w:rsidR="00D64E45" w:rsidRPr="002A28E1">
        <w:t>Convention</w:t>
      </w:r>
      <w:r w:rsidR="001F5962" w:rsidRPr="002A28E1">
        <w:t xml:space="preserve"> is not the </w:t>
      </w:r>
      <w:r w:rsidR="00D857FF" w:rsidRPr="002A28E1">
        <w:t>sole</w:t>
      </w:r>
      <w:r w:rsidR="006C183D" w:rsidRPr="002A28E1">
        <w:t xml:space="preserve"> </w:t>
      </w:r>
      <w:r w:rsidR="00025DE4" w:rsidRPr="002A28E1">
        <w:t xml:space="preserve">force </w:t>
      </w:r>
      <w:r w:rsidR="00FC493D" w:rsidRPr="00136084">
        <w:t xml:space="preserve">spurring </w:t>
      </w:r>
      <w:r w:rsidR="00024EAC" w:rsidRPr="00136084">
        <w:t>civil society endeavours</w:t>
      </w:r>
      <w:r w:rsidR="00E4337A" w:rsidRPr="00136084">
        <w:t xml:space="preserve"> in this sphere. </w:t>
      </w:r>
      <w:r w:rsidR="005055AE" w:rsidRPr="00136084">
        <w:t xml:space="preserve">In </w:t>
      </w:r>
      <w:proofErr w:type="gramStart"/>
      <w:r w:rsidR="005055AE" w:rsidRPr="00136084">
        <w:t>t</w:t>
      </w:r>
      <w:r w:rsidR="00423E2F" w:rsidRPr="00136084">
        <w:t>hese</w:t>
      </w:r>
      <w:proofErr w:type="gramEnd"/>
      <w:r w:rsidR="00423E2F" w:rsidRPr="00136084">
        <w:t xml:space="preserve"> </w:t>
      </w:r>
      <w:r w:rsidR="00564BF8" w:rsidRPr="00136084">
        <w:t>e</w:t>
      </w:r>
      <w:r w:rsidR="00054E7B" w:rsidRPr="00136084">
        <w:t>pisodes</w:t>
      </w:r>
      <w:r w:rsidR="005055AE" w:rsidRPr="00136084">
        <w:t xml:space="preserve"> in which the CRPD was not at play,</w:t>
      </w:r>
      <w:r w:rsidR="00054E7B" w:rsidRPr="00136084">
        <w:t xml:space="preserve"> </w:t>
      </w:r>
      <w:r w:rsidR="00C87432" w:rsidRPr="00136084">
        <w:t>civil society</w:t>
      </w:r>
      <w:r w:rsidR="005055AE" w:rsidRPr="00136084">
        <w:t xml:space="preserve"> actors were</w:t>
      </w:r>
      <w:r w:rsidR="00C87432" w:rsidRPr="00136084">
        <w:t xml:space="preserve"> </w:t>
      </w:r>
      <w:r w:rsidR="005055AE" w:rsidRPr="00136084">
        <w:t>nonetheless a</w:t>
      </w:r>
      <w:r w:rsidR="00C87432" w:rsidRPr="00136084">
        <w:t xml:space="preserve"> key impetus </w:t>
      </w:r>
      <w:r w:rsidR="0054426E" w:rsidRPr="00136084">
        <w:t>behind legislative change.</w:t>
      </w:r>
      <w:r w:rsidR="00B10FAB" w:rsidRPr="00136084">
        <w:t xml:space="preserve"> P</w:t>
      </w:r>
      <w:r w:rsidR="00E446AA" w:rsidRPr="00136084">
        <w:t xml:space="preserve">erhaps the work of civil society in this field gains part of its strength and longevity </w:t>
      </w:r>
      <w:proofErr w:type="gramStart"/>
      <w:r w:rsidR="00E446AA" w:rsidRPr="00136084">
        <w:t>from the</w:t>
      </w:r>
      <w:r w:rsidR="00E51CA2" w:rsidRPr="00136084">
        <w:t xml:space="preserve"> close</w:t>
      </w:r>
      <w:r w:rsidR="00E446AA" w:rsidRPr="00136084">
        <w:t xml:space="preserve"> engagement with persons with disabilities</w:t>
      </w:r>
      <w:r w:rsidR="00E55E4B" w:rsidRPr="00136084">
        <w:t xml:space="preserve"> themselves</w:t>
      </w:r>
      <w:r w:rsidR="0032353B" w:rsidRPr="00136084">
        <w:t xml:space="preserve">, </w:t>
      </w:r>
      <w:r w:rsidR="0094016C" w:rsidRPr="00136084">
        <w:t>through</w:t>
      </w:r>
      <w:r w:rsidR="00B871A0" w:rsidRPr="00136084">
        <w:t xml:space="preserve"> </w:t>
      </w:r>
      <w:r w:rsidR="000F5C2D" w:rsidRPr="00136084">
        <w:t>protests</w:t>
      </w:r>
      <w:r w:rsidR="00792B03" w:rsidRPr="00136084">
        <w:t>,</w:t>
      </w:r>
      <w:r w:rsidR="0094016C" w:rsidRPr="00136084">
        <w:t xml:space="preserve"> pilot projects, </w:t>
      </w:r>
      <w:r w:rsidR="001F3CBD" w:rsidRPr="00136084">
        <w:t xml:space="preserve">and </w:t>
      </w:r>
      <w:r w:rsidR="00015806" w:rsidRPr="00136084">
        <w:t>strategic litigation</w:t>
      </w:r>
      <w:r w:rsidR="00347C30" w:rsidRPr="00136084">
        <w:t>,</w:t>
      </w:r>
      <w:proofErr w:type="gramEnd"/>
      <w:r w:rsidR="00347C30" w:rsidRPr="00136084">
        <w:t xml:space="preserve"> for instance</w:t>
      </w:r>
      <w:r w:rsidR="00E446AA" w:rsidRPr="00136084">
        <w:t xml:space="preserve">. </w:t>
      </w:r>
      <w:r w:rsidR="00D0217B" w:rsidRPr="00136084">
        <w:t>Thus, in addition</w:t>
      </w:r>
      <w:r w:rsidR="00D0217B" w:rsidRPr="002A28E1">
        <w:t xml:space="preserve"> to being inspired by the CRPD framework,</w:t>
      </w:r>
      <w:r w:rsidR="00E446AA" w:rsidRPr="002A28E1">
        <w:t xml:space="preserve"> civil society groups have no doubt also been galvanized by </w:t>
      </w:r>
      <w:r w:rsidR="00FE2A3B" w:rsidRPr="002A28E1">
        <w:t xml:space="preserve">the </w:t>
      </w:r>
      <w:r w:rsidR="00FE2A3B" w:rsidRPr="002A28E1">
        <w:rPr>
          <w:i/>
        </w:rPr>
        <w:t>people</w:t>
      </w:r>
      <w:r w:rsidR="00A56A12" w:rsidRPr="002A28E1">
        <w:t>, who</w:t>
      </w:r>
      <w:r w:rsidR="00136084">
        <w:t>m</w:t>
      </w:r>
      <w:r w:rsidR="00A56A12" w:rsidRPr="002A28E1">
        <w:t xml:space="preserve"> they </w:t>
      </w:r>
      <w:r w:rsidR="00FD655A" w:rsidRPr="002A28E1">
        <w:t xml:space="preserve">have </w:t>
      </w:r>
      <w:r w:rsidR="00A56A12" w:rsidRPr="002A28E1">
        <w:t xml:space="preserve">then </w:t>
      </w:r>
      <w:r w:rsidR="00FD655A" w:rsidRPr="002A28E1">
        <w:t xml:space="preserve">advocated </w:t>
      </w:r>
      <w:r w:rsidR="003718E8" w:rsidRPr="002A28E1">
        <w:t>for on a broader scale</w:t>
      </w:r>
      <w:r w:rsidR="00D0217B" w:rsidRPr="002A28E1">
        <w:t>,</w:t>
      </w:r>
      <w:r w:rsidR="000A2FD1" w:rsidRPr="002A28E1">
        <w:t xml:space="preserve"> </w:t>
      </w:r>
      <w:r w:rsidR="00BB1BC3" w:rsidRPr="002A28E1">
        <w:t>in a genuinely grassroots, bottom-</w:t>
      </w:r>
      <w:r w:rsidR="00BB1BC3" w:rsidRPr="00DA4367">
        <w:t>up fashion.</w:t>
      </w:r>
      <w:r w:rsidR="00221C87" w:rsidRPr="00DA4367">
        <w:t xml:space="preserve"> </w:t>
      </w:r>
      <w:r w:rsidR="00EB0176" w:rsidRPr="00DA4367">
        <w:t>The activities of civil society organizations worldwide demonstrate that l</w:t>
      </w:r>
      <w:r w:rsidR="00595C92" w:rsidRPr="00DA4367">
        <w:t xml:space="preserve">egislative reforms in the area of legal capacity are not </w:t>
      </w:r>
      <w:r w:rsidR="00B56C93" w:rsidRPr="00DA4367">
        <w:t xml:space="preserve">simply </w:t>
      </w:r>
      <w:r w:rsidR="00595C92" w:rsidRPr="00DA4367">
        <w:t>about implementing the CRPD on the domestic scale</w:t>
      </w:r>
      <w:r w:rsidR="00F76F7F" w:rsidRPr="00DA4367">
        <w:t xml:space="preserve"> </w:t>
      </w:r>
      <w:r w:rsidR="00F965FB" w:rsidRPr="00DA4367">
        <w:t>–</w:t>
      </w:r>
      <w:r w:rsidR="00F76F7F" w:rsidRPr="00DA4367">
        <w:t xml:space="preserve"> </w:t>
      </w:r>
      <w:r w:rsidR="00F965FB" w:rsidRPr="00DA4367">
        <w:t>th</w:t>
      </w:r>
      <w:r w:rsidR="00CE20B6" w:rsidRPr="00DA4367">
        <w:t xml:space="preserve">ey are also fundamentally about </w:t>
      </w:r>
      <w:r w:rsidR="00561F7C" w:rsidRPr="00DA4367">
        <w:t xml:space="preserve">people with disabilities </w:t>
      </w:r>
      <w:r w:rsidR="002D5227" w:rsidRPr="00DA4367">
        <w:t>themselves and upholding their human rights.</w:t>
      </w:r>
    </w:p>
    <w:p w14:paraId="2E6FAE2B" w14:textId="77777777" w:rsidR="00A80DA8" w:rsidRDefault="00A80DA8" w:rsidP="00A7547F"/>
    <w:p w14:paraId="0375EF98" w14:textId="1E0B3151" w:rsidR="00497165" w:rsidRDefault="00A80DA8" w:rsidP="00A80DA8">
      <w:pPr>
        <w:pStyle w:val="Heading2"/>
      </w:pPr>
      <w:bookmarkStart w:id="108" w:name="_Toc16081771"/>
      <w:r>
        <w:lastRenderedPageBreak/>
        <w:t>Recognizing Full Legal Capacity for Persons with Disabilities</w:t>
      </w:r>
      <w:bookmarkEnd w:id="108"/>
    </w:p>
    <w:p w14:paraId="5593B171" w14:textId="77777777" w:rsidR="00A80DA8" w:rsidRPr="002A28E1" w:rsidRDefault="00A80DA8" w:rsidP="00A7547F"/>
    <w:p w14:paraId="78E993DB" w14:textId="43D6834C" w:rsidR="00476868" w:rsidRPr="002A28E1" w:rsidRDefault="00EA53E1" w:rsidP="00A7547F">
      <w:r w:rsidRPr="002A28E1">
        <w:t xml:space="preserve">In terms of the substance of legislative reforms </w:t>
      </w:r>
      <w:r w:rsidR="00420D9D" w:rsidRPr="002A28E1">
        <w:t xml:space="preserve">adopted, several common challenges </w:t>
      </w:r>
      <w:proofErr w:type="gramStart"/>
      <w:r w:rsidR="00420D9D" w:rsidRPr="002A28E1">
        <w:t xml:space="preserve">may be </w:t>
      </w:r>
      <w:r w:rsidR="000E2E1A" w:rsidRPr="002A28E1">
        <w:t>discerned</w:t>
      </w:r>
      <w:proofErr w:type="gramEnd"/>
      <w:r w:rsidR="00420D9D" w:rsidRPr="002A28E1">
        <w:t>.</w:t>
      </w:r>
      <w:r w:rsidR="000E2E1A" w:rsidRPr="002A28E1">
        <w:t xml:space="preserve"> </w:t>
      </w:r>
      <w:r w:rsidR="00DE6FF7" w:rsidRPr="002A28E1">
        <w:t>Many legislative schemes do not contain</w:t>
      </w:r>
      <w:r w:rsidR="00E01648" w:rsidRPr="002A28E1">
        <w:t xml:space="preserve"> provisions</w:t>
      </w:r>
      <w:r w:rsidR="005D05E5">
        <w:t xml:space="preserve"> </w:t>
      </w:r>
      <w:r w:rsidR="0030331B">
        <w:t>explicitly</w:t>
      </w:r>
      <w:r w:rsidR="00DE6FF7" w:rsidRPr="002A28E1">
        <w:t xml:space="preserve"> recogni</w:t>
      </w:r>
      <w:r w:rsidR="00E01648" w:rsidRPr="002A28E1">
        <w:t>zing</w:t>
      </w:r>
      <w:r w:rsidR="00DE6FF7" w:rsidRPr="002A28E1">
        <w:t xml:space="preserve"> full legal capacity for persons with disabilities </w:t>
      </w:r>
      <w:r w:rsidR="00B848B7" w:rsidRPr="002A28E1">
        <w:t>as</w:t>
      </w:r>
      <w:r w:rsidR="00DE6FF7" w:rsidRPr="002A28E1">
        <w:t xml:space="preserve"> </w:t>
      </w:r>
      <w:r w:rsidR="00B54C8F">
        <w:t>demanded</w:t>
      </w:r>
      <w:r w:rsidR="00DE6FF7" w:rsidRPr="002A28E1">
        <w:t xml:space="preserve"> </w:t>
      </w:r>
      <w:r w:rsidR="00B848B7" w:rsidRPr="002A28E1">
        <w:t>by</w:t>
      </w:r>
      <w:r w:rsidR="00DE6FF7" w:rsidRPr="002A28E1">
        <w:t xml:space="preserve"> Article 12</w:t>
      </w:r>
      <w:r w:rsidR="00B848B7" w:rsidRPr="002A28E1">
        <w:t>.</w:t>
      </w:r>
      <w:r w:rsidR="00560924">
        <w:rPr>
          <w:rStyle w:val="FootnoteReference"/>
        </w:rPr>
        <w:footnoteReference w:id="961"/>
      </w:r>
      <w:r w:rsidR="00B848B7" w:rsidRPr="002A28E1">
        <w:t xml:space="preserve"> </w:t>
      </w:r>
      <w:r w:rsidR="00C9175E" w:rsidRPr="002A28E1">
        <w:t>The Peruvian legislation, however, does enshrine such a guarantee in unequivocal terms, specifying that all adults have full legal capacity, including “all persons with disabilities, on an equal basis with others and in all aspects of life, regardless of whether they use or require reasonable accommodation or support for the expression of their will.”</w:t>
      </w:r>
      <w:r w:rsidR="00C9175E" w:rsidRPr="002A28E1">
        <w:rPr>
          <w:rStyle w:val="FootnoteReference"/>
        </w:rPr>
        <w:footnoteReference w:id="962"/>
      </w:r>
      <w:r w:rsidR="00F76A2C" w:rsidRPr="002A28E1">
        <w:t xml:space="preserve"> </w:t>
      </w:r>
      <w:r w:rsidR="001C14DE">
        <w:t xml:space="preserve">The Colombian Bill </w:t>
      </w:r>
      <w:r w:rsidR="00DC0B48">
        <w:t>similarly recognizes legal capacity for all persons with disabilities “under equal conditions,” “without any distinction whatsoever and regardless of whether</w:t>
      </w:r>
      <w:r w:rsidR="005B79C7">
        <w:t xml:space="preserve"> they use support for the performance of legal acts.”</w:t>
      </w:r>
      <w:r w:rsidR="005B79C7">
        <w:rPr>
          <w:rStyle w:val="FootnoteReference"/>
        </w:rPr>
        <w:footnoteReference w:id="963"/>
      </w:r>
      <w:r w:rsidR="005B79C7">
        <w:t xml:space="preserve"> </w:t>
      </w:r>
      <w:r w:rsidR="00F76A2C" w:rsidRPr="002A28E1">
        <w:t>Costa Rican law</w:t>
      </w:r>
      <w:r w:rsidR="008030C2" w:rsidRPr="002A28E1">
        <w:t xml:space="preserve"> encompasses a provision</w:t>
      </w:r>
      <w:r w:rsidR="00C936A3">
        <w:t xml:space="preserve"> that is arguably less categorical</w:t>
      </w:r>
      <w:r w:rsidR="008F5BBA">
        <w:t xml:space="preserve"> </w:t>
      </w:r>
      <w:r w:rsidR="007A4B21">
        <w:t xml:space="preserve">than the Peruvian and Colombian </w:t>
      </w:r>
      <w:r w:rsidR="00045F22">
        <w:t>guar</w:t>
      </w:r>
      <w:r w:rsidR="008875E4">
        <w:t>a</w:t>
      </w:r>
      <w:r w:rsidR="00045F22">
        <w:t>ntees</w:t>
      </w:r>
      <w:r w:rsidR="00C936A3" w:rsidRPr="0032594F">
        <w:t>, but which nonetheless</w:t>
      </w:r>
      <w:r w:rsidR="00F76A2C" w:rsidRPr="0032594F">
        <w:t xml:space="preserve"> </w:t>
      </w:r>
      <w:r w:rsidR="00C94DCB" w:rsidRPr="0032594F">
        <w:t>acknowledges</w:t>
      </w:r>
      <w:r w:rsidR="00F76A2C" w:rsidRPr="0032594F">
        <w:t xml:space="preserve"> the “full legal equality” of persons with disabilities, which </w:t>
      </w:r>
      <w:r w:rsidR="009C06A2" w:rsidRPr="0032594F">
        <w:t>entails</w:t>
      </w:r>
      <w:r w:rsidR="00F76A2C" w:rsidRPr="0032594F">
        <w:t xml:space="preserve"> recognition of their </w:t>
      </w:r>
      <w:r w:rsidR="00791DBB" w:rsidRPr="0032594F">
        <w:t>“</w:t>
      </w:r>
      <w:r w:rsidR="00F76A2C" w:rsidRPr="0032594F">
        <w:t>legal personality</w:t>
      </w:r>
      <w:r w:rsidR="00791DBB" w:rsidRPr="0032594F">
        <w:t>”</w:t>
      </w:r>
      <w:r w:rsidR="00F76A2C" w:rsidRPr="0032594F">
        <w:t xml:space="preserve"> and </w:t>
      </w:r>
      <w:r w:rsidR="00791DBB" w:rsidRPr="0032594F">
        <w:t>“</w:t>
      </w:r>
      <w:r w:rsidR="00F76A2C" w:rsidRPr="0032594F">
        <w:t>legal capacity.</w:t>
      </w:r>
      <w:r w:rsidR="00791DBB" w:rsidRPr="0032594F">
        <w:t>”</w:t>
      </w:r>
      <w:r w:rsidR="00F76A2C" w:rsidRPr="0032594F">
        <w:rPr>
          <w:rStyle w:val="FootnoteReference"/>
        </w:rPr>
        <w:footnoteReference w:id="964"/>
      </w:r>
      <w:r w:rsidR="00C9175E" w:rsidRPr="002A28E1">
        <w:t xml:space="preserve">  </w:t>
      </w:r>
    </w:p>
    <w:p w14:paraId="56FF744E" w14:textId="77777777" w:rsidR="00476868" w:rsidRPr="002A28E1" w:rsidRDefault="00476868" w:rsidP="00A7547F"/>
    <w:p w14:paraId="7EF847BB" w14:textId="1211715C" w:rsidR="00EA53E1" w:rsidRPr="002A28E1" w:rsidRDefault="00476868" w:rsidP="00A7547F">
      <w:r w:rsidRPr="00D44987">
        <w:t>Next</w:t>
      </w:r>
      <w:r w:rsidR="00B848B7" w:rsidRPr="00D44987">
        <w:t>,</w:t>
      </w:r>
      <w:r w:rsidRPr="00D44987">
        <w:t xml:space="preserve"> it is worth noting that</w:t>
      </w:r>
      <w:r w:rsidR="00B848B7" w:rsidRPr="00D44987">
        <w:t xml:space="preserve"> many </w:t>
      </w:r>
      <w:r w:rsidR="004C0C9C" w:rsidRPr="00D44987">
        <w:t>legislative schemes</w:t>
      </w:r>
      <w:r w:rsidR="00B848B7" w:rsidRPr="00D44987">
        <w:t xml:space="preserve"> </w:t>
      </w:r>
      <w:r w:rsidR="00935FF6" w:rsidRPr="00D44987">
        <w:t>continue to</w:t>
      </w:r>
      <w:r w:rsidR="00B848B7" w:rsidRPr="00D44987">
        <w:t xml:space="preserve"> allow for </w:t>
      </w:r>
      <w:r w:rsidR="00C215AE" w:rsidRPr="00D44987">
        <w:t>limitations o</w:t>
      </w:r>
      <w:r w:rsidR="00864119" w:rsidRPr="00D44987">
        <w:t>f</w:t>
      </w:r>
      <w:r w:rsidR="00C215AE" w:rsidRPr="00D44987">
        <w:t xml:space="preserve"> legal capacity </w:t>
      </w:r>
      <w:r w:rsidR="008C7471" w:rsidRPr="00D44987">
        <w:t>based on assessment</w:t>
      </w:r>
      <w:r w:rsidR="00B933CD" w:rsidRPr="00D44987">
        <w:t>s</w:t>
      </w:r>
      <w:r w:rsidR="008C7471" w:rsidRPr="00D44987">
        <w:t xml:space="preserve"> of mental capacity</w:t>
      </w:r>
      <w:r w:rsidR="00165293" w:rsidRPr="00D44987">
        <w:t>,</w:t>
      </w:r>
      <w:r w:rsidR="0012799E" w:rsidRPr="00D44987">
        <w:rPr>
          <w:rStyle w:val="FootnoteReference"/>
        </w:rPr>
        <w:footnoteReference w:id="965"/>
      </w:r>
      <w:r w:rsidR="00165293" w:rsidRPr="00D44987">
        <w:t xml:space="preserve"> </w:t>
      </w:r>
      <w:r w:rsidR="001552ED" w:rsidRPr="00D44987">
        <w:t>on th</w:t>
      </w:r>
      <w:r w:rsidR="009D6344" w:rsidRPr="00D44987">
        <w:t xml:space="preserve">e grounds of </w:t>
      </w:r>
      <w:r w:rsidR="000C6BA6" w:rsidRPr="00D44987">
        <w:t>disability status</w:t>
      </w:r>
      <w:r w:rsidR="003367F0" w:rsidRPr="00D44987">
        <w:t>,</w:t>
      </w:r>
      <w:r w:rsidR="00E81DA3" w:rsidRPr="00D44987">
        <w:rPr>
          <w:rStyle w:val="FootnoteReference"/>
        </w:rPr>
        <w:footnoteReference w:id="966"/>
      </w:r>
      <w:r w:rsidR="003367F0" w:rsidRPr="00D44987">
        <w:t xml:space="preserve"> or on some combination thereof</w:t>
      </w:r>
      <w:r w:rsidR="000C6BA6" w:rsidRPr="00D44987">
        <w:t>.</w:t>
      </w:r>
      <w:r w:rsidR="00FA0CC3" w:rsidRPr="00D44987">
        <w:rPr>
          <w:rStyle w:val="FootnoteReference"/>
        </w:rPr>
        <w:footnoteReference w:id="967"/>
      </w:r>
      <w:r w:rsidR="00DE6FF7" w:rsidRPr="00D44987">
        <w:t xml:space="preserve"> </w:t>
      </w:r>
      <w:r w:rsidR="001C11DD" w:rsidRPr="00D44987">
        <w:t xml:space="preserve">The </w:t>
      </w:r>
      <w:r w:rsidR="00ED1F35" w:rsidRPr="00D44987">
        <w:t xml:space="preserve">UN </w:t>
      </w:r>
      <w:r w:rsidR="001C11DD" w:rsidRPr="00D44987">
        <w:t xml:space="preserve">Committee </w:t>
      </w:r>
      <w:r w:rsidR="00ED1F35" w:rsidRPr="00D44987">
        <w:t xml:space="preserve">on the Rights of Persons with Disabilities </w:t>
      </w:r>
      <w:r w:rsidR="001C11DD" w:rsidRPr="00D44987">
        <w:t xml:space="preserve">has stated that Article 12 does not allow for </w:t>
      </w:r>
      <w:r w:rsidR="00E445EE" w:rsidRPr="00D44987">
        <w:t xml:space="preserve">the </w:t>
      </w:r>
      <w:r w:rsidR="00185D70" w:rsidRPr="00D44987">
        <w:t xml:space="preserve">discriminatory </w:t>
      </w:r>
      <w:r w:rsidR="006C0DDD" w:rsidRPr="00D44987">
        <w:t xml:space="preserve">removal of </w:t>
      </w:r>
      <w:r w:rsidR="001D49B4" w:rsidRPr="00D44987">
        <w:t xml:space="preserve">legal capacity </w:t>
      </w:r>
      <w:r w:rsidR="00ED1F35" w:rsidRPr="00D44987">
        <w:t>on the grounds of disability and/or decision-making skills.</w:t>
      </w:r>
      <w:r w:rsidR="00ED1F35" w:rsidRPr="00D44987">
        <w:rPr>
          <w:rStyle w:val="FootnoteReference"/>
        </w:rPr>
        <w:footnoteReference w:id="968"/>
      </w:r>
    </w:p>
    <w:p w14:paraId="1E66B905" w14:textId="32E05722" w:rsidR="00122027" w:rsidRDefault="00122027" w:rsidP="00A7547F"/>
    <w:p w14:paraId="637B870B" w14:textId="0E78F947" w:rsidR="001E05E8" w:rsidRPr="002A28E1" w:rsidRDefault="001E05E8" w:rsidP="001E05E8">
      <w:pPr>
        <w:pStyle w:val="Heading2"/>
      </w:pPr>
      <w:bookmarkStart w:id="109" w:name="_Toc16081772"/>
      <w:r>
        <w:t>Substitute Decision-Making</w:t>
      </w:r>
      <w:bookmarkEnd w:id="109"/>
    </w:p>
    <w:p w14:paraId="5062C2A9" w14:textId="185E820A" w:rsidR="005D3851" w:rsidRPr="002A28E1" w:rsidRDefault="00D34674" w:rsidP="0044104D">
      <w:r w:rsidRPr="002A28E1">
        <w:t>D</w:t>
      </w:r>
      <w:r w:rsidR="00B07544" w:rsidRPr="002A28E1">
        <w:t xml:space="preserve">espite introducing </w:t>
      </w:r>
      <w:r w:rsidR="00B07544" w:rsidRPr="00E31573">
        <w:t xml:space="preserve">supported decision-making into their legislation, </w:t>
      </w:r>
      <w:r w:rsidR="00122027" w:rsidRPr="00E31573">
        <w:t xml:space="preserve">many </w:t>
      </w:r>
      <w:r w:rsidR="00A6322E" w:rsidRPr="00E31573">
        <w:t xml:space="preserve">of the </w:t>
      </w:r>
      <w:r w:rsidR="00122027" w:rsidRPr="00E31573">
        <w:t>countries</w:t>
      </w:r>
      <w:r w:rsidR="00A6322E" w:rsidRPr="00E31573">
        <w:t xml:space="preserve"> analyzed</w:t>
      </w:r>
      <w:r w:rsidR="00122027" w:rsidRPr="00E31573">
        <w:t xml:space="preserve"> have maintained parallel regimes</w:t>
      </w:r>
      <w:r w:rsidR="00D41A3F" w:rsidRPr="00E31573">
        <w:t xml:space="preserve"> </w:t>
      </w:r>
      <w:r w:rsidR="00AE5D9D" w:rsidRPr="00E31573">
        <w:t>of substituted decision-making, in contravention of Article 12.</w:t>
      </w:r>
      <w:r w:rsidR="00052DB4" w:rsidRPr="00E31573">
        <w:rPr>
          <w:rStyle w:val="FootnoteReference"/>
        </w:rPr>
        <w:footnoteReference w:id="969"/>
      </w:r>
      <w:r w:rsidR="00AE5D9D" w:rsidRPr="00E31573">
        <w:t xml:space="preserve"> </w:t>
      </w:r>
      <w:r w:rsidR="00186879" w:rsidRPr="00E31573">
        <w:t xml:space="preserve">More </w:t>
      </w:r>
      <w:r w:rsidR="00186879" w:rsidRPr="001E113E">
        <w:t xml:space="preserve">subtly, </w:t>
      </w:r>
      <w:r w:rsidR="001925ED" w:rsidRPr="001E113E">
        <w:t xml:space="preserve">several states have incorporated </w:t>
      </w:r>
      <w:r w:rsidR="003E706E" w:rsidRPr="001E113E">
        <w:t>elements of substitute</w:t>
      </w:r>
      <w:r w:rsidR="002A734F" w:rsidRPr="001E113E">
        <w:t>d decision-making into what they label</w:t>
      </w:r>
      <w:r w:rsidR="00973199" w:rsidRPr="001E113E">
        <w:t xml:space="preserve"> as</w:t>
      </w:r>
      <w:r w:rsidR="002A734F" w:rsidRPr="001E113E">
        <w:t xml:space="preserve"> </w:t>
      </w:r>
      <w:r w:rsidR="00C31AC7" w:rsidRPr="001E113E">
        <w:t>“supported decision-making” regimes.</w:t>
      </w:r>
      <w:r w:rsidR="00015FFF" w:rsidRPr="001E113E">
        <w:t xml:space="preserve"> </w:t>
      </w:r>
      <w:r w:rsidR="00BD5581" w:rsidRPr="001E113E">
        <w:t xml:space="preserve">For instance, </w:t>
      </w:r>
      <w:r w:rsidR="002E26CC" w:rsidRPr="001E113E">
        <w:t>systems</w:t>
      </w:r>
      <w:r w:rsidR="00BD5581" w:rsidRPr="001E113E">
        <w:t xml:space="preserve"> in </w:t>
      </w:r>
      <w:r w:rsidR="00CB7BFE" w:rsidRPr="001E113E">
        <w:t xml:space="preserve">which supporters </w:t>
      </w:r>
      <w:proofErr w:type="gramStart"/>
      <w:r w:rsidR="00674985" w:rsidRPr="001E113E">
        <w:t>may be</w:t>
      </w:r>
      <w:r w:rsidR="00CB7BFE" w:rsidRPr="001E113E">
        <w:t xml:space="preserve"> </w:t>
      </w:r>
      <w:r w:rsidR="00B53AAA" w:rsidRPr="001E113E">
        <w:t xml:space="preserve">routinely </w:t>
      </w:r>
      <w:r w:rsidR="00CB7BFE" w:rsidRPr="001E113E">
        <w:t>authorized</w:t>
      </w:r>
      <w:proofErr w:type="gramEnd"/>
      <w:r w:rsidR="00CB7BFE" w:rsidRPr="001E113E">
        <w:t xml:space="preserve"> to </w:t>
      </w:r>
      <w:r w:rsidR="006C73CD" w:rsidRPr="001E113E">
        <w:t>exercise</w:t>
      </w:r>
      <w:r w:rsidR="00CB7BFE" w:rsidRPr="001E113E">
        <w:t xml:space="preserve"> representative powers</w:t>
      </w:r>
      <w:r w:rsidR="00A12D04" w:rsidRPr="001E113E">
        <w:t xml:space="preserve"> </w:t>
      </w:r>
      <w:r w:rsidR="002E26CC" w:rsidRPr="001E113E">
        <w:t>provide a case in point.</w:t>
      </w:r>
      <w:r w:rsidR="00900557" w:rsidRPr="001E113E">
        <w:rPr>
          <w:rStyle w:val="FootnoteReference"/>
        </w:rPr>
        <w:footnoteReference w:id="970"/>
      </w:r>
      <w:r w:rsidR="0044104D" w:rsidRPr="001E113E">
        <w:t xml:space="preserve"> </w:t>
      </w:r>
      <w:r w:rsidR="00AE4083" w:rsidRPr="001E113E">
        <w:t>As well, c</w:t>
      </w:r>
      <w:r w:rsidR="00E736A3" w:rsidRPr="001E113E">
        <w:t>o</w:t>
      </w:r>
      <w:r w:rsidR="0044104D" w:rsidRPr="001E113E">
        <w:t>-decision</w:t>
      </w:r>
      <w:r w:rsidR="00E736A3" w:rsidRPr="001E113E">
        <w:t>-</w:t>
      </w:r>
      <w:r w:rsidR="00E736A3" w:rsidRPr="00E31573">
        <w:t>making arrangements</w:t>
      </w:r>
      <w:r w:rsidR="0044104D" w:rsidRPr="00E31573">
        <w:t xml:space="preserve"> in which a co-decision-maker </w:t>
      </w:r>
      <w:proofErr w:type="gramStart"/>
      <w:r w:rsidR="0044104D" w:rsidRPr="00E31573">
        <w:t>is endowed</w:t>
      </w:r>
      <w:proofErr w:type="gramEnd"/>
      <w:r w:rsidR="0044104D" w:rsidRPr="00E31573">
        <w:t xml:space="preserve"> with a veto power</w:t>
      </w:r>
      <w:r w:rsidR="003E4F92" w:rsidRPr="00E31573">
        <w:t xml:space="preserve"> </w:t>
      </w:r>
      <w:r w:rsidR="0033252D" w:rsidRPr="00E31573">
        <w:t>may in</w:t>
      </w:r>
      <w:r w:rsidR="003D5924" w:rsidRPr="00E31573">
        <w:t xml:space="preserve"> </w:t>
      </w:r>
      <w:r w:rsidR="00851790" w:rsidRPr="00E31573">
        <w:t>effect</w:t>
      </w:r>
      <w:r w:rsidR="003D5924" w:rsidRPr="00E31573">
        <w:t xml:space="preserve"> </w:t>
      </w:r>
      <w:r w:rsidR="00851790" w:rsidRPr="00E31573">
        <w:t>restrict the legal cap</w:t>
      </w:r>
      <w:r w:rsidR="006B4FDA" w:rsidRPr="00E31573">
        <w:t>a</w:t>
      </w:r>
      <w:r w:rsidR="00851790" w:rsidRPr="00E31573">
        <w:t xml:space="preserve">city of persons with disabilities </w:t>
      </w:r>
      <w:r w:rsidR="00CF173B" w:rsidRPr="00E31573">
        <w:t xml:space="preserve">by </w:t>
      </w:r>
      <w:r w:rsidR="00B1295F" w:rsidRPr="00E31573">
        <w:t xml:space="preserve">placing the </w:t>
      </w:r>
      <w:r w:rsidR="00B02A0D" w:rsidRPr="00E31573">
        <w:t>final</w:t>
      </w:r>
      <w:r w:rsidR="00B1295F" w:rsidRPr="00E31573">
        <w:t xml:space="preserve"> decision</w:t>
      </w:r>
      <w:r w:rsidR="009E00D9" w:rsidRPr="00E31573">
        <w:t>-</w:t>
      </w:r>
      <w:r w:rsidR="00AD0EA1" w:rsidRPr="00E31573">
        <w:t xml:space="preserve">making </w:t>
      </w:r>
      <w:r w:rsidR="009E00D9" w:rsidRPr="00E31573">
        <w:t xml:space="preserve">power </w:t>
      </w:r>
      <w:r w:rsidR="005B3E50" w:rsidRPr="00E31573">
        <w:t>out</w:t>
      </w:r>
      <w:r w:rsidR="009A1A1A" w:rsidRPr="00E31573">
        <w:t xml:space="preserve"> of the hands of the person with a disabilit</w:t>
      </w:r>
      <w:r w:rsidR="00A45EC3" w:rsidRPr="00E31573">
        <w:t>y.</w:t>
      </w:r>
      <w:r w:rsidR="00F06847" w:rsidRPr="00E31573">
        <w:rPr>
          <w:rStyle w:val="FootnoteReference"/>
        </w:rPr>
        <w:footnoteReference w:id="971"/>
      </w:r>
      <w:r w:rsidR="00A45EC3" w:rsidRPr="002A28E1">
        <w:t xml:space="preserve"> </w:t>
      </w:r>
    </w:p>
    <w:p w14:paraId="68C80A8F" w14:textId="77777777" w:rsidR="005D3851" w:rsidRPr="002A28E1" w:rsidRDefault="005D3851" w:rsidP="0044104D"/>
    <w:p w14:paraId="7D9FF2D2" w14:textId="27273FFB" w:rsidR="0044104D" w:rsidRPr="005F77AA" w:rsidRDefault="006C79B6" w:rsidP="0044104D">
      <w:r w:rsidRPr="002A28E1">
        <w:t>An e</w:t>
      </w:r>
      <w:r w:rsidR="0063494C" w:rsidRPr="002A28E1">
        <w:t>xamination</w:t>
      </w:r>
      <w:r w:rsidR="007401CF" w:rsidRPr="002A28E1">
        <w:t xml:space="preserve"> </w:t>
      </w:r>
      <w:r w:rsidR="000E1217" w:rsidRPr="002A28E1">
        <w:t xml:space="preserve">of the legislative approaches </w:t>
      </w:r>
      <w:r w:rsidR="00F60BAE" w:rsidRPr="002A28E1">
        <w:t xml:space="preserve">included in this report reveals the </w:t>
      </w:r>
      <w:r w:rsidR="008B121F" w:rsidRPr="002A28E1">
        <w:t xml:space="preserve">challenge </w:t>
      </w:r>
      <w:r w:rsidR="009F37FA" w:rsidRPr="002A28E1">
        <w:t xml:space="preserve">of laying out a framework </w:t>
      </w:r>
      <w:r w:rsidR="00872F34" w:rsidRPr="002A28E1">
        <w:t xml:space="preserve">of supported decision-making that </w:t>
      </w:r>
      <w:r w:rsidR="006B35AD" w:rsidRPr="002A28E1">
        <w:t xml:space="preserve">genuinely </w:t>
      </w:r>
      <w:r w:rsidR="00955148" w:rsidRPr="002A28E1">
        <w:t xml:space="preserve">empowers </w:t>
      </w:r>
      <w:r w:rsidR="005D3851" w:rsidRPr="002A28E1">
        <w:t xml:space="preserve">persons with </w:t>
      </w:r>
      <w:r w:rsidR="005D3851" w:rsidRPr="002A28E1">
        <w:lastRenderedPageBreak/>
        <w:t>disabilities in</w:t>
      </w:r>
      <w:r w:rsidR="008B368F" w:rsidRPr="002A28E1">
        <w:t xml:space="preserve"> the decision-making process</w:t>
      </w:r>
      <w:r w:rsidR="005D3851" w:rsidRPr="002A28E1">
        <w:t>.</w:t>
      </w:r>
      <w:r w:rsidR="00651AEE">
        <w:t xml:space="preserve"> O</w:t>
      </w:r>
      <w:r w:rsidR="00800E29" w:rsidRPr="002A28E1">
        <w:t xml:space="preserve">ne may </w:t>
      </w:r>
      <w:r w:rsidR="0023783A" w:rsidRPr="002A28E1">
        <w:t>look</w:t>
      </w:r>
      <w:r w:rsidR="00CE447B" w:rsidRPr="002A28E1">
        <w:t xml:space="preserve"> for inspiration</w:t>
      </w:r>
      <w:r w:rsidR="00800E29" w:rsidRPr="002A28E1">
        <w:t xml:space="preserve"> to</w:t>
      </w:r>
      <w:r w:rsidR="00CD4B78" w:rsidRPr="002A28E1">
        <w:t xml:space="preserve"> </w:t>
      </w:r>
      <w:r w:rsidR="00C0531F" w:rsidRPr="002A28E1">
        <w:t>the Israeli legislation, which contains the</w:t>
      </w:r>
      <w:r w:rsidR="00CE1FD9" w:rsidRPr="002A28E1">
        <w:t xml:space="preserve"> explicit stipulation that</w:t>
      </w:r>
      <w:r w:rsidR="0079115D" w:rsidRPr="002A28E1">
        <w:t xml:space="preserve"> </w:t>
      </w:r>
      <w:r w:rsidR="000F5645" w:rsidRPr="002A28E1">
        <w:t>“a decision</w:t>
      </w:r>
      <w:r w:rsidR="00731C39">
        <w:t>-</w:t>
      </w:r>
      <w:r w:rsidR="000F5645" w:rsidRPr="002A28E1">
        <w:t>making supporter will not make decisions on behalf of the person he is supporting.”</w:t>
      </w:r>
      <w:r w:rsidR="000F5645" w:rsidRPr="002A28E1">
        <w:rPr>
          <w:rStyle w:val="FootnoteReference"/>
        </w:rPr>
        <w:footnoteReference w:id="972"/>
      </w:r>
      <w:r w:rsidR="004674F1" w:rsidRPr="002A28E1">
        <w:t xml:space="preserve"> </w:t>
      </w:r>
      <w:r w:rsidR="00C80F6B" w:rsidRPr="002A28E1">
        <w:t xml:space="preserve">The Texan legislation on supported decision-making contains a similar </w:t>
      </w:r>
      <w:r w:rsidR="005A7F3A" w:rsidRPr="002A28E1">
        <w:t>statement, clarifying that</w:t>
      </w:r>
      <w:r w:rsidR="00B341F2" w:rsidRPr="002A28E1">
        <w:t xml:space="preserve"> a</w:t>
      </w:r>
      <w:r w:rsidR="005A7F3A" w:rsidRPr="002A28E1">
        <w:t xml:space="preserve"> supporter</w:t>
      </w:r>
      <w:r w:rsidR="00B341F2" w:rsidRPr="002A28E1">
        <w:t xml:space="preserve"> </w:t>
      </w:r>
      <w:r w:rsidR="005A7F3A" w:rsidRPr="002A28E1">
        <w:t xml:space="preserve">should provide </w:t>
      </w:r>
      <w:r w:rsidR="00FC66EB" w:rsidRPr="002A28E1">
        <w:t>assistance</w:t>
      </w:r>
      <w:r w:rsidR="005A7F3A" w:rsidRPr="002A28E1">
        <w:t xml:space="preserve"> </w:t>
      </w:r>
      <w:r w:rsidR="00CC1D44" w:rsidRPr="002A28E1">
        <w:t>in the making of life decisions</w:t>
      </w:r>
      <w:r w:rsidR="005A7F3A" w:rsidRPr="002A28E1">
        <w:t>, “without making those decisions on behalf of the adult with a disability.”</w:t>
      </w:r>
      <w:r w:rsidR="005A7F3A" w:rsidRPr="002A28E1">
        <w:rPr>
          <w:rStyle w:val="FootnoteReference"/>
        </w:rPr>
        <w:footnoteReference w:id="973"/>
      </w:r>
      <w:r w:rsidR="003E1981">
        <w:t xml:space="preserve"> The Irish legislation also categorically </w:t>
      </w:r>
      <w:proofErr w:type="gramStart"/>
      <w:r w:rsidR="00010AB4">
        <w:t>insists</w:t>
      </w:r>
      <w:r w:rsidR="004F7ED7">
        <w:t xml:space="preserve"> that</w:t>
      </w:r>
      <w:proofErr w:type="gramEnd"/>
      <w:r w:rsidR="004F7ED7">
        <w:t xml:space="preserve"> “a decision-making assistant shall not</w:t>
      </w:r>
      <w:r w:rsidR="00F70F71">
        <w:t xml:space="preserve"> make a decision on behalf of the appointer.”</w:t>
      </w:r>
      <w:r w:rsidR="005517B5">
        <w:rPr>
          <w:rStyle w:val="FootnoteReference"/>
        </w:rPr>
        <w:footnoteReference w:id="974"/>
      </w:r>
      <w:r w:rsidR="005A7F3A" w:rsidRPr="002A28E1">
        <w:t xml:space="preserve"> </w:t>
      </w:r>
      <w:r w:rsidR="00FD60EA" w:rsidRPr="002A28E1">
        <w:t>Furthermore, o</w:t>
      </w:r>
      <w:r w:rsidR="004674F1" w:rsidRPr="002A28E1">
        <w:t xml:space="preserve">ne may also </w:t>
      </w:r>
      <w:r w:rsidR="00CF4779" w:rsidRPr="002A28E1">
        <w:t xml:space="preserve">point to </w:t>
      </w:r>
      <w:r w:rsidR="00CF4779" w:rsidRPr="005F77AA">
        <w:t xml:space="preserve">the </w:t>
      </w:r>
      <w:r w:rsidR="00800FDD" w:rsidRPr="005F77AA">
        <w:t xml:space="preserve">specification provided under </w:t>
      </w:r>
      <w:r w:rsidR="00CF4779" w:rsidRPr="005F77AA">
        <w:t>Peruvian</w:t>
      </w:r>
      <w:r w:rsidR="00800FDD" w:rsidRPr="005F77AA">
        <w:t xml:space="preserve"> law that </w:t>
      </w:r>
      <w:proofErr w:type="gramStart"/>
      <w:r w:rsidR="00C04EC0" w:rsidRPr="005F77AA">
        <w:t xml:space="preserve">as </w:t>
      </w:r>
      <w:r w:rsidR="00BD00D2" w:rsidRPr="005F77AA">
        <w:t>a general rule</w:t>
      </w:r>
      <w:proofErr w:type="gramEnd"/>
      <w:r w:rsidR="00BD00D2" w:rsidRPr="005F77AA">
        <w:t xml:space="preserve">, </w:t>
      </w:r>
      <w:r w:rsidR="00800FDD" w:rsidRPr="005F77AA">
        <w:t>“</w:t>
      </w:r>
      <w:r w:rsidR="00F53FAD" w:rsidRPr="005F77AA">
        <w:t>s</w:t>
      </w:r>
      <w:r w:rsidR="00800FDD" w:rsidRPr="005F77AA">
        <w:t>upports must not involve powers of representation</w:t>
      </w:r>
      <w:r w:rsidR="007F1023" w:rsidRPr="005F77AA">
        <w:t>.”</w:t>
      </w:r>
      <w:r w:rsidR="00800FDD" w:rsidRPr="005F77AA">
        <w:rPr>
          <w:rStyle w:val="FootnoteReference"/>
        </w:rPr>
        <w:footnoteReference w:id="975"/>
      </w:r>
    </w:p>
    <w:p w14:paraId="1E1B545B" w14:textId="27FAB890" w:rsidR="00B5051A" w:rsidRDefault="00B5051A" w:rsidP="0044104D"/>
    <w:p w14:paraId="5887470D" w14:textId="69296BCE" w:rsidR="00211357" w:rsidRDefault="00211357" w:rsidP="00211357">
      <w:pPr>
        <w:pStyle w:val="Heading2"/>
      </w:pPr>
      <w:bookmarkStart w:id="110" w:name="_Toc16081773"/>
      <w:r>
        <w:t>Making Supported Decision-Making Accessible to All Persons with Disabilities</w:t>
      </w:r>
      <w:bookmarkEnd w:id="110"/>
    </w:p>
    <w:p w14:paraId="15CB292D" w14:textId="2110CEBC" w:rsidR="00A72C2E" w:rsidRDefault="00A72C2E" w:rsidP="0044104D">
      <w:r>
        <w:t xml:space="preserve">One may remark that many </w:t>
      </w:r>
      <w:r w:rsidR="00050245">
        <w:t xml:space="preserve">of the </w:t>
      </w:r>
      <w:r w:rsidR="00A667AB">
        <w:t>legislative schemes</w:t>
      </w:r>
      <w:r w:rsidR="00050245">
        <w:t xml:space="preserve"> </w:t>
      </w:r>
      <w:r w:rsidR="00F67EFE">
        <w:t>studied</w:t>
      </w:r>
      <w:r w:rsidR="00A667AB">
        <w:t xml:space="preserve"> do not make supported decision-making accessible to all persons with disabilities. In </w:t>
      </w:r>
      <w:r w:rsidR="00354702">
        <w:t>fact</w:t>
      </w:r>
      <w:r w:rsidR="00A667AB">
        <w:t xml:space="preserve">, some legislation </w:t>
      </w:r>
      <w:r w:rsidR="004B3106">
        <w:t xml:space="preserve">denies the provision </w:t>
      </w:r>
      <w:r w:rsidR="00A0386E">
        <w:t>of supported decision-making to those who do not satisfy a requisite threshold level of mental capacity.</w:t>
      </w:r>
      <w:r w:rsidR="007226AD">
        <w:rPr>
          <w:rStyle w:val="FootnoteReference"/>
        </w:rPr>
        <w:footnoteReference w:id="976"/>
      </w:r>
      <w:r w:rsidR="00A0386E">
        <w:t xml:space="preserve"> </w:t>
      </w:r>
      <w:r w:rsidR="002D6F9C">
        <w:t xml:space="preserve">As discussed elsewhere in this report, the UN Committee on the Rights of Persons with Disabilities has </w:t>
      </w:r>
      <w:proofErr w:type="gramStart"/>
      <w:r w:rsidR="002D6F9C">
        <w:t>maintained that</w:t>
      </w:r>
      <w:proofErr w:type="gramEnd"/>
      <w:r w:rsidR="002D6F9C">
        <w:t xml:space="preserve"> “the provision of support to exercise legal capacity should not hinge on mental capacity assessments.”</w:t>
      </w:r>
      <w:r w:rsidR="002D6F9C">
        <w:rPr>
          <w:rStyle w:val="FootnoteReference"/>
        </w:rPr>
        <w:footnoteReference w:id="977"/>
      </w:r>
      <w:r w:rsidR="006852A2">
        <w:t xml:space="preserve"> Additionally, some countries </w:t>
      </w:r>
      <w:r w:rsidR="009B7DF3">
        <w:t>limit</w:t>
      </w:r>
      <w:r w:rsidR="006852A2">
        <w:t xml:space="preserve"> the availability of supported decision-making to those who have </w:t>
      </w:r>
      <w:r w:rsidR="00A15F9B">
        <w:t>had their legal capacity</w:t>
      </w:r>
      <w:r w:rsidR="002876B6">
        <w:t xml:space="preserve"> formally restricted,</w:t>
      </w:r>
      <w:r w:rsidR="00D67A26">
        <w:rPr>
          <w:rStyle w:val="FootnoteReference"/>
        </w:rPr>
        <w:footnoteReference w:id="978"/>
      </w:r>
      <w:r w:rsidR="002C7860">
        <w:t xml:space="preserve"> which seems to </w:t>
      </w:r>
      <w:r w:rsidR="00B408A5">
        <w:t xml:space="preserve">miss the very goal of supported decision-making, which is to empower persons with disabilities in the decision-making process, while critically leaving their legal capacity intact. </w:t>
      </w:r>
      <w:r w:rsidR="0096442C" w:rsidRPr="0096442C">
        <w:t xml:space="preserve">Peru’s </w:t>
      </w:r>
      <w:r w:rsidR="0096442C">
        <w:t xml:space="preserve">scheme demonstrates how legislation might be crafted to allow </w:t>
      </w:r>
      <w:proofErr w:type="gramStart"/>
      <w:r w:rsidR="0096442C">
        <w:t>for supports</w:t>
      </w:r>
      <w:proofErr w:type="gramEnd"/>
      <w:r w:rsidR="0096442C">
        <w:t xml:space="preserve"> to be made available in an inclusive fashion. Peruvian law </w:t>
      </w:r>
      <w:r w:rsidR="00DC0263">
        <w:t xml:space="preserve">liberally </w:t>
      </w:r>
      <w:r w:rsidR="00AA175A">
        <w:t>allows for</w:t>
      </w:r>
      <w:r w:rsidR="0096442C">
        <w:t xml:space="preserve"> </w:t>
      </w:r>
      <w:r w:rsidR="0096442C" w:rsidRPr="0096442C">
        <w:t>“any person</w:t>
      </w:r>
      <w:r w:rsidR="00385562">
        <w:t xml:space="preserve"> of legal age who requires support for the exercise of their legal capacity</w:t>
      </w:r>
      <w:r w:rsidR="0096442C" w:rsidRPr="0096442C">
        <w:t>”</w:t>
      </w:r>
      <w:r w:rsidR="00AA175A">
        <w:t xml:space="preserve"> to designate supports.</w:t>
      </w:r>
      <w:r w:rsidR="002F6009">
        <w:rPr>
          <w:rStyle w:val="FootnoteReference"/>
        </w:rPr>
        <w:footnoteReference w:id="979"/>
      </w:r>
      <w:r w:rsidR="005714B1">
        <w:t xml:space="preserve"> Peruvian law </w:t>
      </w:r>
      <w:r w:rsidR="00DB41CE">
        <w:t xml:space="preserve">is free of any discriminatory language that </w:t>
      </w:r>
      <w:r w:rsidR="009C52E2">
        <w:t xml:space="preserve">might prevent </w:t>
      </w:r>
      <w:r w:rsidR="00001374">
        <w:t>some persons with disabilities from accessing support measures.</w:t>
      </w:r>
    </w:p>
    <w:p w14:paraId="6419A200" w14:textId="656F0345" w:rsidR="006852A2" w:rsidRDefault="006852A2" w:rsidP="0044104D"/>
    <w:p w14:paraId="3C2D7546" w14:textId="77777777" w:rsidR="00024B9F" w:rsidRDefault="00CC2A9C" w:rsidP="0044104D">
      <w:r>
        <w:t xml:space="preserve">Most </w:t>
      </w:r>
      <w:r w:rsidR="004B5B34">
        <w:t xml:space="preserve">of the </w:t>
      </w:r>
      <w:r>
        <w:t>legislative</w:t>
      </w:r>
      <w:r w:rsidR="004B5B34">
        <w:t xml:space="preserve"> </w:t>
      </w:r>
      <w:r>
        <w:t>regimes</w:t>
      </w:r>
      <w:r w:rsidR="004B5B34">
        <w:t xml:space="preserve"> assessed</w:t>
      </w:r>
      <w:r>
        <w:t xml:space="preserve"> do not appear </w:t>
      </w:r>
      <w:proofErr w:type="gramStart"/>
      <w:r>
        <w:t>to explicitly address</w:t>
      </w:r>
      <w:proofErr w:type="gramEnd"/>
      <w:r>
        <w:t xml:space="preserve"> </w:t>
      </w:r>
      <w:r w:rsidR="00BD32EA">
        <w:t>the situation of those with high support needs.</w:t>
      </w:r>
      <w:r w:rsidR="0017753E">
        <w:t xml:space="preserve"> </w:t>
      </w:r>
      <w:r w:rsidR="00EC7DBE">
        <w:t xml:space="preserve">India’s legislation notably recognizes the need to provide for support measures tailored to the situation of </w:t>
      </w:r>
      <w:r w:rsidR="00EC7DBE" w:rsidRPr="002A28E1">
        <w:t>persons with disabilities with high support needs.</w:t>
      </w:r>
      <w:r w:rsidR="00EC7DBE" w:rsidRPr="002A28E1">
        <w:rPr>
          <w:rStyle w:val="FootnoteReference"/>
        </w:rPr>
        <w:footnoteReference w:id="980"/>
      </w:r>
      <w:r w:rsidR="00EC7DBE">
        <w:t xml:space="preserve"> The Indian law, however, does not elaborate on what form these measures could take nor how exactly they will be developed and made available in this country</w:t>
      </w:r>
      <w:r w:rsidR="00646CEC">
        <w:t xml:space="preserve">. </w:t>
      </w:r>
      <w:r w:rsidR="0017753E">
        <w:t>The UN Special Rapporteur on the Rights of Persons with Disabilities has commented</w:t>
      </w:r>
      <w:r w:rsidR="00921E63">
        <w:t xml:space="preserve"> on the desirability of enabling access to a variety of support mechanisms</w:t>
      </w:r>
      <w:r w:rsidR="008E7E96">
        <w:t xml:space="preserve"> in order to accommodate different levels of support needs.</w:t>
      </w:r>
      <w:r w:rsidR="00DB4931">
        <w:rPr>
          <w:rStyle w:val="FootnoteReference"/>
        </w:rPr>
        <w:footnoteReference w:id="981"/>
      </w:r>
      <w:r w:rsidR="003451FD">
        <w:t xml:space="preserve"> Similarly</w:t>
      </w:r>
      <w:r w:rsidR="0008202C">
        <w:t>, t</w:t>
      </w:r>
      <w:r w:rsidR="001F6CFF">
        <w:t xml:space="preserve">he Committee on the Rights of Persons with Disabilities has </w:t>
      </w:r>
      <w:proofErr w:type="gramStart"/>
      <w:r w:rsidR="001F6CFF">
        <w:t>affirmed that</w:t>
      </w:r>
      <w:proofErr w:type="gramEnd"/>
      <w:r w:rsidR="001F6CFF">
        <w:t xml:space="preserve"> “the type and intensity of support to be provided will vary significantly</w:t>
      </w:r>
      <w:r w:rsidR="00BA5DAE">
        <w:t xml:space="preserve"> from one person to another owing to the diversity of persons with disabilities.”</w:t>
      </w:r>
      <w:r w:rsidR="000531B2">
        <w:rPr>
          <w:rStyle w:val="FootnoteReference"/>
        </w:rPr>
        <w:footnoteReference w:id="982"/>
      </w:r>
      <w:r w:rsidR="001F6CFF">
        <w:t xml:space="preserve"> </w:t>
      </w:r>
    </w:p>
    <w:p w14:paraId="7FFE69BB" w14:textId="77777777" w:rsidR="00024B9F" w:rsidRDefault="00024B9F" w:rsidP="0044104D">
      <w:pPr>
        <w:rPr>
          <w:highlight w:val="lightGray"/>
        </w:rPr>
      </w:pPr>
    </w:p>
    <w:p w14:paraId="6C25795D" w14:textId="709A3AC9" w:rsidR="00C4161F" w:rsidRDefault="00E74024" w:rsidP="0044104D">
      <w:r w:rsidRPr="00E76426">
        <w:t xml:space="preserve">It may well be desirable, therefore, to provide for a flexible framework for supported decision-making in which supports </w:t>
      </w:r>
      <w:r w:rsidR="00E81040" w:rsidRPr="00E76426">
        <w:t xml:space="preserve">can be </w:t>
      </w:r>
      <w:r w:rsidR="009A2FC7" w:rsidRPr="00E76426">
        <w:t>“</w:t>
      </w:r>
      <w:r w:rsidR="00E81040" w:rsidRPr="00E76426">
        <w:t>custom-made</w:t>
      </w:r>
      <w:r w:rsidR="009A2FC7" w:rsidRPr="00E76426">
        <w:t>”</w:t>
      </w:r>
      <w:r w:rsidR="00E81040" w:rsidRPr="00E76426">
        <w:t xml:space="preserve"> to suit the particular </w:t>
      </w:r>
      <w:r w:rsidR="009A2FC7" w:rsidRPr="00E76426">
        <w:t>needs</w:t>
      </w:r>
      <w:r w:rsidR="00E81040" w:rsidRPr="00E76426">
        <w:t xml:space="preserve"> of a given person.</w:t>
      </w:r>
      <w:r w:rsidR="008F7C60" w:rsidRPr="00E76426">
        <w:t xml:space="preserve"> It is noteworthy that the Peruvian</w:t>
      </w:r>
      <w:r w:rsidR="002B46D2" w:rsidRPr="00E76426">
        <w:t xml:space="preserve">, </w:t>
      </w:r>
      <w:r w:rsidR="008F7C60" w:rsidRPr="00E76426">
        <w:t>Argentinian</w:t>
      </w:r>
      <w:r w:rsidR="002B46D2" w:rsidRPr="00E76426">
        <w:t>, and Colombian</w:t>
      </w:r>
      <w:r w:rsidR="008F7C60" w:rsidRPr="00E76426">
        <w:t xml:space="preserve"> legislative schemes</w:t>
      </w:r>
      <w:r w:rsidR="00832633" w:rsidRPr="00E76426">
        <w:t xml:space="preserve"> allow for considerable freedom in designing </w:t>
      </w:r>
      <w:r w:rsidR="000D6695" w:rsidRPr="00E76426">
        <w:t>individualized support measures.</w:t>
      </w:r>
      <w:r w:rsidR="008A7718" w:rsidRPr="00E76426">
        <w:t xml:space="preserve"> In Peru, the form of support is freely determined by the person requesting support measures,</w:t>
      </w:r>
      <w:r w:rsidR="008A7718" w:rsidRPr="00E76426">
        <w:rPr>
          <w:rStyle w:val="FootnoteReference"/>
        </w:rPr>
        <w:footnoteReference w:id="983"/>
      </w:r>
      <w:r w:rsidR="006674D4" w:rsidRPr="00E76426">
        <w:t xml:space="preserve"> and in Argentina</w:t>
      </w:r>
      <w:r w:rsidR="00363909" w:rsidRPr="00E76426">
        <w:t xml:space="preserve">, a judge determines </w:t>
      </w:r>
      <w:r w:rsidR="001F5200" w:rsidRPr="00E76426">
        <w:t>the nature of supports on a case-by-case basis, making appropriate “adjustments depending on the needs and circumstances of the person.”</w:t>
      </w:r>
      <w:r w:rsidR="00B22962" w:rsidRPr="00E76426">
        <w:rPr>
          <w:rStyle w:val="FootnoteReference"/>
        </w:rPr>
        <w:footnoteReference w:id="984"/>
      </w:r>
      <w:r w:rsidR="00AE5455" w:rsidRPr="00E76426">
        <w:t xml:space="preserve"> </w:t>
      </w:r>
      <w:r w:rsidR="004E41B5" w:rsidRPr="00E76426">
        <w:t xml:space="preserve">The Colombian Bill </w:t>
      </w:r>
      <w:r w:rsidR="00543BB2" w:rsidRPr="00E76426">
        <w:t xml:space="preserve">allows for the form of support to be determined </w:t>
      </w:r>
      <w:proofErr w:type="gramStart"/>
      <w:r w:rsidR="00543BB2" w:rsidRPr="00E76426">
        <w:t xml:space="preserve">by </w:t>
      </w:r>
      <w:r w:rsidR="00854EF3" w:rsidRPr="00E76426">
        <w:t>either</w:t>
      </w:r>
      <w:proofErr w:type="gramEnd"/>
      <w:r w:rsidR="00854EF3" w:rsidRPr="00E76426">
        <w:t xml:space="preserve"> the prospective supported person or through an individualized assessment conducted by a </w:t>
      </w:r>
      <w:r w:rsidR="00D36E86" w:rsidRPr="00E76426">
        <w:t>public or private</w:t>
      </w:r>
      <w:r w:rsidR="00854EF3" w:rsidRPr="00E76426">
        <w:t xml:space="preserve"> entity.</w:t>
      </w:r>
      <w:r w:rsidR="00D36E86" w:rsidRPr="00E76426">
        <w:rPr>
          <w:rStyle w:val="FootnoteReference"/>
        </w:rPr>
        <w:footnoteReference w:id="985"/>
      </w:r>
      <w:r w:rsidR="00854EF3" w:rsidRPr="00E76426">
        <w:t xml:space="preserve"> </w:t>
      </w:r>
      <w:r w:rsidR="001137FF" w:rsidRPr="00E76426">
        <w:t>The Colombian Bill also recognizes that support can take on many forms</w:t>
      </w:r>
      <w:r w:rsidR="00465680" w:rsidRPr="00E76426">
        <w:t xml:space="preserve"> and that new types of support not contemplated for in the legislation </w:t>
      </w:r>
      <w:proofErr w:type="gramStart"/>
      <w:r w:rsidR="00465680" w:rsidRPr="00E76426">
        <w:t>may be created</w:t>
      </w:r>
      <w:proofErr w:type="gramEnd"/>
      <w:r w:rsidR="008D58C4" w:rsidRPr="00E76426">
        <w:t xml:space="preserve"> in accordance with the needs and preferences of each individual.</w:t>
      </w:r>
      <w:r w:rsidR="003D10FA" w:rsidRPr="00E76426">
        <w:rPr>
          <w:rStyle w:val="FootnoteReference"/>
        </w:rPr>
        <w:footnoteReference w:id="986"/>
      </w:r>
      <w:r w:rsidR="008D58C4" w:rsidRPr="00E76426">
        <w:t xml:space="preserve"> </w:t>
      </w:r>
      <w:r w:rsidR="00D33E85" w:rsidRPr="00E76426">
        <w:t>Allowing for</w:t>
      </w:r>
      <w:r w:rsidR="00AE5455" w:rsidRPr="00E76426">
        <w:t xml:space="preserve"> mallea</w:t>
      </w:r>
      <w:r w:rsidR="00D33E85" w:rsidRPr="00E76426">
        <w:t>bility in the form</w:t>
      </w:r>
      <w:r w:rsidR="00431241" w:rsidRPr="00E76426">
        <w:t xml:space="preserve"> of</w:t>
      </w:r>
      <w:r w:rsidR="00D33E85" w:rsidRPr="00E76426">
        <w:t xml:space="preserve"> supported decision-making</w:t>
      </w:r>
      <w:r w:rsidR="00883ACD" w:rsidRPr="00E76426">
        <w:t xml:space="preserve"> </w:t>
      </w:r>
      <w:r w:rsidR="00F71225" w:rsidRPr="00E76426">
        <w:t xml:space="preserve">can undoubtedly </w:t>
      </w:r>
      <w:r w:rsidR="00742222" w:rsidRPr="00E76426">
        <w:t xml:space="preserve">facilitate </w:t>
      </w:r>
      <w:r w:rsidR="00EF2313" w:rsidRPr="00E76426">
        <w:t xml:space="preserve">the provision of a wide range of </w:t>
      </w:r>
      <w:r w:rsidR="00A01B45" w:rsidRPr="00E76426">
        <w:t xml:space="preserve">support </w:t>
      </w:r>
      <w:r w:rsidR="00EF2313" w:rsidRPr="00E76426">
        <w:t>mechanisms</w:t>
      </w:r>
      <w:r w:rsidR="005D391D" w:rsidRPr="00E76426">
        <w:t>,</w:t>
      </w:r>
      <w:r w:rsidR="00820290" w:rsidRPr="00E76426">
        <w:t xml:space="preserve"> </w:t>
      </w:r>
      <w:r w:rsidR="005D391D" w:rsidRPr="00E76426">
        <w:t>of</w:t>
      </w:r>
      <w:r w:rsidR="00510E52" w:rsidRPr="00E76426">
        <w:t xml:space="preserve"> different types and </w:t>
      </w:r>
      <w:r w:rsidR="003B2F79" w:rsidRPr="00E76426">
        <w:t>intensit</w:t>
      </w:r>
      <w:r w:rsidR="00327586" w:rsidRPr="00E76426">
        <w:t>ies</w:t>
      </w:r>
      <w:r w:rsidR="0075342A" w:rsidRPr="00E76426">
        <w:t xml:space="preserve">. The Committee on the Rights of Persons with Disabilities </w:t>
      </w:r>
      <w:r w:rsidR="00553920" w:rsidRPr="00E76426">
        <w:t>has</w:t>
      </w:r>
      <w:r w:rsidR="0075342A" w:rsidRPr="00E76426">
        <w:t xml:space="preserve"> </w:t>
      </w:r>
      <w:r w:rsidR="0075629C" w:rsidRPr="00E76426">
        <w:t>called for</w:t>
      </w:r>
      <w:r w:rsidR="0075342A" w:rsidRPr="00E76426">
        <w:t xml:space="preserve"> </w:t>
      </w:r>
      <w:r w:rsidR="00553920" w:rsidRPr="00E76426">
        <w:t>embrac</w:t>
      </w:r>
      <w:r w:rsidR="004B273B" w:rsidRPr="00E76426">
        <w:t xml:space="preserve">ing such a “broad” </w:t>
      </w:r>
      <w:r w:rsidR="00CA5392" w:rsidRPr="00E76426">
        <w:t>conception</w:t>
      </w:r>
      <w:r w:rsidR="005C2E3F" w:rsidRPr="00E76426">
        <w:t xml:space="preserve"> of support measures.</w:t>
      </w:r>
      <w:r w:rsidR="000F5ABB" w:rsidRPr="00E76426">
        <w:rPr>
          <w:rStyle w:val="FootnoteReference"/>
        </w:rPr>
        <w:footnoteReference w:id="987"/>
      </w:r>
    </w:p>
    <w:p w14:paraId="67CE321E" w14:textId="6C65A7E6" w:rsidR="00770A65" w:rsidRDefault="00770A65" w:rsidP="0044104D"/>
    <w:p w14:paraId="12E71E31" w14:textId="5F2FE774" w:rsidR="00770A65" w:rsidRDefault="00D24D0F" w:rsidP="0044104D">
      <w:r w:rsidRPr="00FE6D5B">
        <w:t>In addition</w:t>
      </w:r>
      <w:r w:rsidR="00770A65" w:rsidRPr="00FE6D5B">
        <w:t>,</w:t>
      </w:r>
      <w:r w:rsidR="00FE6D5B">
        <w:t xml:space="preserve"> it is worthwhile noting that</w:t>
      </w:r>
      <w:r w:rsidR="00770A65" w:rsidRPr="00FE6D5B">
        <w:t xml:space="preserve"> some legislative regimes allow the court </w:t>
      </w:r>
      <w:r w:rsidR="00CD0FF7" w:rsidRPr="00FE6D5B">
        <w:t xml:space="preserve">to determine the form and scope of support to </w:t>
      </w:r>
      <w:proofErr w:type="gramStart"/>
      <w:r w:rsidR="00CD0FF7" w:rsidRPr="00FE6D5B">
        <w:t>be provided</w:t>
      </w:r>
      <w:proofErr w:type="gramEnd"/>
      <w:r w:rsidR="00770082">
        <w:t>.</w:t>
      </w:r>
      <w:r w:rsidR="00A00E22" w:rsidRPr="00FE6D5B">
        <w:rPr>
          <w:rStyle w:val="FootnoteReference"/>
        </w:rPr>
        <w:footnoteReference w:id="988"/>
      </w:r>
      <w:r w:rsidRPr="00FE6D5B">
        <w:t xml:space="preserve"> </w:t>
      </w:r>
      <w:r w:rsidR="00770082">
        <w:t>O</w:t>
      </w:r>
      <w:r w:rsidR="00332E60" w:rsidRPr="00FE6D5B">
        <w:t xml:space="preserve">ne must ask whether such arrangements </w:t>
      </w:r>
      <w:r w:rsidR="006E7D75" w:rsidRPr="00FE6D5B">
        <w:t>are truly</w:t>
      </w:r>
      <w:r w:rsidR="00282FE2" w:rsidRPr="00FE6D5B">
        <w:t xml:space="preserve"> respectful of the will of the supported person.</w:t>
      </w:r>
      <w:r w:rsidR="00511200" w:rsidRPr="00FE6D5B">
        <w:t xml:space="preserve"> In light of this concern, </w:t>
      </w:r>
      <w:r w:rsidR="00306ADF" w:rsidRPr="00FE6D5B">
        <w:t>a legislative scheme like Peru’s</w:t>
      </w:r>
      <w:r w:rsidR="00666663" w:rsidRPr="00FE6D5B">
        <w:t xml:space="preserve">, </w:t>
      </w:r>
      <w:r w:rsidR="00F9085A" w:rsidRPr="00FE6D5B">
        <w:t xml:space="preserve">which </w:t>
      </w:r>
      <w:r w:rsidR="008A7B70" w:rsidRPr="00FE6D5B">
        <w:t>empowers</w:t>
      </w:r>
      <w:r w:rsidR="008C410A" w:rsidRPr="00FE6D5B">
        <w:t xml:space="preserve"> the supported person to </w:t>
      </w:r>
      <w:r w:rsidR="00E05F81" w:rsidRPr="00FE6D5B">
        <w:t>determine</w:t>
      </w:r>
      <w:r w:rsidR="006E486B" w:rsidRPr="00FE6D5B">
        <w:t xml:space="preserve"> the form of support</w:t>
      </w:r>
      <w:r w:rsidR="008E52A9" w:rsidRPr="00FE6D5B">
        <w:t>, may well be desirable.</w:t>
      </w:r>
      <w:r w:rsidR="00452B7D" w:rsidRPr="00FE6D5B">
        <w:t xml:space="preserve"> Nevertheless, some persons with disabilities </w:t>
      </w:r>
      <w:r w:rsidR="00370D62" w:rsidRPr="00FE6D5B">
        <w:t>might</w:t>
      </w:r>
      <w:r w:rsidR="00452B7D" w:rsidRPr="00FE6D5B">
        <w:t xml:space="preserve"> need guidance </w:t>
      </w:r>
      <w:r w:rsidR="00976F14" w:rsidRPr="00FE6D5B">
        <w:t>in the designation of supports.</w:t>
      </w:r>
    </w:p>
    <w:p w14:paraId="0ED9A596" w14:textId="30B4238E" w:rsidR="00CA5392" w:rsidRDefault="00CA5392" w:rsidP="0044104D"/>
    <w:p w14:paraId="09C4D043" w14:textId="0CB4593B" w:rsidR="00264293" w:rsidRDefault="00264293" w:rsidP="00264293">
      <w:pPr>
        <w:pStyle w:val="Heading2"/>
      </w:pPr>
      <w:bookmarkStart w:id="111" w:name="_Toc16081774"/>
      <w:r>
        <w:t>Advance Directives</w:t>
      </w:r>
      <w:bookmarkEnd w:id="111"/>
    </w:p>
    <w:p w14:paraId="229FDEAA" w14:textId="1583992B" w:rsidR="00CA5392" w:rsidRDefault="000C0079" w:rsidP="0044104D">
      <w:r>
        <w:t xml:space="preserve">Legislation in numerous states </w:t>
      </w:r>
      <w:r w:rsidR="002E6A2E">
        <w:t>allows for the</w:t>
      </w:r>
      <w:r w:rsidR="00B93ED5">
        <w:t xml:space="preserve"> </w:t>
      </w:r>
      <w:r w:rsidR="002923B8">
        <w:t>preparation of advance directives</w:t>
      </w:r>
      <w:r w:rsidR="00970D47">
        <w:t xml:space="preserve">. The Committee on the Rights of Persons with Disabilities has recognized </w:t>
      </w:r>
      <w:r w:rsidR="0070002A">
        <w:t>that “the ability to plan in advance is an important form of support.”</w:t>
      </w:r>
      <w:r w:rsidR="0070002A">
        <w:rPr>
          <w:rStyle w:val="FootnoteReference"/>
        </w:rPr>
        <w:footnoteReference w:id="989"/>
      </w:r>
      <w:r w:rsidR="00D9642C">
        <w:t xml:space="preserve"> </w:t>
      </w:r>
      <w:proofErr w:type="gramStart"/>
      <w:r w:rsidR="00D9642C" w:rsidRPr="00185E50">
        <w:t xml:space="preserve">Nevertheless, </w:t>
      </w:r>
      <w:r w:rsidR="00C911AE" w:rsidRPr="00185E50">
        <w:t>most of the frameworks for</w:t>
      </w:r>
      <w:r w:rsidR="00D9642C" w:rsidRPr="00185E50">
        <w:t xml:space="preserve"> </w:t>
      </w:r>
      <w:r w:rsidR="00594F90" w:rsidRPr="00185E50">
        <w:t xml:space="preserve">advance directives </w:t>
      </w:r>
      <w:r w:rsidR="001B4F90" w:rsidRPr="00185E50">
        <w:t>outlined</w:t>
      </w:r>
      <w:r w:rsidR="00FE515D" w:rsidRPr="00185E50">
        <w:t xml:space="preserve"> </w:t>
      </w:r>
      <w:r w:rsidR="00A95ADA" w:rsidRPr="00185E50">
        <w:t xml:space="preserve">in this report </w:t>
      </w:r>
      <w:r w:rsidR="00A306B3" w:rsidRPr="00185E50">
        <w:t xml:space="preserve">arguably </w:t>
      </w:r>
      <w:r w:rsidR="00F4529B" w:rsidRPr="00185E50">
        <w:t>fail to conform with Article 12</w:t>
      </w:r>
      <w:r w:rsidR="00552A80" w:rsidRPr="00185E50">
        <w:t xml:space="preserve">, as the entry into force of these directives </w:t>
      </w:r>
      <w:r w:rsidR="00495176" w:rsidRPr="00185E50">
        <w:t xml:space="preserve">often hinges on findings </w:t>
      </w:r>
      <w:r w:rsidR="0054598B" w:rsidRPr="00185E50">
        <w:t xml:space="preserve">that a person </w:t>
      </w:r>
      <w:r w:rsidR="001146E5" w:rsidRPr="00185E50">
        <w:t>lacks mental capacity</w:t>
      </w:r>
      <w:r w:rsidR="00BE190E" w:rsidRPr="00185E50">
        <w:t>,</w:t>
      </w:r>
      <w:r w:rsidR="00A024FC" w:rsidRPr="00185E50">
        <w:rPr>
          <w:rStyle w:val="FootnoteReference"/>
        </w:rPr>
        <w:footnoteReference w:id="990"/>
      </w:r>
      <w:r w:rsidR="001700F9" w:rsidRPr="00185E50">
        <w:t xml:space="preserve"> or on </w:t>
      </w:r>
      <w:r w:rsidR="004B2EB6">
        <w:t xml:space="preserve">formal </w:t>
      </w:r>
      <w:r w:rsidR="00A024FC" w:rsidRPr="00185E50">
        <w:t xml:space="preserve">court </w:t>
      </w:r>
      <w:r w:rsidR="001700F9" w:rsidRPr="00185E50">
        <w:t>declarations of l</w:t>
      </w:r>
      <w:r w:rsidR="000C728E" w:rsidRPr="00185E50">
        <w:t>egal incapacity</w:t>
      </w:r>
      <w:r w:rsidR="009D3D53" w:rsidRPr="00185E50">
        <w:t xml:space="preserve"> or limited capacity</w:t>
      </w:r>
      <w:r w:rsidR="000C728E" w:rsidRPr="00185E50">
        <w:t>,</w:t>
      </w:r>
      <w:r w:rsidR="00E61A39" w:rsidRPr="00185E50">
        <w:rPr>
          <w:rStyle w:val="FootnoteReference"/>
        </w:rPr>
        <w:footnoteReference w:id="991"/>
      </w:r>
      <w:r w:rsidR="001700F9" w:rsidRPr="00185E50">
        <w:t xml:space="preserve"> </w:t>
      </w:r>
      <w:r w:rsidR="00BE190E" w:rsidRPr="00185E50">
        <w:t>instead of giving the affected person the ability to pinpoint the moment at</w:t>
      </w:r>
      <w:r w:rsidR="00BE190E">
        <w:t xml:space="preserve"> which </w:t>
      </w:r>
      <w:r w:rsidR="00B62A66">
        <w:t>the directives should take effect.</w:t>
      </w:r>
      <w:r w:rsidR="004B2532">
        <w:rPr>
          <w:rStyle w:val="FootnoteReference"/>
        </w:rPr>
        <w:footnoteReference w:id="992"/>
      </w:r>
      <w:proofErr w:type="gramEnd"/>
      <w:r w:rsidR="00D31E4F">
        <w:t xml:space="preserve"> </w:t>
      </w:r>
      <w:r w:rsidR="007F0DC0">
        <w:t xml:space="preserve">Although Belgium’s legislation does not give persons with disabilities complete leeway to determine the point at which </w:t>
      </w:r>
      <w:r w:rsidR="00E20C10">
        <w:t xml:space="preserve">advance directives should enter into force, it does allow persons to choose whether the directives should enter into force immediately or </w:t>
      </w:r>
      <w:proofErr w:type="gramStart"/>
      <w:r w:rsidR="00E20C10">
        <w:t>at a later date</w:t>
      </w:r>
      <w:proofErr w:type="gramEnd"/>
      <w:r w:rsidR="00E20C10">
        <w:t xml:space="preserve"> when they are deemed to lack mental capacity.</w:t>
      </w:r>
      <w:r w:rsidR="00A14057">
        <w:rPr>
          <w:rStyle w:val="FootnoteReference"/>
        </w:rPr>
        <w:footnoteReference w:id="993"/>
      </w:r>
      <w:r w:rsidR="0070275B">
        <w:t xml:space="preserve"> </w:t>
      </w:r>
      <w:r w:rsidR="007B18F1">
        <w:t xml:space="preserve">The </w:t>
      </w:r>
      <w:r w:rsidR="004034E2">
        <w:t>Peru</w:t>
      </w:r>
      <w:r w:rsidR="007B18F1">
        <w:t xml:space="preserve">vian and Colombian legislative schemes </w:t>
      </w:r>
      <w:r w:rsidR="004034E2">
        <w:t xml:space="preserve">give persons with </w:t>
      </w:r>
      <w:r w:rsidR="004034E2">
        <w:lastRenderedPageBreak/>
        <w:t xml:space="preserve">disabilities </w:t>
      </w:r>
      <w:r w:rsidR="002236A9">
        <w:t xml:space="preserve">even </w:t>
      </w:r>
      <w:r w:rsidR="00B24063">
        <w:t>greater</w:t>
      </w:r>
      <w:r w:rsidR="00452752">
        <w:t xml:space="preserve"> </w:t>
      </w:r>
      <w:r w:rsidR="00541451">
        <w:t xml:space="preserve">control </w:t>
      </w:r>
      <w:r w:rsidR="00C77FFC">
        <w:t xml:space="preserve">over </w:t>
      </w:r>
      <w:r w:rsidR="00B24063">
        <w:t>the implementation of advance directives</w:t>
      </w:r>
      <w:r w:rsidR="00B31DBF">
        <w:t xml:space="preserve">, as </w:t>
      </w:r>
      <w:r w:rsidR="008D2176">
        <w:t>they</w:t>
      </w:r>
      <w:r w:rsidR="00B31DBF">
        <w:t xml:space="preserve"> give</w:t>
      </w:r>
      <w:r w:rsidR="00D567EE">
        <w:t xml:space="preserve"> </w:t>
      </w:r>
      <w:r w:rsidR="00DD1055">
        <w:t xml:space="preserve">persons the liberty to </w:t>
      </w:r>
      <w:r w:rsidR="00457C8B">
        <w:t xml:space="preserve">pinpoint the precise moment at which </w:t>
      </w:r>
      <w:r w:rsidR="00FD3B1D">
        <w:t>advance directives should come into force.</w:t>
      </w:r>
      <w:r w:rsidR="00FD3B1D">
        <w:rPr>
          <w:rStyle w:val="FootnoteReference"/>
        </w:rPr>
        <w:footnoteReference w:id="994"/>
      </w:r>
      <w:r w:rsidR="00FD3B1D">
        <w:t xml:space="preserve"> </w:t>
      </w:r>
      <w:r w:rsidR="0070275B">
        <w:t xml:space="preserve">Additionally, many of the advance directives </w:t>
      </w:r>
      <w:r w:rsidR="000C089F">
        <w:t xml:space="preserve">assessed allow for the </w:t>
      </w:r>
      <w:r w:rsidR="00893BA7">
        <w:t xml:space="preserve">future </w:t>
      </w:r>
      <w:r w:rsidR="000C089F">
        <w:t>appointment of substitute decision-maker</w:t>
      </w:r>
      <w:r w:rsidR="00902E6A">
        <w:t>s</w:t>
      </w:r>
      <w:r w:rsidR="00C56683">
        <w:t>,</w:t>
      </w:r>
      <w:r w:rsidR="000F6221">
        <w:rPr>
          <w:rStyle w:val="FootnoteReference"/>
        </w:rPr>
        <w:footnoteReference w:id="995"/>
      </w:r>
      <w:r w:rsidR="00C56683">
        <w:t xml:space="preserve"> </w:t>
      </w:r>
      <w:r w:rsidR="00AF3898">
        <w:t xml:space="preserve">a feature </w:t>
      </w:r>
      <w:proofErr w:type="gramStart"/>
      <w:r w:rsidR="00AF3898">
        <w:t>which</w:t>
      </w:r>
      <w:proofErr w:type="gramEnd"/>
      <w:r w:rsidR="00AF3898">
        <w:t xml:space="preserve"> </w:t>
      </w:r>
      <w:r w:rsidR="00A026BE">
        <w:t xml:space="preserve">would seem to </w:t>
      </w:r>
      <w:r w:rsidR="00B35AF2">
        <w:t xml:space="preserve">distance </w:t>
      </w:r>
      <w:r w:rsidR="00560838">
        <w:t xml:space="preserve">such </w:t>
      </w:r>
      <w:r w:rsidR="002410B4">
        <w:t xml:space="preserve">measures </w:t>
      </w:r>
      <w:r w:rsidR="006F0BCE">
        <w:t xml:space="preserve">from the </w:t>
      </w:r>
      <w:r w:rsidR="004E0DA8">
        <w:t>model</w:t>
      </w:r>
      <w:r w:rsidR="0016039D">
        <w:t xml:space="preserve"> of </w:t>
      </w:r>
      <w:r w:rsidR="004E0DA8">
        <w:rPr>
          <w:i/>
        </w:rPr>
        <w:t xml:space="preserve">supported </w:t>
      </w:r>
      <w:r w:rsidR="004E0DA8">
        <w:t xml:space="preserve">decision-making. </w:t>
      </w:r>
      <w:r w:rsidR="00133AA5">
        <w:t xml:space="preserve">Here, one may </w:t>
      </w:r>
      <w:r w:rsidR="00B42BE0">
        <w:t xml:space="preserve">highlight the innovative </w:t>
      </w:r>
      <w:r w:rsidR="004D02B9">
        <w:t>approach</w:t>
      </w:r>
      <w:r w:rsidR="00E02DC2">
        <w:t xml:space="preserve"> </w:t>
      </w:r>
      <w:r w:rsidR="00FF24FE">
        <w:t>adopted by the</w:t>
      </w:r>
      <w:r w:rsidR="000B0F23">
        <w:t xml:space="preserve"> legislator in Victoria, Australia</w:t>
      </w:r>
      <w:r w:rsidR="00B91B9D">
        <w:t xml:space="preserve">, whereby </w:t>
      </w:r>
      <w:r w:rsidR="00E83FAF">
        <w:t xml:space="preserve">“supportive attorneys” </w:t>
      </w:r>
      <w:r w:rsidR="00C61D19">
        <w:t xml:space="preserve">may be appointed.  </w:t>
      </w:r>
      <w:r w:rsidR="00613CBD">
        <w:t xml:space="preserve">In contrast to </w:t>
      </w:r>
      <w:r w:rsidR="00A20127">
        <w:t xml:space="preserve">traditional powers of attorney arrangements, these </w:t>
      </w:r>
      <w:r w:rsidR="007F0F08">
        <w:t>supportive attorneys</w:t>
      </w:r>
      <w:r w:rsidR="00FB1B5F">
        <w:t xml:space="preserve"> do not </w:t>
      </w:r>
      <w:r w:rsidR="007B7E88">
        <w:t xml:space="preserve">make decisions on behalf of the principal, </w:t>
      </w:r>
      <w:r w:rsidR="003F764F">
        <w:t xml:space="preserve">but rather perform </w:t>
      </w:r>
      <w:r w:rsidR="00640C42">
        <w:t xml:space="preserve">supportive functions </w:t>
      </w:r>
      <w:r w:rsidR="009164EA">
        <w:t>by</w:t>
      </w:r>
      <w:r w:rsidR="00640C42">
        <w:t xml:space="preserve"> gathering information, </w:t>
      </w:r>
      <w:r w:rsidR="009164EA">
        <w:t>assisting</w:t>
      </w:r>
      <w:r w:rsidR="00640C42">
        <w:t xml:space="preserve"> with communication, and </w:t>
      </w:r>
      <w:r w:rsidR="00F76D8E">
        <w:t>execut</w:t>
      </w:r>
      <w:r w:rsidR="009164EA">
        <w:t>ing</w:t>
      </w:r>
      <w:r w:rsidR="00F76D8E">
        <w:t xml:space="preserve"> </w:t>
      </w:r>
      <w:r w:rsidR="00D46106">
        <w:t>the principal’s own decisions.</w:t>
      </w:r>
      <w:r w:rsidR="0028474E">
        <w:rPr>
          <w:rStyle w:val="FootnoteReference"/>
        </w:rPr>
        <w:footnoteReference w:id="996"/>
      </w:r>
      <w:r w:rsidR="000E62BD">
        <w:t xml:space="preserve">  Peru’s new legislation also provides for </w:t>
      </w:r>
      <w:r w:rsidR="0051653B">
        <w:t xml:space="preserve">the designation of </w:t>
      </w:r>
      <w:r w:rsidR="0050619A">
        <w:t>“</w:t>
      </w:r>
      <w:r w:rsidR="0051653B" w:rsidRPr="006D568D">
        <w:rPr>
          <w:i/>
        </w:rPr>
        <w:t>supports</w:t>
      </w:r>
      <w:r w:rsidR="00F94A22">
        <w:t xml:space="preserve"> for the future.</w:t>
      </w:r>
      <w:r w:rsidR="0050619A">
        <w:t>”</w:t>
      </w:r>
      <w:r w:rsidR="006D568D">
        <w:rPr>
          <w:rStyle w:val="FootnoteReference"/>
        </w:rPr>
        <w:footnoteReference w:id="997"/>
      </w:r>
      <w:r w:rsidR="00AC5CE3">
        <w:t xml:space="preserve"> Similarly, the Colombian Bill clarifies that advance directives constitute a </w:t>
      </w:r>
      <w:r w:rsidR="00EA43A9">
        <w:t xml:space="preserve">type of “formal </w:t>
      </w:r>
      <w:r w:rsidR="00EA43A9" w:rsidRPr="008E72AF">
        <w:rPr>
          <w:i/>
        </w:rPr>
        <w:t>support</w:t>
      </w:r>
      <w:r w:rsidR="00EA43A9">
        <w:t>.”</w:t>
      </w:r>
      <w:r w:rsidR="008E72AF">
        <w:rPr>
          <w:rStyle w:val="FootnoteReference"/>
        </w:rPr>
        <w:footnoteReference w:id="998"/>
      </w:r>
    </w:p>
    <w:p w14:paraId="7BDF86C2" w14:textId="143A9555" w:rsidR="00CC2A9C" w:rsidRDefault="00CC2A9C" w:rsidP="0044104D"/>
    <w:p w14:paraId="267F927B" w14:textId="2B42626E" w:rsidR="00E84BCC" w:rsidRDefault="00E84BCC" w:rsidP="00E84BCC">
      <w:pPr>
        <w:pStyle w:val="Heading2"/>
      </w:pPr>
      <w:bookmarkStart w:id="112" w:name="_Toc16081775"/>
      <w:r>
        <w:t>Appointment of Supporters</w:t>
      </w:r>
      <w:bookmarkEnd w:id="112"/>
    </w:p>
    <w:p w14:paraId="5204EC32" w14:textId="3147676C" w:rsidR="00B97A81" w:rsidRPr="009F0C6C" w:rsidRDefault="00DA74A2" w:rsidP="0044104D">
      <w:r>
        <w:t xml:space="preserve">It is also worth commenting on the diverse appointment procedures for support persons. </w:t>
      </w:r>
      <w:r w:rsidR="00613BEA">
        <w:t xml:space="preserve">Peru </w:t>
      </w:r>
      <w:r w:rsidR="00945657">
        <w:t>gives</w:t>
      </w:r>
      <w:r w:rsidR="00613BEA">
        <w:t xml:space="preserve"> persons with disabilities </w:t>
      </w:r>
      <w:r w:rsidR="00945657">
        <w:t>complete control over the appointment process:</w:t>
      </w:r>
      <w:r w:rsidR="00FF5DFD">
        <w:t xml:space="preserve"> persons desiring support </w:t>
      </w:r>
      <w:r w:rsidR="00613BEA" w:rsidRPr="00E839DA">
        <w:t xml:space="preserve">designate a </w:t>
      </w:r>
      <w:r w:rsidR="001812AF" w:rsidRPr="00E839DA">
        <w:t>s</w:t>
      </w:r>
      <w:r w:rsidR="00613BEA" w:rsidRPr="00E839DA">
        <w:t xml:space="preserve">upporter </w:t>
      </w:r>
      <w:r w:rsidR="00B36BED" w:rsidRPr="00E839DA">
        <w:t xml:space="preserve">of their choice </w:t>
      </w:r>
      <w:r w:rsidR="00613BEA" w:rsidRPr="00E839DA">
        <w:t>before a judge or notary.</w:t>
      </w:r>
      <w:r w:rsidR="000A10EA" w:rsidRPr="00E839DA">
        <w:rPr>
          <w:rStyle w:val="FootnoteReference"/>
        </w:rPr>
        <w:footnoteReference w:id="999"/>
      </w:r>
      <w:r w:rsidR="00613BEA" w:rsidRPr="00E839DA">
        <w:t xml:space="preserve"> </w:t>
      </w:r>
      <w:r w:rsidR="00BA4C2A" w:rsidRPr="00E839DA">
        <w:t xml:space="preserve">Under legislative frameworks that allow </w:t>
      </w:r>
      <w:proofErr w:type="gramStart"/>
      <w:r w:rsidR="00BA4C2A" w:rsidRPr="00E839DA">
        <w:t>for supporters</w:t>
      </w:r>
      <w:proofErr w:type="gramEnd"/>
      <w:r w:rsidR="00BA4C2A" w:rsidRPr="00E839DA">
        <w:t xml:space="preserve"> to be appointed via contracts</w:t>
      </w:r>
      <w:r w:rsidR="006B7B58" w:rsidRPr="00E839DA">
        <w:t xml:space="preserve">, </w:t>
      </w:r>
      <w:r w:rsidR="00B94193" w:rsidRPr="00E839DA">
        <w:t xml:space="preserve">persons with disabilities may also </w:t>
      </w:r>
      <w:r w:rsidR="00AB14B0" w:rsidRPr="00E839DA">
        <w:t>be provided with</w:t>
      </w:r>
      <w:r w:rsidR="00B94193" w:rsidRPr="00E839DA">
        <w:t xml:space="preserve"> </w:t>
      </w:r>
      <w:r w:rsidR="00AB14B0" w:rsidRPr="00E839DA">
        <w:t xml:space="preserve">the ability to select their </w:t>
      </w:r>
      <w:r w:rsidR="006E6774" w:rsidRPr="00E839DA">
        <w:t>suppo</w:t>
      </w:r>
      <w:r w:rsidR="00543176" w:rsidRPr="00E839DA">
        <w:t>r</w:t>
      </w:r>
      <w:r w:rsidR="006E6774" w:rsidRPr="00E839DA">
        <w:t>ter</w:t>
      </w:r>
      <w:r w:rsidR="00A670D3" w:rsidRPr="00E839DA">
        <w:t>.</w:t>
      </w:r>
      <w:r w:rsidR="002C7F9A" w:rsidRPr="00E839DA">
        <w:rPr>
          <w:rStyle w:val="FootnoteReference"/>
        </w:rPr>
        <w:footnoteReference w:id="1000"/>
      </w:r>
      <w:r w:rsidR="002C7F9A" w:rsidRPr="00E839DA">
        <w:t xml:space="preserve"> </w:t>
      </w:r>
      <w:r w:rsidR="00A87E1A" w:rsidRPr="00E839DA">
        <w:t xml:space="preserve">Nevertheless, in some of these cases, the contract for support </w:t>
      </w:r>
      <w:r w:rsidR="007E291F" w:rsidRPr="00E839DA">
        <w:t>or</w:t>
      </w:r>
      <w:r w:rsidR="00D86EF7" w:rsidRPr="00E839DA">
        <w:t xml:space="preserve"> the identity of the supporter </w:t>
      </w:r>
      <w:r w:rsidR="00A87E1A" w:rsidRPr="00E839DA">
        <w:t xml:space="preserve">is subject to approval </w:t>
      </w:r>
      <w:r w:rsidR="006275E6" w:rsidRPr="00E839DA">
        <w:t>by a court or agency.</w:t>
      </w:r>
      <w:r w:rsidR="006275E6" w:rsidRPr="00E839DA">
        <w:rPr>
          <w:rStyle w:val="FootnoteReference"/>
        </w:rPr>
        <w:footnoteReference w:id="1001"/>
      </w:r>
      <w:r w:rsidR="0067306E" w:rsidRPr="00E839DA">
        <w:t xml:space="preserve"> Finally, other legislative regimes </w:t>
      </w:r>
      <w:r w:rsidR="005D7EF8" w:rsidRPr="00E839DA">
        <w:t xml:space="preserve">allow </w:t>
      </w:r>
      <w:proofErr w:type="gramStart"/>
      <w:r w:rsidR="005D7EF8" w:rsidRPr="00E839DA">
        <w:t>for a</w:t>
      </w:r>
      <w:proofErr w:type="gramEnd"/>
      <w:r w:rsidR="005D7EF8" w:rsidRPr="00E839DA">
        <w:t xml:space="preserve"> support person to be appointed by a court or an administrative agency.</w:t>
      </w:r>
      <w:r w:rsidR="008B373E" w:rsidRPr="00E839DA">
        <w:rPr>
          <w:rStyle w:val="FootnoteReference"/>
        </w:rPr>
        <w:footnoteReference w:id="1002"/>
      </w:r>
      <w:r w:rsidR="00476EF7" w:rsidRPr="00E839DA">
        <w:t xml:space="preserve"> </w:t>
      </w:r>
      <w:r w:rsidR="007E2866" w:rsidRPr="00E839DA">
        <w:t>M</w:t>
      </w:r>
      <w:r w:rsidR="00476EF7" w:rsidRPr="00E839DA">
        <w:t xml:space="preserve">any schemes </w:t>
      </w:r>
      <w:r w:rsidR="00EF6D54" w:rsidRPr="00E839DA">
        <w:t xml:space="preserve">of the latter </w:t>
      </w:r>
      <w:r w:rsidR="00F829E9" w:rsidRPr="00E839DA">
        <w:t>nature</w:t>
      </w:r>
      <w:r w:rsidR="00EF6D54" w:rsidRPr="00E839DA">
        <w:t xml:space="preserve"> </w:t>
      </w:r>
      <w:r w:rsidR="00476EF7" w:rsidRPr="00E839DA">
        <w:t xml:space="preserve">include provisions affirming priority </w:t>
      </w:r>
      <w:proofErr w:type="gramStart"/>
      <w:r w:rsidR="00476EF7" w:rsidRPr="00E839DA">
        <w:t>will be given</w:t>
      </w:r>
      <w:proofErr w:type="gramEnd"/>
      <w:r w:rsidR="00476EF7" w:rsidRPr="00E839DA">
        <w:t xml:space="preserve"> to the person’s choice of support person.</w:t>
      </w:r>
      <w:r w:rsidR="0001610E" w:rsidRPr="00E839DA">
        <w:rPr>
          <w:rStyle w:val="FootnoteReference"/>
        </w:rPr>
        <w:footnoteReference w:id="1003"/>
      </w:r>
      <w:r w:rsidR="003D5DAC" w:rsidRPr="00E839DA">
        <w:t xml:space="preserve"> However, some </w:t>
      </w:r>
      <w:r w:rsidR="007B28EE" w:rsidRPr="00E839DA">
        <w:t xml:space="preserve">legislative regimes do not account for the possibility that some persons with disabilities </w:t>
      </w:r>
      <w:r w:rsidR="00556559" w:rsidRPr="00E839DA">
        <w:t xml:space="preserve">may </w:t>
      </w:r>
      <w:r w:rsidR="00C22C0C" w:rsidRPr="00E839DA">
        <w:t>be socially isolated</w:t>
      </w:r>
      <w:r w:rsidR="001164EB" w:rsidRPr="00E839DA">
        <w:t xml:space="preserve"> and thus</w:t>
      </w:r>
      <w:r w:rsidR="00A35DA9" w:rsidRPr="00E839DA">
        <w:t xml:space="preserve"> </w:t>
      </w:r>
      <w:r w:rsidR="00670D97" w:rsidRPr="00E839DA">
        <w:t xml:space="preserve">may not have </w:t>
      </w:r>
      <w:r w:rsidR="0005723B" w:rsidRPr="00E839DA">
        <w:t xml:space="preserve">the option of designating a trusted friend or </w:t>
      </w:r>
      <w:r w:rsidR="00BD5EDA" w:rsidRPr="00E839DA">
        <w:t>relative to act as their supporter.</w:t>
      </w:r>
      <w:r w:rsidR="003A1EB2" w:rsidRPr="00E839DA">
        <w:rPr>
          <w:rStyle w:val="FootnoteReference"/>
        </w:rPr>
        <w:footnoteReference w:id="1004"/>
      </w:r>
      <w:r w:rsidR="00363785" w:rsidRPr="00E839DA">
        <w:t xml:space="preserve"> </w:t>
      </w:r>
      <w:r w:rsidR="001F7C9B" w:rsidRPr="00E839DA">
        <w:t>Additionally</w:t>
      </w:r>
      <w:r w:rsidR="001F7C9B">
        <w:t xml:space="preserve">, some regimes </w:t>
      </w:r>
      <w:r w:rsidR="00B06B91">
        <w:t xml:space="preserve">favour </w:t>
      </w:r>
      <w:r w:rsidR="001F7C9B">
        <w:t xml:space="preserve">the appointment of </w:t>
      </w:r>
      <w:r w:rsidR="00B06B91">
        <w:t>relatives in situations where persons have not indicated a preferred candidate to serve as their supporter.</w:t>
      </w:r>
      <w:r w:rsidR="00B06B91">
        <w:rPr>
          <w:rStyle w:val="FootnoteReference"/>
        </w:rPr>
        <w:footnoteReference w:id="1005"/>
      </w:r>
      <w:r w:rsidR="00B06B91">
        <w:t xml:space="preserve"> Such provisions would seem to ignore the fact that some people may have relationships with family members that </w:t>
      </w:r>
      <w:proofErr w:type="gramStart"/>
      <w:r w:rsidR="00B06B91">
        <w:t>are characterized</w:t>
      </w:r>
      <w:proofErr w:type="gramEnd"/>
      <w:r w:rsidR="00B06B91">
        <w:t xml:space="preserve"> by manipulation or abuse</w:t>
      </w:r>
      <w:r w:rsidR="00364D4A">
        <w:t xml:space="preserve">, </w:t>
      </w:r>
      <w:r w:rsidR="009466A4">
        <w:t xml:space="preserve">just as </w:t>
      </w:r>
      <w:r w:rsidR="00123866">
        <w:t>these provisions</w:t>
      </w:r>
      <w:r w:rsidR="009466A4">
        <w:t xml:space="preserve"> would appear to disregard the possibility </w:t>
      </w:r>
      <w:r w:rsidR="001A101C">
        <w:t>that some</w:t>
      </w:r>
      <w:r w:rsidR="00364D4A">
        <w:t xml:space="preserve"> people</w:t>
      </w:r>
      <w:r w:rsidR="00343A5C">
        <w:t xml:space="preserve"> </w:t>
      </w:r>
      <w:r w:rsidR="005007E3">
        <w:t>might</w:t>
      </w:r>
      <w:r w:rsidR="00364D4A">
        <w:t xml:space="preserve"> simply prefer not </w:t>
      </w:r>
      <w:r w:rsidR="00EF14FA">
        <w:t>to be su</w:t>
      </w:r>
      <w:r w:rsidR="00EF14FA" w:rsidRPr="009F0C6C">
        <w:t>pported by relative</w:t>
      </w:r>
      <w:r w:rsidR="00C06C8D" w:rsidRPr="009F0C6C">
        <w:t>s</w:t>
      </w:r>
      <w:r w:rsidR="00EF14FA" w:rsidRPr="009F0C6C">
        <w:t xml:space="preserve"> or friend</w:t>
      </w:r>
      <w:r w:rsidR="00C06C8D" w:rsidRPr="009F0C6C">
        <w:t>s</w:t>
      </w:r>
      <w:r w:rsidR="00B06B91" w:rsidRPr="009F0C6C">
        <w:t>.</w:t>
      </w:r>
      <w:r w:rsidR="00B06B91" w:rsidRPr="009F0C6C">
        <w:rPr>
          <w:rStyle w:val="FootnoteReference"/>
        </w:rPr>
        <w:footnoteReference w:id="1006"/>
      </w:r>
    </w:p>
    <w:p w14:paraId="4FD8A3B5" w14:textId="77777777" w:rsidR="005007E3" w:rsidRPr="009F0C6C" w:rsidRDefault="005007E3" w:rsidP="0044104D"/>
    <w:p w14:paraId="03E2F2F5" w14:textId="60FB1DE8" w:rsidR="00A03D9B" w:rsidRPr="009F0C6C" w:rsidRDefault="008520F1" w:rsidP="007D4C6A">
      <w:pPr>
        <w:pStyle w:val="Normal1"/>
        <w:spacing w:line="240" w:lineRule="auto"/>
        <w:jc w:val="both"/>
        <w:rPr>
          <w:rFonts w:ascii="Times New Roman" w:hAnsi="Times New Roman" w:cs="Times New Roman"/>
          <w:sz w:val="24"/>
          <w:szCs w:val="24"/>
        </w:rPr>
      </w:pPr>
      <w:r w:rsidRPr="009F0C6C">
        <w:rPr>
          <w:rFonts w:ascii="Times New Roman" w:hAnsi="Times New Roman" w:cs="Times New Roman"/>
          <w:sz w:val="24"/>
          <w:szCs w:val="24"/>
        </w:rPr>
        <w:t>Some frameworks allow for the appointment of a “professional” support person in situations where the person concerned has not nominated a support person.</w:t>
      </w:r>
      <w:r w:rsidRPr="009F0C6C">
        <w:rPr>
          <w:rStyle w:val="FootnoteReference"/>
          <w:rFonts w:ascii="Times New Roman" w:hAnsi="Times New Roman" w:cs="Times New Roman"/>
          <w:sz w:val="24"/>
          <w:szCs w:val="24"/>
        </w:rPr>
        <w:footnoteReference w:id="1007"/>
      </w:r>
      <w:r w:rsidR="00DA52EF" w:rsidRPr="009F0C6C">
        <w:rPr>
          <w:rFonts w:ascii="Times New Roman" w:hAnsi="Times New Roman" w:cs="Times New Roman"/>
          <w:sz w:val="24"/>
          <w:szCs w:val="24"/>
        </w:rPr>
        <w:t xml:space="preserve"> While </w:t>
      </w:r>
      <w:r w:rsidR="009F6C46" w:rsidRPr="009F0C6C">
        <w:rPr>
          <w:rFonts w:ascii="Times New Roman" w:hAnsi="Times New Roman" w:cs="Times New Roman"/>
          <w:sz w:val="24"/>
          <w:szCs w:val="24"/>
        </w:rPr>
        <w:t xml:space="preserve">providing for the option of </w:t>
      </w:r>
      <w:r w:rsidR="009F6C46" w:rsidRPr="009F0C6C">
        <w:rPr>
          <w:rFonts w:ascii="Times New Roman" w:hAnsi="Times New Roman" w:cs="Times New Roman"/>
          <w:sz w:val="24"/>
          <w:szCs w:val="24"/>
        </w:rPr>
        <w:lastRenderedPageBreak/>
        <w:t>professional support might constitute a solution for those who are socially isolated</w:t>
      </w:r>
      <w:r w:rsidR="00C9286D" w:rsidRPr="009F0C6C">
        <w:rPr>
          <w:rFonts w:ascii="Times New Roman" w:hAnsi="Times New Roman" w:cs="Times New Roman"/>
          <w:sz w:val="24"/>
          <w:szCs w:val="24"/>
        </w:rPr>
        <w:t xml:space="preserve"> and for those that </w:t>
      </w:r>
      <w:proofErr w:type="gramStart"/>
      <w:r w:rsidR="00C9286D" w:rsidRPr="009F0C6C">
        <w:rPr>
          <w:rFonts w:ascii="Times New Roman" w:hAnsi="Times New Roman" w:cs="Times New Roman"/>
          <w:sz w:val="24"/>
          <w:szCs w:val="24"/>
        </w:rPr>
        <w:t>would rather not be assisted</w:t>
      </w:r>
      <w:proofErr w:type="gramEnd"/>
      <w:r w:rsidR="00C9286D" w:rsidRPr="009F0C6C">
        <w:rPr>
          <w:rFonts w:ascii="Times New Roman" w:hAnsi="Times New Roman" w:cs="Times New Roman"/>
          <w:sz w:val="24"/>
          <w:szCs w:val="24"/>
        </w:rPr>
        <w:t xml:space="preserve"> by a relative or friend, </w:t>
      </w:r>
      <w:r w:rsidR="0048420A" w:rsidRPr="009F0C6C">
        <w:rPr>
          <w:rFonts w:ascii="Times New Roman" w:hAnsi="Times New Roman" w:cs="Times New Roman"/>
          <w:sz w:val="24"/>
          <w:szCs w:val="24"/>
        </w:rPr>
        <w:t>there is doubtless a need to ensure that such</w:t>
      </w:r>
      <w:r w:rsidR="004D2DEC">
        <w:rPr>
          <w:rFonts w:ascii="Times New Roman" w:hAnsi="Times New Roman" w:cs="Times New Roman"/>
          <w:sz w:val="24"/>
          <w:szCs w:val="24"/>
        </w:rPr>
        <w:t xml:space="preserve"> </w:t>
      </w:r>
      <w:r w:rsidR="0048420A" w:rsidRPr="009F0C6C">
        <w:rPr>
          <w:rFonts w:ascii="Times New Roman" w:hAnsi="Times New Roman" w:cs="Times New Roman"/>
          <w:sz w:val="24"/>
          <w:szCs w:val="24"/>
        </w:rPr>
        <w:t>professional</w:t>
      </w:r>
      <w:r w:rsidR="004D2DEC">
        <w:rPr>
          <w:rFonts w:ascii="Times New Roman" w:hAnsi="Times New Roman" w:cs="Times New Roman"/>
          <w:sz w:val="24"/>
          <w:szCs w:val="24"/>
        </w:rPr>
        <w:t xml:space="preserve"> </w:t>
      </w:r>
      <w:r w:rsidR="0048420A" w:rsidRPr="009F0C6C">
        <w:rPr>
          <w:rFonts w:ascii="Times New Roman" w:hAnsi="Times New Roman" w:cs="Times New Roman"/>
          <w:sz w:val="24"/>
          <w:szCs w:val="24"/>
        </w:rPr>
        <w:t xml:space="preserve">supporters receive adequate training </w:t>
      </w:r>
      <w:r w:rsidR="00FA0930" w:rsidRPr="009F0C6C">
        <w:rPr>
          <w:rFonts w:ascii="Times New Roman" w:hAnsi="Times New Roman" w:cs="Times New Roman"/>
          <w:sz w:val="24"/>
          <w:szCs w:val="24"/>
        </w:rPr>
        <w:t xml:space="preserve">so that they </w:t>
      </w:r>
      <w:r w:rsidR="00866B19" w:rsidRPr="009F0C6C">
        <w:rPr>
          <w:rFonts w:ascii="Times New Roman" w:hAnsi="Times New Roman" w:cs="Times New Roman"/>
          <w:sz w:val="24"/>
          <w:szCs w:val="24"/>
        </w:rPr>
        <w:t xml:space="preserve">may </w:t>
      </w:r>
      <w:r w:rsidR="00FA0930" w:rsidRPr="009F0C6C">
        <w:rPr>
          <w:rFonts w:ascii="Times New Roman" w:hAnsi="Times New Roman" w:cs="Times New Roman"/>
          <w:sz w:val="24"/>
          <w:szCs w:val="24"/>
        </w:rPr>
        <w:t xml:space="preserve">provide thorough, individualized </w:t>
      </w:r>
      <w:r w:rsidR="008100AD" w:rsidRPr="00870B32">
        <w:rPr>
          <w:rFonts w:ascii="Times New Roman" w:hAnsi="Times New Roman" w:cs="Times New Roman"/>
          <w:sz w:val="24"/>
          <w:szCs w:val="24"/>
        </w:rPr>
        <w:t>support.</w:t>
      </w:r>
      <w:r w:rsidR="005F7C02" w:rsidRPr="00870B32">
        <w:rPr>
          <w:rFonts w:ascii="Times New Roman" w:hAnsi="Times New Roman" w:cs="Times New Roman"/>
          <w:sz w:val="24"/>
          <w:szCs w:val="24"/>
        </w:rPr>
        <w:t xml:space="preserve"> Civil society actors in Hungary have expressed their unease </w:t>
      </w:r>
      <w:r w:rsidR="002B0306" w:rsidRPr="00870B32">
        <w:rPr>
          <w:rFonts w:ascii="Times New Roman" w:hAnsi="Times New Roman" w:cs="Times New Roman"/>
          <w:sz w:val="24"/>
          <w:szCs w:val="24"/>
        </w:rPr>
        <w:t xml:space="preserve">with </w:t>
      </w:r>
      <w:r w:rsidR="005F7C02" w:rsidRPr="00870B32">
        <w:rPr>
          <w:rFonts w:ascii="Times New Roman" w:hAnsi="Times New Roman" w:cs="Times New Roman"/>
          <w:sz w:val="24"/>
          <w:szCs w:val="24"/>
        </w:rPr>
        <w:t>the possibility for professional supporters in this country to help dozens of people concurrently.</w:t>
      </w:r>
      <w:r w:rsidR="005F7C02" w:rsidRPr="00870B32">
        <w:rPr>
          <w:rStyle w:val="FootnoteReference"/>
          <w:rFonts w:ascii="Times New Roman" w:hAnsi="Times New Roman" w:cs="Times New Roman"/>
          <w:sz w:val="24"/>
          <w:szCs w:val="24"/>
        </w:rPr>
        <w:footnoteReference w:id="1008"/>
      </w:r>
      <w:r w:rsidR="004E5757" w:rsidRPr="00870B32">
        <w:rPr>
          <w:rFonts w:ascii="Times New Roman" w:hAnsi="Times New Roman" w:cs="Times New Roman"/>
          <w:sz w:val="24"/>
          <w:szCs w:val="24"/>
        </w:rPr>
        <w:t xml:space="preserve"> </w:t>
      </w:r>
      <w:r w:rsidR="00CA5805" w:rsidRPr="00870B32">
        <w:rPr>
          <w:rFonts w:ascii="Times New Roman" w:hAnsi="Times New Roman" w:cs="Times New Roman"/>
          <w:sz w:val="24"/>
          <w:szCs w:val="24"/>
        </w:rPr>
        <w:t xml:space="preserve">It </w:t>
      </w:r>
      <w:r w:rsidR="00B96512" w:rsidRPr="00870B32">
        <w:rPr>
          <w:rFonts w:ascii="Times New Roman" w:hAnsi="Times New Roman" w:cs="Times New Roman"/>
          <w:sz w:val="24"/>
          <w:szCs w:val="24"/>
        </w:rPr>
        <w:t>might</w:t>
      </w:r>
      <w:r w:rsidR="00CE3EBA" w:rsidRPr="00870B32">
        <w:rPr>
          <w:rFonts w:ascii="Times New Roman" w:hAnsi="Times New Roman" w:cs="Times New Roman"/>
          <w:sz w:val="24"/>
          <w:szCs w:val="24"/>
        </w:rPr>
        <w:t xml:space="preserve"> well </w:t>
      </w:r>
      <w:r w:rsidR="00F024DB" w:rsidRPr="00870B32">
        <w:rPr>
          <w:rFonts w:ascii="Times New Roman" w:hAnsi="Times New Roman" w:cs="Times New Roman"/>
          <w:sz w:val="24"/>
          <w:szCs w:val="24"/>
        </w:rPr>
        <w:t>be difficult</w:t>
      </w:r>
      <w:r w:rsidR="00CA5805" w:rsidRPr="00870B32">
        <w:rPr>
          <w:rFonts w:ascii="Times New Roman" w:hAnsi="Times New Roman" w:cs="Times New Roman"/>
          <w:sz w:val="24"/>
          <w:szCs w:val="24"/>
        </w:rPr>
        <w:t xml:space="preserve"> </w:t>
      </w:r>
      <w:r w:rsidR="000C2515" w:rsidRPr="00870B32">
        <w:rPr>
          <w:rFonts w:ascii="Times New Roman" w:hAnsi="Times New Roman" w:cs="Times New Roman"/>
          <w:sz w:val="24"/>
          <w:szCs w:val="24"/>
        </w:rPr>
        <w:t>for an individual</w:t>
      </w:r>
      <w:r w:rsidR="005007E3" w:rsidRPr="00870B32">
        <w:rPr>
          <w:rFonts w:ascii="Times New Roman" w:hAnsi="Times New Roman" w:cs="Times New Roman"/>
          <w:sz w:val="24"/>
          <w:szCs w:val="24"/>
        </w:rPr>
        <w:t xml:space="preserve"> supporting </w:t>
      </w:r>
      <w:r w:rsidR="007A0AF9" w:rsidRPr="00870B32">
        <w:rPr>
          <w:rFonts w:ascii="Times New Roman" w:hAnsi="Times New Roman" w:cs="Times New Roman"/>
          <w:sz w:val="24"/>
          <w:szCs w:val="24"/>
        </w:rPr>
        <w:t>45 people in a professional capacity</w:t>
      </w:r>
      <w:r w:rsidR="004E5757" w:rsidRPr="00870B32">
        <w:rPr>
          <w:rFonts w:ascii="Times New Roman" w:hAnsi="Times New Roman" w:cs="Times New Roman"/>
          <w:sz w:val="24"/>
          <w:szCs w:val="24"/>
        </w:rPr>
        <w:t xml:space="preserve"> </w:t>
      </w:r>
      <w:r w:rsidR="00A9188E" w:rsidRPr="00870B32">
        <w:rPr>
          <w:rFonts w:ascii="Times New Roman" w:hAnsi="Times New Roman" w:cs="Times New Roman"/>
          <w:sz w:val="24"/>
          <w:szCs w:val="24"/>
        </w:rPr>
        <w:t>t</w:t>
      </w:r>
      <w:r w:rsidR="00D53023" w:rsidRPr="00870B32">
        <w:rPr>
          <w:rFonts w:ascii="Times New Roman" w:hAnsi="Times New Roman" w:cs="Times New Roman"/>
          <w:sz w:val="24"/>
          <w:szCs w:val="24"/>
        </w:rPr>
        <w:t xml:space="preserve">o </w:t>
      </w:r>
      <w:r w:rsidR="007A0AF9" w:rsidRPr="00870B32">
        <w:rPr>
          <w:rFonts w:ascii="Times New Roman" w:hAnsi="Times New Roman" w:cs="Times New Roman"/>
          <w:sz w:val="24"/>
          <w:szCs w:val="24"/>
        </w:rPr>
        <w:t>undertake</w:t>
      </w:r>
      <w:r w:rsidR="009673A8" w:rsidRPr="00870B32">
        <w:rPr>
          <w:rFonts w:ascii="Times New Roman" w:hAnsi="Times New Roman" w:cs="Times New Roman"/>
          <w:sz w:val="24"/>
          <w:szCs w:val="24"/>
        </w:rPr>
        <w:t xml:space="preserve"> a personalized</w:t>
      </w:r>
      <w:r w:rsidR="00B33385" w:rsidRPr="00870B32">
        <w:rPr>
          <w:rFonts w:ascii="Times New Roman" w:hAnsi="Times New Roman" w:cs="Times New Roman"/>
          <w:sz w:val="24"/>
          <w:szCs w:val="24"/>
        </w:rPr>
        <w:t xml:space="preserve"> approach</w:t>
      </w:r>
      <w:r w:rsidR="008338B8" w:rsidRPr="00870B32">
        <w:rPr>
          <w:rFonts w:ascii="Times New Roman" w:hAnsi="Times New Roman" w:cs="Times New Roman"/>
          <w:sz w:val="24"/>
          <w:szCs w:val="24"/>
        </w:rPr>
        <w:t xml:space="preserve"> with each of their supported persons</w:t>
      </w:r>
      <w:r w:rsidR="00DE20E4" w:rsidRPr="00870B32">
        <w:rPr>
          <w:rFonts w:ascii="Times New Roman" w:hAnsi="Times New Roman" w:cs="Times New Roman"/>
          <w:sz w:val="24"/>
          <w:szCs w:val="24"/>
        </w:rPr>
        <w:t xml:space="preserve"> </w:t>
      </w:r>
      <w:r w:rsidR="00DA4BB0" w:rsidRPr="00870B32">
        <w:rPr>
          <w:rFonts w:ascii="Times New Roman" w:hAnsi="Times New Roman" w:cs="Times New Roman"/>
          <w:sz w:val="24"/>
          <w:szCs w:val="24"/>
        </w:rPr>
        <w:t>and</w:t>
      </w:r>
      <w:r w:rsidR="00F032DB" w:rsidRPr="00870B32">
        <w:rPr>
          <w:rFonts w:ascii="Times New Roman" w:hAnsi="Times New Roman" w:cs="Times New Roman"/>
          <w:sz w:val="24"/>
          <w:szCs w:val="24"/>
        </w:rPr>
        <w:t xml:space="preserve"> to have the time to</w:t>
      </w:r>
      <w:r w:rsidR="00DA4BB0" w:rsidRPr="00870B32">
        <w:rPr>
          <w:rFonts w:ascii="Times New Roman" w:hAnsi="Times New Roman" w:cs="Times New Roman"/>
          <w:sz w:val="24"/>
          <w:szCs w:val="24"/>
        </w:rPr>
        <w:t xml:space="preserve"> foster </w:t>
      </w:r>
      <w:r w:rsidR="00DE20E4" w:rsidRPr="00870B32">
        <w:rPr>
          <w:rFonts w:ascii="Times New Roman" w:hAnsi="Times New Roman" w:cs="Times New Roman"/>
          <w:sz w:val="24"/>
          <w:szCs w:val="24"/>
        </w:rPr>
        <w:t>meaningful relationship</w:t>
      </w:r>
      <w:r w:rsidR="006C7C45" w:rsidRPr="00870B32">
        <w:rPr>
          <w:rFonts w:ascii="Times New Roman" w:hAnsi="Times New Roman" w:cs="Times New Roman"/>
          <w:sz w:val="24"/>
          <w:szCs w:val="24"/>
        </w:rPr>
        <w:t>s</w:t>
      </w:r>
      <w:r w:rsidR="00DE20E4" w:rsidRPr="00870B32">
        <w:rPr>
          <w:rFonts w:ascii="Times New Roman" w:hAnsi="Times New Roman" w:cs="Times New Roman"/>
          <w:sz w:val="24"/>
          <w:szCs w:val="24"/>
        </w:rPr>
        <w:t xml:space="preserve"> </w:t>
      </w:r>
      <w:r w:rsidR="00DA4BB0" w:rsidRPr="00870B32">
        <w:rPr>
          <w:rFonts w:ascii="Times New Roman" w:hAnsi="Times New Roman" w:cs="Times New Roman"/>
          <w:sz w:val="24"/>
          <w:szCs w:val="24"/>
        </w:rPr>
        <w:t>with each</w:t>
      </w:r>
      <w:r w:rsidR="00DE20E4" w:rsidRPr="00870B32">
        <w:rPr>
          <w:rFonts w:ascii="Times New Roman" w:hAnsi="Times New Roman" w:cs="Times New Roman"/>
          <w:sz w:val="24"/>
          <w:szCs w:val="24"/>
        </w:rPr>
        <w:t>.</w:t>
      </w:r>
      <w:r w:rsidR="009673A8" w:rsidRPr="00870B32">
        <w:rPr>
          <w:rFonts w:ascii="Times New Roman" w:hAnsi="Times New Roman" w:cs="Times New Roman"/>
          <w:sz w:val="24"/>
          <w:szCs w:val="24"/>
        </w:rPr>
        <w:t xml:space="preserve"> </w:t>
      </w:r>
      <w:r w:rsidR="001537C5" w:rsidRPr="00870B32">
        <w:rPr>
          <w:rFonts w:ascii="Times New Roman" w:hAnsi="Times New Roman" w:cs="Times New Roman"/>
          <w:sz w:val="24"/>
          <w:szCs w:val="24"/>
        </w:rPr>
        <w:t>Nevertheless</w:t>
      </w:r>
      <w:r w:rsidR="003F4EC1" w:rsidRPr="00870B32">
        <w:rPr>
          <w:rFonts w:ascii="Times New Roman" w:hAnsi="Times New Roman" w:cs="Times New Roman"/>
          <w:sz w:val="24"/>
          <w:szCs w:val="24"/>
        </w:rPr>
        <w:t>, t</w:t>
      </w:r>
      <w:r w:rsidR="008100AD" w:rsidRPr="00870B32">
        <w:rPr>
          <w:rFonts w:ascii="Times New Roman" w:hAnsi="Times New Roman" w:cs="Times New Roman"/>
          <w:sz w:val="24"/>
          <w:szCs w:val="24"/>
        </w:rPr>
        <w:t>he Special Rapporteur on the Rights of Persons with Disabilities has pointed to research demonstrating that it is possible for people to establish relationships of trust with volunteers and paid workers.</w:t>
      </w:r>
      <w:r w:rsidR="008100AD" w:rsidRPr="00870B32">
        <w:rPr>
          <w:rStyle w:val="FootnoteReference"/>
          <w:rFonts w:ascii="Times New Roman" w:hAnsi="Times New Roman" w:cs="Times New Roman"/>
          <w:sz w:val="24"/>
          <w:szCs w:val="24"/>
        </w:rPr>
        <w:footnoteReference w:id="1009"/>
      </w:r>
      <w:r w:rsidR="00DA1F5D" w:rsidRPr="00870B32">
        <w:rPr>
          <w:rFonts w:ascii="Times New Roman" w:hAnsi="Times New Roman" w:cs="Times New Roman"/>
          <w:sz w:val="24"/>
          <w:szCs w:val="24"/>
        </w:rPr>
        <w:t xml:space="preserve"> </w:t>
      </w:r>
      <w:r w:rsidR="006F7117" w:rsidRPr="00870B32">
        <w:rPr>
          <w:rFonts w:ascii="Times New Roman" w:hAnsi="Times New Roman" w:cs="Times New Roman"/>
          <w:sz w:val="24"/>
          <w:szCs w:val="24"/>
        </w:rPr>
        <w:t>The</w:t>
      </w:r>
      <w:r w:rsidR="00DA1F5D" w:rsidRPr="00870B32">
        <w:rPr>
          <w:rFonts w:ascii="Times New Roman" w:hAnsi="Times New Roman" w:cs="Times New Roman"/>
          <w:sz w:val="24"/>
          <w:szCs w:val="24"/>
        </w:rPr>
        <w:t xml:space="preserve"> Special Rapporteur</w:t>
      </w:r>
      <w:r w:rsidR="006F7117" w:rsidRPr="00870B32">
        <w:rPr>
          <w:rFonts w:ascii="Times New Roman" w:hAnsi="Times New Roman" w:cs="Times New Roman"/>
          <w:sz w:val="24"/>
          <w:szCs w:val="24"/>
        </w:rPr>
        <w:t xml:space="preserve"> maintains that</w:t>
      </w:r>
      <w:r w:rsidR="008A4A0F" w:rsidRPr="00870B32">
        <w:rPr>
          <w:rFonts w:ascii="Times New Roman" w:hAnsi="Times New Roman" w:cs="Times New Roman"/>
          <w:sz w:val="24"/>
          <w:szCs w:val="24"/>
        </w:rPr>
        <w:t xml:space="preserve"> </w:t>
      </w:r>
      <w:r w:rsidR="00506114" w:rsidRPr="00870B32">
        <w:rPr>
          <w:rFonts w:ascii="Times New Roman" w:hAnsi="Times New Roman" w:cs="Times New Roman"/>
          <w:sz w:val="24"/>
          <w:szCs w:val="24"/>
        </w:rPr>
        <w:t>legislation should be flexible with regards to the</w:t>
      </w:r>
      <w:r w:rsidR="006C6E64" w:rsidRPr="00870B32">
        <w:rPr>
          <w:rFonts w:ascii="Times New Roman" w:hAnsi="Times New Roman" w:cs="Times New Roman"/>
          <w:sz w:val="24"/>
          <w:szCs w:val="24"/>
        </w:rPr>
        <w:t xml:space="preserve"> possible</w:t>
      </w:r>
      <w:r w:rsidR="00506114" w:rsidRPr="00870B32">
        <w:rPr>
          <w:rFonts w:ascii="Times New Roman" w:hAnsi="Times New Roman" w:cs="Times New Roman"/>
          <w:sz w:val="24"/>
          <w:szCs w:val="24"/>
        </w:rPr>
        <w:t xml:space="preserve"> types of supporter and should</w:t>
      </w:r>
      <w:r w:rsidR="00F1401A" w:rsidRPr="00870B32">
        <w:rPr>
          <w:rFonts w:ascii="Times New Roman" w:hAnsi="Times New Roman" w:cs="Times New Roman"/>
          <w:sz w:val="24"/>
          <w:szCs w:val="24"/>
        </w:rPr>
        <w:t xml:space="preserve"> not </w:t>
      </w:r>
      <w:r w:rsidR="000B178C" w:rsidRPr="00870B32">
        <w:rPr>
          <w:rFonts w:ascii="Times New Roman" w:hAnsi="Times New Roman" w:cs="Times New Roman"/>
          <w:sz w:val="24"/>
          <w:szCs w:val="24"/>
        </w:rPr>
        <w:t xml:space="preserve">prioritize </w:t>
      </w:r>
      <w:proofErr w:type="gramStart"/>
      <w:r w:rsidR="00E53B39" w:rsidRPr="00870B32">
        <w:rPr>
          <w:rFonts w:ascii="Times New Roman" w:hAnsi="Times New Roman" w:cs="Times New Roman"/>
          <w:sz w:val="24"/>
          <w:szCs w:val="24"/>
        </w:rPr>
        <w:t>the  appointment</w:t>
      </w:r>
      <w:proofErr w:type="gramEnd"/>
      <w:r w:rsidR="00E53B39" w:rsidRPr="00870B32">
        <w:rPr>
          <w:rFonts w:ascii="Times New Roman" w:hAnsi="Times New Roman" w:cs="Times New Roman"/>
          <w:sz w:val="24"/>
          <w:szCs w:val="24"/>
        </w:rPr>
        <w:t xml:space="preserve"> of </w:t>
      </w:r>
      <w:r w:rsidR="000B178C" w:rsidRPr="00870B32">
        <w:rPr>
          <w:rFonts w:ascii="Times New Roman" w:hAnsi="Times New Roman" w:cs="Times New Roman"/>
          <w:sz w:val="24"/>
          <w:szCs w:val="24"/>
        </w:rPr>
        <w:t xml:space="preserve">one </w:t>
      </w:r>
      <w:r w:rsidR="003E6B71" w:rsidRPr="00870B32">
        <w:rPr>
          <w:rFonts w:ascii="Times New Roman" w:hAnsi="Times New Roman" w:cs="Times New Roman"/>
          <w:sz w:val="24"/>
          <w:szCs w:val="24"/>
        </w:rPr>
        <w:t>category of supporter over another.</w:t>
      </w:r>
      <w:r w:rsidR="002A11CB" w:rsidRPr="00870B32">
        <w:rPr>
          <w:rStyle w:val="FootnoteReference"/>
          <w:rFonts w:ascii="Times New Roman" w:hAnsi="Times New Roman" w:cs="Times New Roman"/>
          <w:sz w:val="24"/>
          <w:szCs w:val="24"/>
        </w:rPr>
        <w:footnoteReference w:id="1010"/>
      </w:r>
      <w:r w:rsidR="001A58FB" w:rsidRPr="00870B32">
        <w:rPr>
          <w:rFonts w:ascii="Times New Roman" w:hAnsi="Times New Roman" w:cs="Times New Roman"/>
          <w:sz w:val="24"/>
          <w:szCs w:val="24"/>
        </w:rPr>
        <w:t xml:space="preserve"> </w:t>
      </w:r>
      <w:proofErr w:type="gramStart"/>
      <w:r w:rsidR="001A58FB" w:rsidRPr="00870B32">
        <w:rPr>
          <w:rFonts w:ascii="Times New Roman" w:hAnsi="Times New Roman" w:cs="Times New Roman"/>
          <w:sz w:val="24"/>
          <w:szCs w:val="24"/>
        </w:rPr>
        <w:t xml:space="preserve">Here, one may turn to the </w:t>
      </w:r>
      <w:r w:rsidR="000B1CAB" w:rsidRPr="00870B32">
        <w:rPr>
          <w:rFonts w:ascii="Times New Roman" w:hAnsi="Times New Roman" w:cs="Times New Roman"/>
          <w:sz w:val="24"/>
          <w:szCs w:val="24"/>
        </w:rPr>
        <w:t>Peru</w:t>
      </w:r>
      <w:r w:rsidR="001A58FB" w:rsidRPr="00870B32">
        <w:rPr>
          <w:rFonts w:ascii="Times New Roman" w:hAnsi="Times New Roman" w:cs="Times New Roman"/>
          <w:sz w:val="24"/>
          <w:szCs w:val="24"/>
        </w:rPr>
        <w:t>vian</w:t>
      </w:r>
      <w:r w:rsidR="00252B54" w:rsidRPr="00870B32">
        <w:rPr>
          <w:rFonts w:ascii="Times New Roman" w:hAnsi="Times New Roman" w:cs="Times New Roman"/>
          <w:sz w:val="24"/>
          <w:szCs w:val="24"/>
        </w:rPr>
        <w:t xml:space="preserve"> legislation</w:t>
      </w:r>
      <w:r w:rsidR="001A58FB" w:rsidRPr="00870B32">
        <w:rPr>
          <w:rFonts w:ascii="Times New Roman" w:hAnsi="Times New Roman" w:cs="Times New Roman"/>
          <w:sz w:val="24"/>
          <w:szCs w:val="24"/>
        </w:rPr>
        <w:t xml:space="preserve"> as a model</w:t>
      </w:r>
      <w:r w:rsidR="009A04EF" w:rsidRPr="00870B32">
        <w:rPr>
          <w:rFonts w:ascii="Times New Roman" w:hAnsi="Times New Roman" w:cs="Times New Roman"/>
          <w:sz w:val="24"/>
          <w:szCs w:val="24"/>
        </w:rPr>
        <w:t xml:space="preserve">, as it merely </w:t>
      </w:r>
      <w:r w:rsidR="00B76AF1" w:rsidRPr="00870B32">
        <w:rPr>
          <w:rFonts w:ascii="Times New Roman" w:hAnsi="Times New Roman" w:cs="Times New Roman"/>
          <w:sz w:val="24"/>
          <w:szCs w:val="24"/>
        </w:rPr>
        <w:t>stipulates</w:t>
      </w:r>
      <w:r w:rsidR="00A53C1B" w:rsidRPr="00870B32">
        <w:rPr>
          <w:rFonts w:ascii="Times New Roman" w:hAnsi="Times New Roman" w:cs="Times New Roman"/>
          <w:sz w:val="24"/>
          <w:szCs w:val="24"/>
        </w:rPr>
        <w:t xml:space="preserve"> that</w:t>
      </w:r>
      <w:r w:rsidR="000B1CAB" w:rsidRPr="00870B32">
        <w:rPr>
          <w:rFonts w:ascii="Times New Roman" w:hAnsi="Times New Roman" w:cs="Times New Roman"/>
          <w:sz w:val="24"/>
          <w:szCs w:val="24"/>
        </w:rPr>
        <w:t xml:space="preserve"> </w:t>
      </w:r>
      <w:r w:rsidR="00B62686" w:rsidRPr="00870B32">
        <w:rPr>
          <w:rFonts w:ascii="Times New Roman" w:hAnsi="Times New Roman" w:cs="Times New Roman"/>
          <w:sz w:val="24"/>
          <w:szCs w:val="24"/>
        </w:rPr>
        <w:t>support</w:t>
      </w:r>
      <w:r w:rsidR="000B1CAB" w:rsidRPr="00870B32">
        <w:rPr>
          <w:rFonts w:ascii="Times New Roman" w:hAnsi="Times New Roman" w:cs="Times New Roman"/>
          <w:sz w:val="24"/>
          <w:szCs w:val="24"/>
        </w:rPr>
        <w:t xml:space="preserve"> </w:t>
      </w:r>
      <w:r w:rsidR="00F75F7E" w:rsidRPr="00870B32">
        <w:rPr>
          <w:rFonts w:ascii="Times New Roman" w:hAnsi="Times New Roman" w:cs="Times New Roman"/>
          <w:sz w:val="24"/>
          <w:szCs w:val="24"/>
        </w:rPr>
        <w:t xml:space="preserve">may </w:t>
      </w:r>
      <w:r w:rsidR="000B1CAB" w:rsidRPr="00870B32">
        <w:rPr>
          <w:rFonts w:ascii="Times New Roman" w:hAnsi="Times New Roman" w:cs="Times New Roman"/>
          <w:sz w:val="24"/>
          <w:szCs w:val="24"/>
        </w:rPr>
        <w:t>be</w:t>
      </w:r>
      <w:r w:rsidR="00B62686" w:rsidRPr="00870B32">
        <w:rPr>
          <w:rFonts w:ascii="Times New Roman" w:hAnsi="Times New Roman" w:cs="Times New Roman"/>
          <w:sz w:val="24"/>
          <w:szCs w:val="24"/>
        </w:rPr>
        <w:t xml:space="preserve"> provided by</w:t>
      </w:r>
      <w:r w:rsidR="000B1CAB" w:rsidRPr="00870B32">
        <w:rPr>
          <w:rFonts w:ascii="Times New Roman" w:hAnsi="Times New Roman" w:cs="Times New Roman"/>
          <w:sz w:val="24"/>
          <w:szCs w:val="24"/>
        </w:rPr>
        <w:t xml:space="preserve"> natural person</w:t>
      </w:r>
      <w:r w:rsidR="00BE3E94" w:rsidRPr="00870B32">
        <w:rPr>
          <w:rFonts w:ascii="Times New Roman" w:hAnsi="Times New Roman" w:cs="Times New Roman"/>
          <w:sz w:val="24"/>
          <w:szCs w:val="24"/>
        </w:rPr>
        <w:t>s</w:t>
      </w:r>
      <w:r w:rsidR="000B1CAB" w:rsidRPr="00870B32">
        <w:rPr>
          <w:rFonts w:ascii="Times New Roman" w:hAnsi="Times New Roman" w:cs="Times New Roman"/>
          <w:sz w:val="24"/>
          <w:szCs w:val="24"/>
        </w:rPr>
        <w:t>, public institution</w:t>
      </w:r>
      <w:r w:rsidR="0026630C" w:rsidRPr="00870B32">
        <w:rPr>
          <w:rFonts w:ascii="Times New Roman" w:hAnsi="Times New Roman" w:cs="Times New Roman"/>
          <w:sz w:val="24"/>
          <w:szCs w:val="24"/>
        </w:rPr>
        <w:t>s</w:t>
      </w:r>
      <w:r w:rsidR="000B1CAB" w:rsidRPr="00870B32">
        <w:rPr>
          <w:rFonts w:ascii="Times New Roman" w:hAnsi="Times New Roman" w:cs="Times New Roman"/>
          <w:sz w:val="24"/>
          <w:szCs w:val="24"/>
        </w:rPr>
        <w:t xml:space="preserve"> or non-profit legal entit</w:t>
      </w:r>
      <w:r w:rsidR="0026630C" w:rsidRPr="00870B32">
        <w:rPr>
          <w:rFonts w:ascii="Times New Roman" w:hAnsi="Times New Roman" w:cs="Times New Roman"/>
          <w:sz w:val="24"/>
          <w:szCs w:val="24"/>
        </w:rPr>
        <w:t>ies</w:t>
      </w:r>
      <w:r w:rsidR="00045372" w:rsidRPr="00870B32">
        <w:rPr>
          <w:rFonts w:ascii="Times New Roman" w:hAnsi="Times New Roman" w:cs="Times New Roman"/>
          <w:sz w:val="24"/>
          <w:szCs w:val="24"/>
        </w:rPr>
        <w:t>,</w:t>
      </w:r>
      <w:r w:rsidR="00045372" w:rsidRPr="00870B32">
        <w:rPr>
          <w:rStyle w:val="FootnoteReference"/>
          <w:rFonts w:ascii="Times New Roman" w:hAnsi="Times New Roman" w:cs="Times New Roman"/>
          <w:sz w:val="24"/>
          <w:szCs w:val="24"/>
        </w:rPr>
        <w:footnoteReference w:id="1011"/>
      </w:r>
      <w:r w:rsidR="00E35AF2" w:rsidRPr="00870B32">
        <w:rPr>
          <w:rFonts w:ascii="Times New Roman" w:hAnsi="Times New Roman" w:cs="Times New Roman"/>
          <w:sz w:val="24"/>
          <w:szCs w:val="24"/>
        </w:rPr>
        <w:t xml:space="preserve"> without indicating</w:t>
      </w:r>
      <w:r w:rsidR="002C399B" w:rsidRPr="00870B32">
        <w:rPr>
          <w:rFonts w:ascii="Times New Roman" w:hAnsi="Times New Roman" w:cs="Times New Roman"/>
          <w:sz w:val="24"/>
          <w:szCs w:val="24"/>
        </w:rPr>
        <w:t xml:space="preserve">, for instance, </w:t>
      </w:r>
      <w:r w:rsidR="00E35AF2" w:rsidRPr="00870B32">
        <w:rPr>
          <w:rFonts w:ascii="Times New Roman" w:hAnsi="Times New Roman" w:cs="Times New Roman"/>
          <w:sz w:val="24"/>
          <w:szCs w:val="24"/>
        </w:rPr>
        <w:t>any kind of preference</w:t>
      </w:r>
      <w:r w:rsidR="008B210F" w:rsidRPr="00870B32">
        <w:rPr>
          <w:rFonts w:ascii="Times New Roman" w:hAnsi="Times New Roman" w:cs="Times New Roman"/>
          <w:sz w:val="24"/>
          <w:szCs w:val="24"/>
        </w:rPr>
        <w:t xml:space="preserve"> for</w:t>
      </w:r>
      <w:r w:rsidR="00441B07" w:rsidRPr="00870B32">
        <w:rPr>
          <w:rFonts w:ascii="Times New Roman" w:hAnsi="Times New Roman" w:cs="Times New Roman"/>
          <w:sz w:val="24"/>
          <w:szCs w:val="24"/>
        </w:rPr>
        <w:t xml:space="preserve"> </w:t>
      </w:r>
      <w:r w:rsidR="0053235D" w:rsidRPr="00870B32">
        <w:rPr>
          <w:rFonts w:ascii="Times New Roman" w:hAnsi="Times New Roman" w:cs="Times New Roman"/>
          <w:sz w:val="24"/>
          <w:szCs w:val="24"/>
        </w:rPr>
        <w:t xml:space="preserve">a particular category of natural person (e.g. family members) and without </w:t>
      </w:r>
      <w:r w:rsidR="00382C64" w:rsidRPr="00870B32">
        <w:rPr>
          <w:rFonts w:ascii="Times New Roman" w:hAnsi="Times New Roman" w:cs="Times New Roman"/>
          <w:sz w:val="24"/>
          <w:szCs w:val="24"/>
        </w:rPr>
        <w:t>denoting</w:t>
      </w:r>
      <w:r w:rsidR="0053235D" w:rsidRPr="00870B32">
        <w:rPr>
          <w:rFonts w:ascii="Times New Roman" w:hAnsi="Times New Roman" w:cs="Times New Roman"/>
          <w:sz w:val="24"/>
          <w:szCs w:val="24"/>
        </w:rPr>
        <w:t xml:space="preserve"> any sort of hierarchy between persons, public institutions, and non-profit legal entities.</w:t>
      </w:r>
      <w:proofErr w:type="gramEnd"/>
      <w:r w:rsidR="0053235D" w:rsidRPr="00870B32">
        <w:rPr>
          <w:rFonts w:ascii="Times New Roman" w:hAnsi="Times New Roman" w:cs="Times New Roman"/>
          <w:sz w:val="24"/>
          <w:szCs w:val="24"/>
        </w:rPr>
        <w:t xml:space="preserve"> </w:t>
      </w:r>
    </w:p>
    <w:p w14:paraId="04FFAF93" w14:textId="59BE27EB" w:rsidR="00097CEA" w:rsidRDefault="00097CEA" w:rsidP="007D4C6A"/>
    <w:p w14:paraId="5DF599F3" w14:textId="227E528F" w:rsidR="009560F6" w:rsidRDefault="00B37E5F" w:rsidP="007D4C6A">
      <w:r>
        <w:t xml:space="preserve">Analysis of the various procedures for </w:t>
      </w:r>
      <w:r w:rsidRPr="003205BA">
        <w:t xml:space="preserve">appointing support persons also brings to light the importance of </w:t>
      </w:r>
      <w:r w:rsidR="006063CA" w:rsidRPr="003205BA">
        <w:t xml:space="preserve">establishing </w:t>
      </w:r>
      <w:r w:rsidR="00B8451D" w:rsidRPr="003205BA">
        <w:t xml:space="preserve">a rigorous appointment procedure </w:t>
      </w:r>
      <w:r w:rsidR="00227057" w:rsidRPr="003205BA">
        <w:t>that incorporates appropriate safeguards</w:t>
      </w:r>
      <w:r w:rsidR="006063CA" w:rsidRPr="003205BA">
        <w:t>.</w:t>
      </w:r>
      <w:r w:rsidR="000B17B1" w:rsidRPr="003205BA">
        <w:t xml:space="preserve"> </w:t>
      </w:r>
      <w:r w:rsidR="001A74D6" w:rsidRPr="003205BA">
        <w:t xml:space="preserve">Some states have put into place </w:t>
      </w:r>
      <w:r w:rsidR="009B3946" w:rsidRPr="003205BA">
        <w:t xml:space="preserve">various </w:t>
      </w:r>
      <w:r w:rsidR="005C4F43" w:rsidRPr="003205BA">
        <w:t>criteria</w:t>
      </w:r>
      <w:r w:rsidR="0038221F" w:rsidRPr="003205BA">
        <w:t xml:space="preserve"> that must be satisfied</w:t>
      </w:r>
      <w:r w:rsidR="001A74D6" w:rsidRPr="003205BA">
        <w:t xml:space="preserve"> </w:t>
      </w:r>
      <w:r w:rsidR="00277765" w:rsidRPr="003205BA">
        <w:t>before</w:t>
      </w:r>
      <w:r w:rsidR="001A74D6" w:rsidRPr="003205BA">
        <w:t xml:space="preserve"> </w:t>
      </w:r>
      <w:r w:rsidR="00277765" w:rsidRPr="003205BA">
        <w:t xml:space="preserve">a particular person </w:t>
      </w:r>
      <w:proofErr w:type="gramStart"/>
      <w:r w:rsidR="00067340" w:rsidRPr="003205BA">
        <w:t>can be</w:t>
      </w:r>
      <w:r w:rsidR="00277765" w:rsidRPr="003205BA">
        <w:t xml:space="preserve"> </w:t>
      </w:r>
      <w:r w:rsidR="00D16C22" w:rsidRPr="003205BA">
        <w:t>successfully</w:t>
      </w:r>
      <w:r w:rsidR="001A74D6" w:rsidRPr="003205BA">
        <w:t xml:space="preserve"> appointed</w:t>
      </w:r>
      <w:proofErr w:type="gramEnd"/>
      <w:r w:rsidR="001A74D6" w:rsidRPr="003205BA">
        <w:t xml:space="preserve"> a</w:t>
      </w:r>
      <w:r w:rsidR="006320A0" w:rsidRPr="003205BA">
        <w:t>s a</w:t>
      </w:r>
      <w:r w:rsidR="001A74D6" w:rsidRPr="003205BA">
        <w:t xml:space="preserve"> supporter</w:t>
      </w:r>
      <w:r w:rsidR="001A74D6">
        <w:t xml:space="preserve">. </w:t>
      </w:r>
      <w:r w:rsidR="001A74D6" w:rsidRPr="00C81603">
        <w:t>For instance, Costa Rican legislation requires a judge in all situations to ensure that the guarantor is the “ideal” person</w:t>
      </w:r>
      <w:r w:rsidR="002B76B7" w:rsidRPr="00C81603">
        <w:t xml:space="preserve"> to </w:t>
      </w:r>
      <w:r w:rsidR="002F60CD" w:rsidRPr="00C81603">
        <w:t>secure</w:t>
      </w:r>
      <w:r w:rsidR="002B76B7" w:rsidRPr="00C81603">
        <w:t xml:space="preserve"> the exercise of the rights and obligations </w:t>
      </w:r>
      <w:r w:rsidR="00B621B7" w:rsidRPr="00C81603">
        <w:t>of the given person.</w:t>
      </w:r>
      <w:r w:rsidR="00B01B8F" w:rsidRPr="00C81603">
        <w:rPr>
          <w:rStyle w:val="FootnoteReference"/>
        </w:rPr>
        <w:footnoteReference w:id="1012"/>
      </w:r>
      <w:r w:rsidR="00D70FC5" w:rsidRPr="00C81603">
        <w:t xml:space="preserve"> </w:t>
      </w:r>
      <w:proofErr w:type="gramStart"/>
      <w:r w:rsidR="00EE4F79" w:rsidRPr="00C81603">
        <w:t xml:space="preserve">Victoria’s legislation includes a list of </w:t>
      </w:r>
      <w:r w:rsidR="00516DCD" w:rsidRPr="00C81603">
        <w:t>considerations</w:t>
      </w:r>
      <w:r w:rsidR="00EE4F79" w:rsidRPr="00C81603">
        <w:t xml:space="preserve"> that the tribunal must</w:t>
      </w:r>
      <w:r w:rsidR="00EE4F79">
        <w:t xml:space="preserve"> </w:t>
      </w:r>
      <w:r w:rsidR="00516DCD">
        <w:t>contemplate</w:t>
      </w:r>
      <w:r w:rsidR="00EE4F79">
        <w:t xml:space="preserve"> when assessing the </w:t>
      </w:r>
      <w:r w:rsidR="00EE4F79" w:rsidRPr="002A28E1">
        <w:t>suitability</w:t>
      </w:r>
      <w:r w:rsidR="00EE4F79">
        <w:t xml:space="preserve"> of a proposed support person, such as</w:t>
      </w:r>
      <w:r w:rsidR="00EE4F79" w:rsidRPr="002A28E1">
        <w:t xml:space="preserve"> “will and preferences of the proposed represented person</w:t>
      </w:r>
      <w:r w:rsidR="00C81603">
        <w:t>,”</w:t>
      </w:r>
      <w:r w:rsidR="00EE4F79" w:rsidRPr="002A28E1">
        <w:t xml:space="preserve"> </w:t>
      </w:r>
      <w:r w:rsidR="00C81603">
        <w:t>“</w:t>
      </w:r>
      <w:r w:rsidR="00EE4F79" w:rsidRPr="002A28E1">
        <w:t>the desirability of preserving existing relationships that are important to the proposed represented person</w:t>
      </w:r>
      <w:r w:rsidR="00C81603">
        <w:t>,”</w:t>
      </w:r>
      <w:r w:rsidR="00EE4F79" w:rsidRPr="002A28E1">
        <w:t xml:space="preserve"> </w:t>
      </w:r>
      <w:r w:rsidR="00C81603">
        <w:t>“</w:t>
      </w:r>
      <w:r w:rsidR="00EE4F79" w:rsidRPr="002A28E1">
        <w:t>the desirability of appointing a person who is a relative of the proposed represented person, or who has a personal relationship with the proposed represented person, rather than appointing a person with no such relationship</w:t>
      </w:r>
      <w:r w:rsidR="00C81603">
        <w:t>,” and</w:t>
      </w:r>
      <w:r w:rsidR="00EE4F79" w:rsidRPr="002A28E1">
        <w:t xml:space="preserve"> </w:t>
      </w:r>
      <w:r w:rsidR="00C81603">
        <w:t>“</w:t>
      </w:r>
      <w:r w:rsidR="00EE4F79" w:rsidRPr="002A28E1">
        <w:t>whether the person will be available to the proposed represented person and able to meet and communicate with the proposed represented person.”</w:t>
      </w:r>
      <w:r w:rsidR="00EE4F79" w:rsidRPr="002A28E1">
        <w:rPr>
          <w:rStyle w:val="FootnoteReference"/>
        </w:rPr>
        <w:footnoteReference w:id="1013"/>
      </w:r>
      <w:proofErr w:type="gramEnd"/>
      <w:r w:rsidR="005007E3">
        <w:t xml:space="preserve"> </w:t>
      </w:r>
      <w:r w:rsidR="00581969">
        <w:t xml:space="preserve">Additionally, </w:t>
      </w:r>
      <w:r w:rsidR="00E276E0">
        <w:t>certain</w:t>
      </w:r>
      <w:r w:rsidR="00C20AD5">
        <w:t xml:space="preserve"> legislative regimes </w:t>
      </w:r>
      <w:r w:rsidR="004C7F26">
        <w:t xml:space="preserve">contain provisions barring </w:t>
      </w:r>
      <w:r w:rsidR="00E276E0">
        <w:t>specific</w:t>
      </w:r>
      <w:r w:rsidR="004C7F26">
        <w:t xml:space="preserve"> categories of individuals from </w:t>
      </w:r>
      <w:r w:rsidR="005016D9">
        <w:t>serving as</w:t>
      </w:r>
      <w:r w:rsidR="004C7F26">
        <w:t xml:space="preserve"> supporters. For instance, </w:t>
      </w:r>
      <w:r w:rsidR="00B151F3">
        <w:t xml:space="preserve">Irish law </w:t>
      </w:r>
      <w:r w:rsidR="0060566E">
        <w:t>precludes</w:t>
      </w:r>
      <w:r w:rsidR="00B151F3">
        <w:t xml:space="preserve"> those who have</w:t>
      </w:r>
      <w:r w:rsidR="00B151F3" w:rsidRPr="00B151F3">
        <w:t xml:space="preserve"> </w:t>
      </w:r>
      <w:r w:rsidR="00B151F3" w:rsidRPr="002A28E1">
        <w:t xml:space="preserve">committed offences implicating fraud or dishonesty, bankrupt persons, </w:t>
      </w:r>
      <w:r w:rsidR="00104F5D">
        <w:t>as well as</w:t>
      </w:r>
      <w:r w:rsidR="00B151F3" w:rsidRPr="002A28E1">
        <w:t xml:space="preserve"> employees of centres or mental health facilities where the appointer lives</w:t>
      </w:r>
      <w:r w:rsidR="00CE32E1">
        <w:t xml:space="preserve"> from acting as support persons</w:t>
      </w:r>
      <w:r w:rsidR="00B151F3" w:rsidRPr="002A28E1">
        <w:t>.</w:t>
      </w:r>
      <w:r w:rsidR="00B151F3" w:rsidRPr="002A28E1">
        <w:rPr>
          <w:rStyle w:val="FootnoteReference"/>
        </w:rPr>
        <w:footnoteReference w:id="1014"/>
      </w:r>
      <w:r w:rsidR="00C357AD">
        <w:t xml:space="preserve"> British Columbia’s legislation prevents people from appointing </w:t>
      </w:r>
      <w:r w:rsidR="005E41AB">
        <w:t>their</w:t>
      </w:r>
      <w:r w:rsidR="00C357AD">
        <w:t xml:space="preserve"> personal or health care service</w:t>
      </w:r>
      <w:r w:rsidR="005E41AB">
        <w:t xml:space="preserve"> </w:t>
      </w:r>
      <w:r w:rsidR="00DD6A28">
        <w:t>providers</w:t>
      </w:r>
      <w:r w:rsidR="008C7228">
        <w:t xml:space="preserve"> as their support persons.</w:t>
      </w:r>
      <w:r w:rsidR="004B2B97">
        <w:rPr>
          <w:rStyle w:val="FootnoteReference"/>
        </w:rPr>
        <w:footnoteReference w:id="1015"/>
      </w:r>
      <w:r w:rsidR="008C7228">
        <w:t xml:space="preserve"> </w:t>
      </w:r>
      <w:r w:rsidR="006B78D0">
        <w:t>One might contend that a</w:t>
      </w:r>
      <w:r w:rsidR="00C60FD0">
        <w:t xml:space="preserve">ll </w:t>
      </w:r>
      <w:r w:rsidR="00C60FD0">
        <w:lastRenderedPageBreak/>
        <w:t xml:space="preserve">of these provisions </w:t>
      </w:r>
      <w:proofErr w:type="gramStart"/>
      <w:r w:rsidR="00C60FD0">
        <w:t>are geared</w:t>
      </w:r>
      <w:proofErr w:type="gramEnd"/>
      <w:r w:rsidR="00C60FD0">
        <w:t xml:space="preserve"> towards preventin</w:t>
      </w:r>
      <w:r w:rsidR="00AF438B">
        <w:t xml:space="preserve">g the appointment of a support person </w:t>
      </w:r>
      <w:r w:rsidR="00047BE4">
        <w:t>who</w:t>
      </w:r>
      <w:r w:rsidR="0098217B">
        <w:t xml:space="preserve"> might abuse their position. </w:t>
      </w:r>
      <w:r w:rsidR="006E5DE2">
        <w:t>Arguably, t</w:t>
      </w:r>
      <w:r w:rsidR="0098217B">
        <w:t xml:space="preserve">hese provisions preventatively guard against conflicts of interest, coercion, and undue influence by preventing a potentially problematic supporter from </w:t>
      </w:r>
      <w:proofErr w:type="gramStart"/>
      <w:r w:rsidR="0098217B">
        <w:t>being appointed</w:t>
      </w:r>
      <w:proofErr w:type="gramEnd"/>
      <w:r w:rsidR="0098217B">
        <w:t xml:space="preserve"> in the first place</w:t>
      </w:r>
      <w:r w:rsidR="007A1514">
        <w:t>.</w:t>
      </w:r>
      <w:r w:rsidR="0098217B">
        <w:t xml:space="preserve"> </w:t>
      </w:r>
    </w:p>
    <w:p w14:paraId="0C7CD2B1" w14:textId="77777777" w:rsidR="009560F6" w:rsidRDefault="009560F6" w:rsidP="00EE4F79">
      <w:pPr>
        <w:rPr>
          <w:highlight w:val="lightGray"/>
        </w:rPr>
      </w:pPr>
    </w:p>
    <w:p w14:paraId="05A0C845" w14:textId="075FDD7D" w:rsidR="006063CA" w:rsidRPr="0037495F" w:rsidRDefault="009F4411" w:rsidP="0044104D">
      <w:r w:rsidRPr="0037495F">
        <w:t xml:space="preserve">One must question whether schemes without such safeguards embedded in the appointment </w:t>
      </w:r>
      <w:r w:rsidR="005545C3" w:rsidRPr="0037495F">
        <w:t>process</w:t>
      </w:r>
      <w:r w:rsidRPr="0037495F">
        <w:t xml:space="preserve"> risk leaving </w:t>
      </w:r>
      <w:r w:rsidR="005545C3" w:rsidRPr="0037495F">
        <w:t xml:space="preserve">persons with disabilities vulnerable to abuse right </w:t>
      </w:r>
      <w:r w:rsidR="009560F6" w:rsidRPr="0037495F">
        <w:t>from</w:t>
      </w:r>
      <w:r w:rsidR="005545C3" w:rsidRPr="0037495F">
        <w:t xml:space="preserve"> the outset.</w:t>
      </w:r>
      <w:r w:rsidR="005E56BE" w:rsidRPr="0037495F">
        <w:t xml:space="preserve"> In Peru’s legislation for instance, it would seem that unless the person cannot express their will or is in a coma, the notary or judge must </w:t>
      </w:r>
      <w:r w:rsidR="00553DD8" w:rsidRPr="0037495F">
        <w:t xml:space="preserve">merely </w:t>
      </w:r>
      <w:r w:rsidR="005E56BE" w:rsidRPr="0037495F">
        <w:t xml:space="preserve">accept </w:t>
      </w:r>
      <w:r w:rsidR="00B71A6E" w:rsidRPr="0037495F">
        <w:t>the person’s nominated support person</w:t>
      </w:r>
      <w:r w:rsidR="00EA6CB9" w:rsidRPr="0037495F">
        <w:t>,</w:t>
      </w:r>
      <w:r w:rsidR="00B71A6E" w:rsidRPr="0037495F">
        <w:t xml:space="preserve"> without </w:t>
      </w:r>
      <w:r w:rsidR="0028114D" w:rsidRPr="0037495F">
        <w:t>scrutinising</w:t>
      </w:r>
      <w:r w:rsidR="00B71A6E" w:rsidRPr="0037495F">
        <w:t xml:space="preserve"> the background of the supporter or the characteristics of the relationship between the</w:t>
      </w:r>
      <w:r w:rsidR="00E72B39" w:rsidRPr="0037495F">
        <w:t xml:space="preserve"> potential</w:t>
      </w:r>
      <w:r w:rsidR="00B71A6E" w:rsidRPr="0037495F">
        <w:t xml:space="preserve"> supporter and supported person.</w:t>
      </w:r>
      <w:r w:rsidR="00290893" w:rsidRPr="0037495F">
        <w:t xml:space="preserve"> Under Colombia’s bill, </w:t>
      </w:r>
      <w:r w:rsidR="003E46F8" w:rsidRPr="0037495F">
        <w:t xml:space="preserve">when a support person </w:t>
      </w:r>
      <w:proofErr w:type="gramStart"/>
      <w:r w:rsidR="003E46F8" w:rsidRPr="0037495F">
        <w:t>is appointed</w:t>
      </w:r>
      <w:proofErr w:type="gramEnd"/>
      <w:r w:rsidR="003E46F8" w:rsidRPr="0037495F">
        <w:t xml:space="preserve"> through a support agreement, they assume their position upon the </w:t>
      </w:r>
      <w:r w:rsidR="00C677D8" w:rsidRPr="0037495F">
        <w:t>satisfaction</w:t>
      </w:r>
      <w:r w:rsidR="003E46F8" w:rsidRPr="0037495F">
        <w:t xml:space="preserve"> of the requisite formalities,</w:t>
      </w:r>
      <w:r w:rsidR="003E46F8" w:rsidRPr="0037495F">
        <w:rPr>
          <w:rStyle w:val="FootnoteReference"/>
        </w:rPr>
        <w:footnoteReference w:id="1016"/>
      </w:r>
      <w:r w:rsidR="003E46F8" w:rsidRPr="0037495F">
        <w:t xml:space="preserve"> without having to fulfill any substantive requirements or having to undergo any vetting process.</w:t>
      </w:r>
      <w:r w:rsidR="004E7892" w:rsidRPr="0037495F">
        <w:t xml:space="preserve"> </w:t>
      </w:r>
      <w:r w:rsidR="001C1F0C" w:rsidRPr="0037495F">
        <w:t xml:space="preserve">Nevertheless, </w:t>
      </w:r>
      <w:r w:rsidR="007D50CE" w:rsidRPr="0037495F">
        <w:t xml:space="preserve">during the appointment stage, </w:t>
      </w:r>
      <w:r w:rsidR="001C1F0C" w:rsidRPr="0037495F">
        <w:t xml:space="preserve">there is undoubtedly a delicate balance to </w:t>
      </w:r>
      <w:proofErr w:type="gramStart"/>
      <w:r w:rsidR="001C1F0C" w:rsidRPr="0037495F">
        <w:t>be struck</w:t>
      </w:r>
      <w:proofErr w:type="gramEnd"/>
      <w:r w:rsidR="003F626B" w:rsidRPr="0037495F">
        <w:t xml:space="preserve"> </w:t>
      </w:r>
      <w:r w:rsidR="001C1F0C" w:rsidRPr="0037495F">
        <w:t>between respecting the will and preferences of the person requesting support</w:t>
      </w:r>
      <w:r w:rsidR="00BD15B9" w:rsidRPr="0037495F">
        <w:t xml:space="preserve"> and ensuring that they are </w:t>
      </w:r>
      <w:r w:rsidR="00013822" w:rsidRPr="0037495F">
        <w:t xml:space="preserve">also </w:t>
      </w:r>
      <w:r w:rsidR="00B92B3C" w:rsidRPr="0037495F">
        <w:t xml:space="preserve">sufficiently </w:t>
      </w:r>
      <w:r w:rsidR="00A82188" w:rsidRPr="0037495F">
        <w:t>protected from abuse</w:t>
      </w:r>
      <w:r w:rsidR="00A931C2" w:rsidRPr="0037495F">
        <w:t>.</w:t>
      </w:r>
      <w:r w:rsidR="00E556CF" w:rsidRPr="0037495F">
        <w:t xml:space="preserve"> Perhaps this can be accomplished by a regime like Belgium or Hungary’s that </w:t>
      </w:r>
      <w:r w:rsidR="009821F0" w:rsidRPr="0037495F">
        <w:t>prioritizes</w:t>
      </w:r>
      <w:r w:rsidR="00E556CF" w:rsidRPr="0037495F">
        <w:t xml:space="preserve"> the person’s particular choice of support person</w:t>
      </w:r>
      <w:r w:rsidR="009821F0" w:rsidRPr="0037495F">
        <w:t xml:space="preserve">, while reserving the right of the court to </w:t>
      </w:r>
      <w:r w:rsidR="001A5B83" w:rsidRPr="0037495F">
        <w:t xml:space="preserve">reject this choice if the person’s interests are </w:t>
      </w:r>
      <w:r w:rsidR="004F5EAF" w:rsidRPr="0037495F">
        <w:t xml:space="preserve">deemed to be </w:t>
      </w:r>
      <w:r w:rsidR="00E65138" w:rsidRPr="0037495F">
        <w:t xml:space="preserve">imperiled </w:t>
      </w:r>
      <w:r w:rsidR="004F5EAF" w:rsidRPr="0037495F">
        <w:t>by this designation</w:t>
      </w:r>
      <w:r w:rsidR="00E65138" w:rsidRPr="0037495F">
        <w:t>.</w:t>
      </w:r>
      <w:r w:rsidR="00E65138" w:rsidRPr="0037495F">
        <w:rPr>
          <w:rStyle w:val="FootnoteReference"/>
        </w:rPr>
        <w:footnoteReference w:id="1017"/>
      </w:r>
      <w:r w:rsidR="002437CA" w:rsidRPr="0037495F">
        <w:t xml:space="preserve"> That said, some might argue that such provisions </w:t>
      </w:r>
      <w:proofErr w:type="gramStart"/>
      <w:r w:rsidR="00C05F18" w:rsidRPr="0037495F">
        <w:t>are too closely aligned</w:t>
      </w:r>
      <w:proofErr w:type="gramEnd"/>
      <w:r w:rsidR="00C05F18" w:rsidRPr="0037495F">
        <w:t xml:space="preserve"> with </w:t>
      </w:r>
      <w:r w:rsidR="00D86D6B" w:rsidRPr="0037495F">
        <w:t>the</w:t>
      </w:r>
      <w:r w:rsidR="00D65773" w:rsidRPr="0037495F">
        <w:t xml:space="preserve"> paternalistic</w:t>
      </w:r>
      <w:r w:rsidR="00C05F18" w:rsidRPr="0037495F">
        <w:t xml:space="preserve"> “best interests” paradigm.</w:t>
      </w:r>
    </w:p>
    <w:p w14:paraId="15C57924" w14:textId="77777777" w:rsidR="008F626B" w:rsidRPr="0037495F" w:rsidRDefault="008F626B" w:rsidP="0044104D"/>
    <w:p w14:paraId="38AACD9F" w14:textId="5423B87B" w:rsidR="00AD6385" w:rsidRDefault="008F626B" w:rsidP="008F626B">
      <w:pPr>
        <w:pStyle w:val="Heading2"/>
      </w:pPr>
      <w:bookmarkStart w:id="113" w:name="_Toc16081776"/>
      <w:r w:rsidRPr="0037495F">
        <w:t>Other Safeguards</w:t>
      </w:r>
      <w:bookmarkEnd w:id="113"/>
    </w:p>
    <w:p w14:paraId="6373B706" w14:textId="6F45B10C" w:rsidR="009779C3" w:rsidRDefault="00BB748A" w:rsidP="00444C87">
      <w:r>
        <w:t xml:space="preserve">The legislative frameworks outlined in this report </w:t>
      </w:r>
      <w:r w:rsidR="0050331E">
        <w:t>include a variety of safeguards for monitoring the activities</w:t>
      </w:r>
      <w:r w:rsidR="004C6E05">
        <w:t xml:space="preserve"> of the supporter once they </w:t>
      </w:r>
      <w:proofErr w:type="gramStart"/>
      <w:r w:rsidR="004C6E05">
        <w:t>have been duly appointed</w:t>
      </w:r>
      <w:proofErr w:type="gramEnd"/>
      <w:r w:rsidR="004C6E05">
        <w:t xml:space="preserve"> to</w:t>
      </w:r>
      <w:r w:rsidR="005241C0">
        <w:t xml:space="preserve"> assist a person</w:t>
      </w:r>
      <w:r w:rsidR="008E048F">
        <w:t xml:space="preserve"> with a </w:t>
      </w:r>
      <w:r w:rsidR="008E048F" w:rsidRPr="0030335A">
        <w:t xml:space="preserve">disability. </w:t>
      </w:r>
      <w:r w:rsidR="00BC1027" w:rsidRPr="0030335A">
        <w:t xml:space="preserve">Some </w:t>
      </w:r>
      <w:r w:rsidR="005417F4" w:rsidRPr="0030335A">
        <w:t xml:space="preserve">schemes noticeably lack concrete </w:t>
      </w:r>
      <w:r w:rsidR="001625A3" w:rsidRPr="0030335A">
        <w:t xml:space="preserve">measures for challenging the actions of support persons </w:t>
      </w:r>
      <w:r w:rsidR="00673E9A" w:rsidRPr="0030335A">
        <w:t>where there is a belief that they have not respected the will and preferences</w:t>
      </w:r>
      <w:r w:rsidR="008E4D4C" w:rsidRPr="0030335A">
        <w:t xml:space="preserve"> of the concerned person.</w:t>
      </w:r>
      <w:r w:rsidR="008E4D4C" w:rsidRPr="0030335A">
        <w:rPr>
          <w:rStyle w:val="FootnoteReference"/>
        </w:rPr>
        <w:footnoteReference w:id="1018"/>
      </w:r>
      <w:r w:rsidR="00BC1027" w:rsidRPr="0030335A">
        <w:t xml:space="preserve"> </w:t>
      </w:r>
      <w:r w:rsidR="007A36C1" w:rsidRPr="0030335A">
        <w:t xml:space="preserve">The possibility under Irish legislation for anyone to lodge a complaint about a </w:t>
      </w:r>
      <w:r w:rsidR="00236E73" w:rsidRPr="0030335A">
        <w:t>supporter</w:t>
      </w:r>
      <w:r w:rsidR="007A36C1" w:rsidRPr="0030335A">
        <w:t xml:space="preserve"> before </w:t>
      </w:r>
      <w:r w:rsidR="0054720B" w:rsidRPr="0030335A">
        <w:t>an administrative body no doubt constitutes a novel solution</w:t>
      </w:r>
      <w:r w:rsidR="005C5F9B" w:rsidRPr="0030335A">
        <w:t xml:space="preserve"> in </w:t>
      </w:r>
      <w:r w:rsidR="003F38F3" w:rsidRPr="0030335A">
        <w:t>this area</w:t>
      </w:r>
      <w:r w:rsidR="0054720B" w:rsidRPr="0030335A">
        <w:t>.</w:t>
      </w:r>
      <w:r w:rsidR="005A4413" w:rsidRPr="0030335A">
        <w:rPr>
          <w:rStyle w:val="FootnoteReference"/>
        </w:rPr>
        <w:footnoteReference w:id="1019"/>
      </w:r>
      <w:r w:rsidR="00517AAA" w:rsidRPr="0030335A">
        <w:t xml:space="preserve"> Some countries have also provided for periodic reviews of supporters</w:t>
      </w:r>
      <w:r w:rsidR="004B0238" w:rsidRPr="0030335A">
        <w:t>’</w:t>
      </w:r>
      <w:r w:rsidR="00517AAA" w:rsidRPr="0030335A">
        <w:t xml:space="preserve"> appointments,</w:t>
      </w:r>
      <w:r w:rsidR="00975EEC" w:rsidRPr="0030335A">
        <w:rPr>
          <w:rStyle w:val="FootnoteReference"/>
        </w:rPr>
        <w:footnoteReference w:id="1020"/>
      </w:r>
      <w:r w:rsidR="00975EEC" w:rsidRPr="0030335A">
        <w:t xml:space="preserve"> others have imposed reporting requirements on supporters,</w:t>
      </w:r>
      <w:r w:rsidR="00975EEC" w:rsidRPr="0030335A">
        <w:rPr>
          <w:rStyle w:val="FootnoteReference"/>
        </w:rPr>
        <w:footnoteReference w:id="1021"/>
      </w:r>
      <w:r w:rsidR="00975EEC" w:rsidRPr="0030335A">
        <w:t xml:space="preserve"> while still others have assigned the monitoring of supporters to designated institutions</w:t>
      </w:r>
      <w:r w:rsidR="00975EEC" w:rsidRPr="0030335A">
        <w:rPr>
          <w:rStyle w:val="FootnoteReference"/>
        </w:rPr>
        <w:footnoteReference w:id="1022"/>
      </w:r>
      <w:r w:rsidR="00975EEC" w:rsidRPr="0030335A">
        <w:t xml:space="preserve"> or to </w:t>
      </w:r>
      <w:r w:rsidR="003F38F3" w:rsidRPr="0030335A">
        <w:t>third</w:t>
      </w:r>
      <w:r w:rsidR="00C57796" w:rsidRPr="0030335A">
        <w:t xml:space="preserve"> persons </w:t>
      </w:r>
      <w:r w:rsidR="006F1A85" w:rsidRPr="0030335A">
        <w:t>known as</w:t>
      </w:r>
      <w:r w:rsidR="006F1A85">
        <w:t xml:space="preserve"> “monitors</w:t>
      </w:r>
      <w:r w:rsidR="00A04CA7">
        <w:t>.</w:t>
      </w:r>
      <w:r w:rsidR="006F1A85">
        <w:t>”</w:t>
      </w:r>
      <w:r w:rsidR="006F1A85">
        <w:rPr>
          <w:rStyle w:val="FootnoteReference"/>
        </w:rPr>
        <w:footnoteReference w:id="1023"/>
      </w:r>
      <w:r w:rsidR="00A04CA7">
        <w:t xml:space="preserve"> </w:t>
      </w:r>
      <w:r w:rsidR="009779C3">
        <w:t xml:space="preserve">The Colombian bill notably </w:t>
      </w:r>
      <w:r w:rsidR="00B05839">
        <w:t xml:space="preserve">requires supporters to </w:t>
      </w:r>
      <w:r w:rsidR="00702AAA">
        <w:t xml:space="preserve">prepare annual reports </w:t>
      </w:r>
      <w:r w:rsidR="007E7FE7">
        <w:t xml:space="preserve">in which they must </w:t>
      </w:r>
      <w:r w:rsidR="00702AAA">
        <w:t>outlin</w:t>
      </w:r>
      <w:r w:rsidR="001766F4">
        <w:t>e</w:t>
      </w:r>
      <w:r w:rsidR="00516997">
        <w:t xml:space="preserve">, </w:t>
      </w:r>
      <w:r w:rsidR="00516997">
        <w:rPr>
          <w:i/>
        </w:rPr>
        <w:t xml:space="preserve">inter alia, </w:t>
      </w:r>
      <w:r w:rsidR="00702AAA">
        <w:t>how their actions</w:t>
      </w:r>
      <w:r w:rsidR="00C3146A">
        <w:t xml:space="preserve"> have upheld the supported person’s will and preferences, a</w:t>
      </w:r>
      <w:r w:rsidR="00442B1F">
        <w:t xml:space="preserve">s well as </w:t>
      </w:r>
      <w:r w:rsidR="00CF74B4">
        <w:t>how they have maintained</w:t>
      </w:r>
      <w:r w:rsidR="00BA6AE4">
        <w:t xml:space="preserve"> </w:t>
      </w:r>
      <w:r w:rsidR="00CF74B4">
        <w:t>a</w:t>
      </w:r>
      <w:r w:rsidR="00BA6AE4">
        <w:t xml:space="preserve"> relationship of trust </w:t>
      </w:r>
      <w:r w:rsidR="00A21276">
        <w:t>with the supported person.</w:t>
      </w:r>
      <w:r w:rsidR="00A21276">
        <w:rPr>
          <w:rStyle w:val="FootnoteReference"/>
        </w:rPr>
        <w:footnoteReference w:id="1024"/>
      </w:r>
      <w:r w:rsidR="007616CB">
        <w:t xml:space="preserve"> This innovative approach </w:t>
      </w:r>
      <w:proofErr w:type="gramStart"/>
      <w:r w:rsidR="00837ADF">
        <w:t>could arguably be strengthened</w:t>
      </w:r>
      <w:proofErr w:type="gramEnd"/>
      <w:r w:rsidR="00837ADF">
        <w:t xml:space="preserve"> even further</w:t>
      </w:r>
      <w:r w:rsidR="006F2A3F">
        <w:t>. I</w:t>
      </w:r>
      <w:r w:rsidR="003C6000">
        <w:t xml:space="preserve">n the case of </w:t>
      </w:r>
      <w:r w:rsidR="006F2A3F">
        <w:lastRenderedPageBreak/>
        <w:t xml:space="preserve">support agreements, it would seem that the Colombian bill only </w:t>
      </w:r>
      <w:r w:rsidR="008D5365">
        <w:t xml:space="preserve">requires </w:t>
      </w:r>
      <w:r w:rsidR="007C4DAF">
        <w:t>supporters to share this report with the supported person.</w:t>
      </w:r>
      <w:r w:rsidR="00B13E2F">
        <w:rPr>
          <w:rStyle w:val="FootnoteReference"/>
        </w:rPr>
        <w:footnoteReference w:id="1025"/>
      </w:r>
      <w:r w:rsidR="00B13E2F">
        <w:t xml:space="preserve"> </w:t>
      </w:r>
      <w:r w:rsidR="00AF26CA">
        <w:t xml:space="preserve">The function of this type of report as an accountability mechanism </w:t>
      </w:r>
      <w:proofErr w:type="gramStart"/>
      <w:r w:rsidR="00AF26CA">
        <w:t>would undoubtedly be fortified</w:t>
      </w:r>
      <w:proofErr w:type="gramEnd"/>
      <w:r w:rsidR="00AF26CA">
        <w:t xml:space="preserve"> if these reports had to be shared with a third-party monitor.</w:t>
      </w:r>
    </w:p>
    <w:p w14:paraId="3910084F" w14:textId="77777777" w:rsidR="00AF26CA" w:rsidRDefault="00AF26CA" w:rsidP="00444C87"/>
    <w:p w14:paraId="18CE19F0" w14:textId="31D1C4BD" w:rsidR="00444C87" w:rsidRDefault="00F23DC7" w:rsidP="00444C87">
      <w:r>
        <w:t xml:space="preserve">It is </w:t>
      </w:r>
      <w:r w:rsidR="00B5391E">
        <w:t>also</w:t>
      </w:r>
      <w:r w:rsidR="004F0264">
        <w:t xml:space="preserve"> perhaps</w:t>
      </w:r>
      <w:r>
        <w:t xml:space="preserve"> worthwhile mentioning that Belgium’s legislation innovatively allows for the </w:t>
      </w:r>
      <w:r w:rsidRPr="00B70AFA">
        <w:t>appointment of a “trusted person”</w:t>
      </w:r>
      <w:r w:rsidR="00C5066B" w:rsidRPr="00B70AFA">
        <w:t xml:space="preserve"> to serve as an intermediary between the </w:t>
      </w:r>
      <w:r w:rsidR="00660E94" w:rsidRPr="00B70AFA">
        <w:t xml:space="preserve">person with a disability and their </w:t>
      </w:r>
      <w:r w:rsidR="00C5066B" w:rsidRPr="00B70AFA">
        <w:t>administrator.</w:t>
      </w:r>
      <w:r w:rsidR="00C5066B" w:rsidRPr="00B70AFA">
        <w:rPr>
          <w:rStyle w:val="FootnoteReference"/>
        </w:rPr>
        <w:footnoteReference w:id="1026"/>
      </w:r>
      <w:r w:rsidR="00A51897" w:rsidRPr="00B70AFA">
        <w:t xml:space="preserve"> Although </w:t>
      </w:r>
      <w:r w:rsidR="00BD31B3" w:rsidRPr="00B70AFA">
        <w:t xml:space="preserve">not implemented within a regime that </w:t>
      </w:r>
      <w:r w:rsidR="001E5CC7" w:rsidRPr="00B70AFA">
        <w:t xml:space="preserve">corresponds </w:t>
      </w:r>
      <w:r w:rsidR="00F26A56" w:rsidRPr="00B70AFA">
        <w:t xml:space="preserve">perfectly to the model of supported decision-making </w:t>
      </w:r>
      <w:r w:rsidR="00D6013E" w:rsidRPr="00B70AFA">
        <w:t xml:space="preserve">contemplated </w:t>
      </w:r>
      <w:r w:rsidR="00A77D67" w:rsidRPr="00B70AFA">
        <w:t>by</w:t>
      </w:r>
      <w:r w:rsidR="00D6013E" w:rsidRPr="00B70AFA">
        <w:t xml:space="preserve"> Article 12,</w:t>
      </w:r>
      <w:r w:rsidR="00D6013E" w:rsidRPr="00B70AFA">
        <w:rPr>
          <w:rStyle w:val="FootnoteReference"/>
        </w:rPr>
        <w:footnoteReference w:id="1027"/>
      </w:r>
      <w:r w:rsidR="00017908" w:rsidRPr="00B70AFA">
        <w:t xml:space="preserve"> the Belgian figure of the “trusted person” could</w:t>
      </w:r>
      <w:r w:rsidR="00A72470" w:rsidRPr="00B70AFA">
        <w:t xml:space="preserve"> doubtless</w:t>
      </w:r>
      <w:r w:rsidR="00017908" w:rsidRPr="00B70AFA">
        <w:t xml:space="preserve"> </w:t>
      </w:r>
      <w:r w:rsidR="00424605" w:rsidRPr="00B70AFA">
        <w:t>constitute</w:t>
      </w:r>
      <w:r w:rsidR="008F78A0" w:rsidRPr="00B70AFA">
        <w:t xml:space="preserve"> a</w:t>
      </w:r>
      <w:r w:rsidR="0033214B" w:rsidRPr="00B70AFA">
        <w:t xml:space="preserve"> </w:t>
      </w:r>
      <w:r w:rsidR="008F78A0" w:rsidRPr="00B70AFA">
        <w:t xml:space="preserve">safeguard </w:t>
      </w:r>
      <w:r w:rsidR="00E60DB5" w:rsidRPr="00B70AFA">
        <w:t>that</w:t>
      </w:r>
      <w:r w:rsidR="008F78A0" w:rsidRPr="00B70AFA">
        <w:t xml:space="preserve"> </w:t>
      </w:r>
      <w:r w:rsidR="00055536" w:rsidRPr="00B70AFA">
        <w:t>other countries could consider integrating into their supported decision-making legislation.</w:t>
      </w:r>
      <w:r w:rsidR="00211BBD" w:rsidRPr="00B70AFA">
        <w:t xml:space="preserve"> The trusted person </w:t>
      </w:r>
      <w:r w:rsidR="00AB787A" w:rsidRPr="00B70AFA">
        <w:t>provides</w:t>
      </w:r>
      <w:r w:rsidR="00211BBD" w:rsidRPr="00B70AFA">
        <w:t xml:space="preserve"> for </w:t>
      </w:r>
      <w:r w:rsidR="002F02BC" w:rsidRPr="00B70AFA">
        <w:t xml:space="preserve">a means by which </w:t>
      </w:r>
      <w:r w:rsidR="00C24D1F" w:rsidRPr="00B70AFA">
        <w:t xml:space="preserve">the </w:t>
      </w:r>
      <w:r w:rsidR="001903E6" w:rsidRPr="00B70AFA">
        <w:t xml:space="preserve">supporter </w:t>
      </w:r>
      <w:proofErr w:type="gramStart"/>
      <w:r w:rsidR="001903E6" w:rsidRPr="00B70AFA">
        <w:t>may be monitored</w:t>
      </w:r>
      <w:r w:rsidR="00C24D1F" w:rsidRPr="00B70AFA">
        <w:t xml:space="preserve"> and held accountable for their actions</w:t>
      </w:r>
      <w:proofErr w:type="gramEnd"/>
      <w:r w:rsidR="00940326" w:rsidRPr="00B70AFA">
        <w:t>. Furthermore,</w:t>
      </w:r>
      <w:r w:rsidR="00175F16" w:rsidRPr="00B70AFA">
        <w:t xml:space="preserve"> the</w:t>
      </w:r>
      <w:r w:rsidR="00940326" w:rsidRPr="00B70AFA">
        <w:t xml:space="preserve"> trusted person</w:t>
      </w:r>
      <w:r w:rsidR="008B0221" w:rsidRPr="00B70AFA">
        <w:t xml:space="preserve"> </w:t>
      </w:r>
      <w:r w:rsidR="00175F16" w:rsidRPr="00B70AFA">
        <w:t xml:space="preserve">can help to ensure that the will and preferences of the supported person </w:t>
      </w:r>
      <w:proofErr w:type="gramStart"/>
      <w:r w:rsidR="00E5385C" w:rsidRPr="00B70AFA">
        <w:t>are</w:t>
      </w:r>
      <w:r w:rsidR="00175F16" w:rsidRPr="00B70AFA">
        <w:t xml:space="preserve"> upheld</w:t>
      </w:r>
      <w:proofErr w:type="gramEnd"/>
      <w:r w:rsidR="00175F16" w:rsidRPr="00B70AFA">
        <w:t>,</w:t>
      </w:r>
      <w:r w:rsidR="00803468" w:rsidRPr="00B70AFA">
        <w:t xml:space="preserve"> as they </w:t>
      </w:r>
      <w:r w:rsidR="006C2824" w:rsidRPr="00B70AFA">
        <w:t>aid</w:t>
      </w:r>
      <w:r w:rsidR="00803468" w:rsidRPr="00B70AFA">
        <w:t xml:space="preserve"> the supported person to </w:t>
      </w:r>
      <w:r w:rsidR="00CA00F3" w:rsidRPr="00B70AFA">
        <w:t>express</w:t>
      </w:r>
      <w:r w:rsidR="00803468" w:rsidRPr="00B70AFA">
        <w:t xml:space="preserve"> their </w:t>
      </w:r>
      <w:r w:rsidR="00E4144C" w:rsidRPr="00B70AFA">
        <w:t>wishes.</w:t>
      </w:r>
      <w:r w:rsidR="00643175" w:rsidRPr="00B70AFA">
        <w:t xml:space="preserve"> Although this </w:t>
      </w:r>
      <w:proofErr w:type="gramStart"/>
      <w:r w:rsidR="00643175" w:rsidRPr="00B70AFA">
        <w:t>is not called</w:t>
      </w:r>
      <w:proofErr w:type="gramEnd"/>
      <w:r w:rsidR="00643175" w:rsidRPr="00B70AFA">
        <w:t xml:space="preserve"> explicitly for in the Belgian legislation, the trusted person could potentially also be tasked with reviewing </w:t>
      </w:r>
      <w:r w:rsidR="001529B6" w:rsidRPr="00B70AFA">
        <w:t xml:space="preserve">the </w:t>
      </w:r>
      <w:r w:rsidR="00C27B49" w:rsidRPr="00B70AFA">
        <w:t xml:space="preserve">conformity of the supporter’s </w:t>
      </w:r>
      <w:r w:rsidR="001529B6" w:rsidRPr="00B70AFA">
        <w:t xml:space="preserve">actions </w:t>
      </w:r>
      <w:r w:rsidR="003503C2" w:rsidRPr="00B70AFA">
        <w:t>with</w:t>
      </w:r>
      <w:r w:rsidR="00E47C32" w:rsidRPr="00B70AFA">
        <w:t xml:space="preserve"> the</w:t>
      </w:r>
      <w:r w:rsidR="001529B6" w:rsidRPr="00B70AFA">
        <w:t xml:space="preserve"> will and preferences of the </w:t>
      </w:r>
      <w:r w:rsidR="00B9727F" w:rsidRPr="00B70AFA">
        <w:t>supported person</w:t>
      </w:r>
      <w:r w:rsidR="007A2905" w:rsidRPr="00B70AFA">
        <w:t>.</w:t>
      </w:r>
      <w:r w:rsidR="00E4144C" w:rsidRPr="00B70AFA">
        <w:t xml:space="preserve"> The</w:t>
      </w:r>
      <w:r w:rsidR="006A3FE3" w:rsidRPr="00B70AFA">
        <w:t xml:space="preserve"> position of</w:t>
      </w:r>
      <w:r w:rsidR="00E4144C" w:rsidRPr="00B70AFA">
        <w:t xml:space="preserve"> trusted person </w:t>
      </w:r>
      <w:r w:rsidR="0060783A" w:rsidRPr="00B70AFA">
        <w:t>m</w:t>
      </w:r>
      <w:r w:rsidR="00535D14" w:rsidRPr="00B70AFA">
        <w:t xml:space="preserve">ight </w:t>
      </w:r>
      <w:r w:rsidR="0047472C" w:rsidRPr="00B70AFA">
        <w:t>provide an extra layer of protection to ensure that supported decision</w:t>
      </w:r>
      <w:r w:rsidR="00AF26CD" w:rsidRPr="00B70AFA">
        <w:t>-</w:t>
      </w:r>
      <w:r w:rsidR="0047472C" w:rsidRPr="00B70AFA">
        <w:t>making</w:t>
      </w:r>
      <w:r w:rsidR="00BC7BF7" w:rsidRPr="00B70AFA">
        <w:t xml:space="preserve"> measures are being carried out </w:t>
      </w:r>
      <w:r w:rsidR="008E1D0B" w:rsidRPr="00B70AFA">
        <w:t xml:space="preserve">as intended – that is, in line with the supported person’s will and preferences </w:t>
      </w:r>
      <w:r w:rsidR="008B688F" w:rsidRPr="00B70AFA">
        <w:t xml:space="preserve">and </w:t>
      </w:r>
      <w:r w:rsidR="00444C87" w:rsidRPr="00B70AFA">
        <w:t>free of abuse and undue influence on the part of the supporter.</w:t>
      </w:r>
    </w:p>
    <w:p w14:paraId="3FC51D5F" w14:textId="319AC040" w:rsidR="00BB748A" w:rsidRDefault="00444C87" w:rsidP="00444C87">
      <w:r>
        <w:t xml:space="preserve"> </w:t>
      </w:r>
    </w:p>
    <w:p w14:paraId="6EC21B56" w14:textId="1BC85368" w:rsidR="008B355E" w:rsidRDefault="008B355E" w:rsidP="00A7547F">
      <w:r w:rsidRPr="00F23EF6">
        <w:t>Although Article 12 presents a framework of supported decision-making that is fundamentally embedded in the “will and preferences” paradigm</w:t>
      </w:r>
      <w:r w:rsidR="00FB504C" w:rsidRPr="00F23EF6">
        <w:t>,</w:t>
      </w:r>
      <w:r w:rsidRPr="00F23EF6">
        <w:rPr>
          <w:rStyle w:val="FootnoteReference"/>
        </w:rPr>
        <w:footnoteReference w:id="1028"/>
      </w:r>
      <w:r w:rsidR="00FB504C" w:rsidRPr="00F23EF6">
        <w:t xml:space="preserve"> </w:t>
      </w:r>
      <w:r w:rsidR="00A72C2E" w:rsidRPr="00F23EF6">
        <w:t xml:space="preserve">under some </w:t>
      </w:r>
      <w:r w:rsidR="00FF4D04" w:rsidRPr="00F23EF6">
        <w:t xml:space="preserve">of the </w:t>
      </w:r>
      <w:r w:rsidR="00A72C2E" w:rsidRPr="00F23EF6">
        <w:t>laws</w:t>
      </w:r>
      <w:r w:rsidR="00FF4D04" w:rsidRPr="00F23EF6">
        <w:t xml:space="preserve"> presented</w:t>
      </w:r>
      <w:r w:rsidR="00A72C2E" w:rsidRPr="00F23EF6">
        <w:t>, “supporters” are not unequivocally obliged to uphold the “will and preferences” of the supported person.</w:t>
      </w:r>
      <w:r w:rsidR="007C5F31" w:rsidRPr="00F23EF6">
        <w:t xml:space="preserve"> </w:t>
      </w:r>
      <w:r w:rsidR="009C2A64" w:rsidRPr="00F23EF6">
        <w:t>Namely, s</w:t>
      </w:r>
      <w:r w:rsidR="0017607C" w:rsidRPr="00F23EF6">
        <w:t xml:space="preserve">ome legislative schemes </w:t>
      </w:r>
      <w:proofErr w:type="gramStart"/>
      <w:r w:rsidR="0017607C" w:rsidRPr="00F23EF6">
        <w:t>make no reference</w:t>
      </w:r>
      <w:proofErr w:type="gramEnd"/>
      <w:r w:rsidR="0017607C" w:rsidRPr="00F23EF6">
        <w:t xml:space="preserve"> to the supported person</w:t>
      </w:r>
      <w:r w:rsidR="00766B57" w:rsidRPr="00F23EF6">
        <w:t>’</w:t>
      </w:r>
      <w:r w:rsidR="0017607C" w:rsidRPr="00F23EF6">
        <w:t>s will and preferences</w:t>
      </w:r>
      <w:r w:rsidR="005142EC" w:rsidRPr="00F23EF6">
        <w:t>.</w:t>
      </w:r>
      <w:r w:rsidR="0017607C" w:rsidRPr="00F23EF6">
        <w:rPr>
          <w:rStyle w:val="FootnoteReference"/>
        </w:rPr>
        <w:footnoteReference w:id="1029"/>
      </w:r>
      <w:r w:rsidR="0017607C" w:rsidRPr="00F23EF6">
        <w:t xml:space="preserve"> </w:t>
      </w:r>
      <w:r w:rsidR="005142EC" w:rsidRPr="00F23EF6">
        <w:t>O</w:t>
      </w:r>
      <w:r w:rsidR="0017607C" w:rsidRPr="00F23EF6">
        <w:t>ther</w:t>
      </w:r>
      <w:r w:rsidR="005142EC" w:rsidRPr="00F23EF6">
        <w:t xml:space="preserve"> laws</w:t>
      </w:r>
      <w:r w:rsidR="005E4065" w:rsidRPr="00F23EF6">
        <w:t xml:space="preserve"> </w:t>
      </w:r>
      <w:r w:rsidR="006823AF" w:rsidRPr="00F23EF6">
        <w:t>mention the supported person’s will and preferences,</w:t>
      </w:r>
      <w:r w:rsidR="00531AE1" w:rsidRPr="00F23EF6">
        <w:t xml:space="preserve"> but</w:t>
      </w:r>
      <w:r w:rsidR="0017607C" w:rsidRPr="00F23EF6">
        <w:t xml:space="preserve"> do not stipulate that the</w:t>
      </w:r>
      <w:r w:rsidR="001B1E81" w:rsidRPr="00F23EF6">
        <w:t>se</w:t>
      </w:r>
      <w:r w:rsidR="0017607C" w:rsidRPr="00F23EF6">
        <w:t xml:space="preserve"> </w:t>
      </w:r>
      <w:proofErr w:type="gramStart"/>
      <w:r w:rsidR="0017607C" w:rsidRPr="00F23EF6">
        <w:t>should be respected</w:t>
      </w:r>
      <w:proofErr w:type="gramEnd"/>
      <w:r w:rsidR="005D751F" w:rsidRPr="00F23EF6">
        <w:t xml:space="preserve">. </w:t>
      </w:r>
      <w:r w:rsidR="00BE4A4D" w:rsidRPr="00F23EF6">
        <w:t>F</w:t>
      </w:r>
      <w:r w:rsidR="007E0899" w:rsidRPr="00F23EF6">
        <w:t>or i</w:t>
      </w:r>
      <w:r w:rsidR="00260CA8" w:rsidRPr="00F23EF6">
        <w:t>n</w:t>
      </w:r>
      <w:r w:rsidR="007E0899" w:rsidRPr="00F23EF6">
        <w:t>stance</w:t>
      </w:r>
      <w:r w:rsidR="00260CA8" w:rsidRPr="00F23EF6">
        <w:t>,</w:t>
      </w:r>
      <w:r w:rsidR="007E0899" w:rsidRPr="00F23EF6">
        <w:t xml:space="preserve"> </w:t>
      </w:r>
      <w:r w:rsidR="0021205B" w:rsidRPr="00F23EF6">
        <w:t>Georgian law</w:t>
      </w:r>
      <w:r w:rsidR="005F6648" w:rsidRPr="00F23EF6">
        <w:t xml:space="preserve"> </w:t>
      </w:r>
      <w:r w:rsidR="00283D6A" w:rsidRPr="00F23EF6">
        <w:t>merely</w:t>
      </w:r>
      <w:r w:rsidR="0017607C" w:rsidRPr="00F23EF6">
        <w:t xml:space="preserve"> direct</w:t>
      </w:r>
      <w:r w:rsidR="00F51F66" w:rsidRPr="00F23EF6">
        <w:t>s</w:t>
      </w:r>
      <w:r w:rsidR="0017607C" w:rsidRPr="00F23EF6">
        <w:t xml:space="preserve"> supporters to “</w:t>
      </w:r>
      <w:r w:rsidR="006C3D02" w:rsidRPr="00F23EF6">
        <w:t>identify</w:t>
      </w:r>
      <w:r w:rsidR="0017607C" w:rsidRPr="00F23EF6">
        <w:t>” the person’s will and preferences</w:t>
      </w:r>
      <w:r w:rsidR="00491487" w:rsidRPr="00F23EF6">
        <w:t>,</w:t>
      </w:r>
      <w:r w:rsidR="0017607C" w:rsidRPr="00F23EF6">
        <w:rPr>
          <w:rStyle w:val="FootnoteReference"/>
        </w:rPr>
        <w:footnoteReference w:id="1030"/>
      </w:r>
      <w:r w:rsidR="00C416EA" w:rsidRPr="00F23EF6">
        <w:t xml:space="preserve"> </w:t>
      </w:r>
      <w:r w:rsidR="00EC73A0" w:rsidRPr="00F23EF6">
        <w:t xml:space="preserve">Argentina’s law </w:t>
      </w:r>
      <w:r w:rsidR="00236491" w:rsidRPr="00F23EF6">
        <w:t>simply</w:t>
      </w:r>
      <w:r w:rsidR="00EC73A0" w:rsidRPr="00F23EF6">
        <w:t xml:space="preserve"> requires supporters to “favour” </w:t>
      </w:r>
      <w:r w:rsidR="00A761DF" w:rsidRPr="00F23EF6">
        <w:t xml:space="preserve">decisions </w:t>
      </w:r>
      <w:r w:rsidR="008225B8" w:rsidRPr="00F23EF6">
        <w:t>in keeping with the supported person’s preferences</w:t>
      </w:r>
      <w:r w:rsidR="00705603" w:rsidRPr="00F23EF6">
        <w:t>,</w:t>
      </w:r>
      <w:r w:rsidR="00A56BF1" w:rsidRPr="00F23EF6">
        <w:rPr>
          <w:rStyle w:val="FootnoteReference"/>
        </w:rPr>
        <w:footnoteReference w:id="1031"/>
      </w:r>
      <w:r w:rsidR="00705603" w:rsidRPr="00F23EF6">
        <w:t xml:space="preserve"> and</w:t>
      </w:r>
      <w:r w:rsidR="008225B8" w:rsidRPr="00F23EF6">
        <w:t xml:space="preserve"> </w:t>
      </w:r>
      <w:r w:rsidR="00EA284A" w:rsidRPr="00F23EF6">
        <w:t>BC’s</w:t>
      </w:r>
      <w:r w:rsidR="00C416EA" w:rsidRPr="00F23EF6">
        <w:t xml:space="preserve"> law </w:t>
      </w:r>
      <w:r w:rsidR="00325436" w:rsidRPr="00F23EF6">
        <w:t>only ask</w:t>
      </w:r>
      <w:r w:rsidR="00EA284A" w:rsidRPr="00F23EF6">
        <w:t>s</w:t>
      </w:r>
      <w:r w:rsidR="00325436" w:rsidRPr="00F23EF6">
        <w:t xml:space="preserve"> supporters to adhere to the supported person’s will and preferences where it is “reasonable” to do so.</w:t>
      </w:r>
      <w:r w:rsidR="00CC1F0B" w:rsidRPr="00F23EF6">
        <w:rPr>
          <w:rStyle w:val="FootnoteReference"/>
        </w:rPr>
        <w:footnoteReference w:id="1032"/>
      </w:r>
      <w:r w:rsidR="000E3CEC" w:rsidRPr="00F23EF6">
        <w:t xml:space="preserve"> </w:t>
      </w:r>
      <w:proofErr w:type="gramStart"/>
      <w:r w:rsidR="003429A8" w:rsidRPr="00F23EF6">
        <w:t>Also</w:t>
      </w:r>
      <w:proofErr w:type="gramEnd"/>
      <w:r w:rsidR="003429A8" w:rsidRPr="00F23EF6">
        <w:t xml:space="preserve">, </w:t>
      </w:r>
      <w:r w:rsidR="005C5DD6" w:rsidRPr="00F23EF6">
        <w:t>Belgium’s law explic</w:t>
      </w:r>
      <w:r w:rsidR="009D4485" w:rsidRPr="00F23EF6">
        <w:t>i</w:t>
      </w:r>
      <w:r w:rsidR="005C5DD6" w:rsidRPr="00F23EF6">
        <w:t xml:space="preserve">tly allows </w:t>
      </w:r>
      <w:r w:rsidR="00131898" w:rsidRPr="00F23EF6">
        <w:t>supporters</w:t>
      </w:r>
      <w:r w:rsidR="00E550C5" w:rsidRPr="00F23EF6">
        <w:t xml:space="preserve"> to withdraw their assistance </w:t>
      </w:r>
      <w:r w:rsidR="00AF45B8" w:rsidRPr="00F23EF6">
        <w:t xml:space="preserve">where </w:t>
      </w:r>
      <w:r w:rsidR="00131898" w:rsidRPr="00F23EF6">
        <w:t>they judge that an act would go against the interests of the person concerned.</w:t>
      </w:r>
      <w:r w:rsidR="003C1D42" w:rsidRPr="00F23EF6">
        <w:rPr>
          <w:rStyle w:val="FootnoteReference"/>
        </w:rPr>
        <w:footnoteReference w:id="1033"/>
      </w:r>
      <w:r w:rsidR="00FE5FEB" w:rsidRPr="00F23EF6">
        <w:t xml:space="preserve"> </w:t>
      </w:r>
      <w:r w:rsidR="00E71193" w:rsidRPr="00F23EF6">
        <w:t>Arguably, v</w:t>
      </w:r>
      <w:r w:rsidR="00FF6B63" w:rsidRPr="00F23EF6">
        <w:t xml:space="preserve">estiges of the paternalistic “best interests” model </w:t>
      </w:r>
      <w:proofErr w:type="gramStart"/>
      <w:r w:rsidR="00FF6B63" w:rsidRPr="00F23EF6">
        <w:t>have been transplanted</w:t>
      </w:r>
      <w:proofErr w:type="gramEnd"/>
      <w:r w:rsidR="00FF6B63" w:rsidRPr="00F23EF6">
        <w:t xml:space="preserve"> into some countries’ schemes for “supported decision-making.”</w:t>
      </w:r>
    </w:p>
    <w:p w14:paraId="0EDA6A11" w14:textId="77777777" w:rsidR="006224E1" w:rsidRDefault="006224E1" w:rsidP="00A7547F"/>
    <w:p w14:paraId="55126427" w14:textId="2146B4BC" w:rsidR="0044104D" w:rsidRDefault="00D027F0" w:rsidP="00A7547F">
      <w:r>
        <w:t>Next, t</w:t>
      </w:r>
      <w:r w:rsidR="006224E1">
        <w:t>he</w:t>
      </w:r>
      <w:r w:rsidR="00A72C2E">
        <w:t xml:space="preserve"> UN Committee on Rights of Persons with Disabilities has affirmed that where “it is not practicable to determine the will and preferences of an individual, the ‘best interpretation of will </w:t>
      </w:r>
      <w:r w:rsidR="00A72C2E">
        <w:lastRenderedPageBreak/>
        <w:t xml:space="preserve">and preferences’ must replace the ‘best interests’ </w:t>
      </w:r>
      <w:r w:rsidR="00A72C2E" w:rsidRPr="002C0D30">
        <w:t>determinations.”</w:t>
      </w:r>
      <w:r w:rsidR="00A72C2E" w:rsidRPr="002C0D30">
        <w:rPr>
          <w:rStyle w:val="FootnoteReference"/>
        </w:rPr>
        <w:footnoteReference w:id="1034"/>
      </w:r>
      <w:r w:rsidR="00A72C2E" w:rsidRPr="002C0D30">
        <w:t xml:space="preserve"> Peru’s legislation </w:t>
      </w:r>
      <w:r w:rsidR="00CB28EB" w:rsidRPr="002C0D30">
        <w:t xml:space="preserve">precisely </w:t>
      </w:r>
      <w:r w:rsidR="00A72C2E" w:rsidRPr="002C0D30">
        <w:t>follows these directions</w:t>
      </w:r>
      <w:r w:rsidR="00C523B1" w:rsidRPr="002C0D30">
        <w:t xml:space="preserve">, </w:t>
      </w:r>
      <w:r w:rsidR="00A72C2E" w:rsidRPr="002C0D30">
        <w:t>indicat</w:t>
      </w:r>
      <w:r w:rsidR="00C523B1" w:rsidRPr="002C0D30">
        <w:t>ing</w:t>
      </w:r>
      <w:r w:rsidR="00A72C2E" w:rsidRPr="002C0D30">
        <w:t xml:space="preserve"> that in these kinds of difficult situations in which a person’s will </w:t>
      </w:r>
      <w:proofErr w:type="gramStart"/>
      <w:r w:rsidR="00A72C2E" w:rsidRPr="002C0D30">
        <w:t>is</w:t>
      </w:r>
      <w:proofErr w:type="gramEnd"/>
      <w:r w:rsidR="00A72C2E" w:rsidRPr="002C0D30">
        <w:t xml:space="preserve"> not readily ascertainable, support must be provided based on the “best interpretation of the will” of the person concerned.</w:t>
      </w:r>
      <w:r w:rsidR="00A72C2E" w:rsidRPr="002C0D30">
        <w:rPr>
          <w:rStyle w:val="FootnoteReference"/>
        </w:rPr>
        <w:footnoteReference w:id="1035"/>
      </w:r>
      <w:r w:rsidR="00DE612C" w:rsidRPr="002C0D30">
        <w:t xml:space="preserve"> </w:t>
      </w:r>
      <w:r w:rsidR="00EC6B03" w:rsidRPr="002C0D30">
        <w:t>The Colombian bill contains</w:t>
      </w:r>
      <w:r w:rsidR="00BE0D67" w:rsidRPr="002C0D30">
        <w:t xml:space="preserve"> a similar provision.</w:t>
      </w:r>
      <w:r w:rsidR="00116E0D" w:rsidRPr="002C0D30">
        <w:rPr>
          <w:rStyle w:val="FootnoteReference"/>
        </w:rPr>
        <w:footnoteReference w:id="1036"/>
      </w:r>
      <w:r w:rsidR="0068302B" w:rsidRPr="002C0D30">
        <w:t xml:space="preserve"> </w:t>
      </w:r>
      <w:r w:rsidR="00A115C7" w:rsidRPr="002C0D30">
        <w:t>The other</w:t>
      </w:r>
      <w:r w:rsidR="00696041" w:rsidRPr="002C0D30">
        <w:t xml:space="preserve"> legislative regimes</w:t>
      </w:r>
      <w:r w:rsidR="00A115C7" w:rsidRPr="002C0D30">
        <w:t xml:space="preserve"> studied, however, </w:t>
      </w:r>
      <w:r w:rsidR="00852CC1" w:rsidRPr="002C0D30">
        <w:t>do not</w:t>
      </w:r>
      <w:r w:rsidR="0074568C" w:rsidRPr="002C0D30">
        <w:t xml:space="preserve"> </w:t>
      </w:r>
      <w:r w:rsidR="00185506" w:rsidRPr="002C0D30">
        <w:t>follow the lead of the CRPD</w:t>
      </w:r>
      <w:r w:rsidR="00CA3F08" w:rsidRPr="002C0D30">
        <w:t>’s guidance</w:t>
      </w:r>
      <w:r w:rsidR="00185506" w:rsidRPr="002C0D30">
        <w:t xml:space="preserve"> in this respect</w:t>
      </w:r>
      <w:r w:rsidR="00696041" w:rsidRPr="002C0D30">
        <w:t xml:space="preserve">. </w:t>
      </w:r>
      <w:r w:rsidR="0068302B" w:rsidRPr="002C0D30">
        <w:t xml:space="preserve">In fact, Victoria’s legislation only authorises supporters to uphold the will and preferences of supported persons </w:t>
      </w:r>
      <w:r w:rsidR="005D2365" w:rsidRPr="002C0D30">
        <w:t>“</w:t>
      </w:r>
      <w:r w:rsidR="00C7371A" w:rsidRPr="002C0D30">
        <w:t>as far as practicable</w:t>
      </w:r>
      <w:r w:rsidR="005D2365" w:rsidRPr="002C0D30">
        <w:t>.</w:t>
      </w:r>
      <w:r w:rsidR="00C7371A" w:rsidRPr="002C0D30">
        <w:t>”</w:t>
      </w:r>
      <w:r w:rsidR="00C7371A" w:rsidRPr="002C0D30">
        <w:rPr>
          <w:rStyle w:val="FootnoteReference"/>
        </w:rPr>
        <w:footnoteReference w:id="1037"/>
      </w:r>
      <w:r w:rsidR="00C7371A" w:rsidRPr="002C0D30">
        <w:t xml:space="preserve"> </w:t>
      </w:r>
    </w:p>
    <w:p w14:paraId="56DD9287" w14:textId="1EADF1BF" w:rsidR="002B0128" w:rsidRDefault="002B0128" w:rsidP="00A7547F"/>
    <w:p w14:paraId="121FF12D" w14:textId="45A4580A" w:rsidR="00632588" w:rsidRDefault="00632588" w:rsidP="00632588">
      <w:pPr>
        <w:pStyle w:val="Heading2"/>
      </w:pPr>
      <w:bookmarkStart w:id="114" w:name="_Toc16081777"/>
      <w:r>
        <w:t>Similar Challenges Ahead?</w:t>
      </w:r>
      <w:bookmarkEnd w:id="114"/>
    </w:p>
    <w:p w14:paraId="061E361A" w14:textId="7E3D2BCB" w:rsidR="00D63443" w:rsidRDefault="002B0128" w:rsidP="000553BA">
      <w:r>
        <w:t xml:space="preserve">Despite </w:t>
      </w:r>
      <w:r w:rsidR="003526EA">
        <w:t xml:space="preserve">the variety in the </w:t>
      </w:r>
      <w:r w:rsidR="00535D14">
        <w:t>substance</w:t>
      </w:r>
      <w:r w:rsidR="003526EA">
        <w:t xml:space="preserve"> of the reforms ultimately adopted, </w:t>
      </w:r>
      <w:r w:rsidR="003E66A7">
        <w:t xml:space="preserve">countries will likely encounter </w:t>
      </w:r>
      <w:r w:rsidR="003526EA">
        <w:t xml:space="preserve">many similar challenges </w:t>
      </w:r>
      <w:r w:rsidR="00EE2433">
        <w:t xml:space="preserve">ahead </w:t>
      </w:r>
      <w:r w:rsidR="001A115C">
        <w:t xml:space="preserve">as </w:t>
      </w:r>
      <w:r w:rsidR="00A53AB1">
        <w:t>they</w:t>
      </w:r>
      <w:r w:rsidR="00E537CF">
        <w:t xml:space="preserve"> strive to implement their new legislation</w:t>
      </w:r>
      <w:r w:rsidR="00A70BBA">
        <w:t>.</w:t>
      </w:r>
      <w:r w:rsidR="000553BA">
        <w:t xml:space="preserve"> </w:t>
      </w:r>
      <w:r w:rsidR="003C76B8">
        <w:t>In cases where</w:t>
      </w:r>
      <w:r w:rsidR="00623A44">
        <w:t xml:space="preserve"> </w:t>
      </w:r>
      <w:r w:rsidR="004A47F3">
        <w:t xml:space="preserve">frameworks for </w:t>
      </w:r>
      <w:r w:rsidR="00623A44">
        <w:t>suppor</w:t>
      </w:r>
      <w:r w:rsidR="004A47F3">
        <w:t xml:space="preserve">ted decision-making </w:t>
      </w:r>
      <w:proofErr w:type="gramStart"/>
      <w:r w:rsidR="00D63443">
        <w:t>have not been</w:t>
      </w:r>
      <w:r w:rsidR="004A47F3">
        <w:t xml:space="preserve"> extensively </w:t>
      </w:r>
      <w:r w:rsidR="00025AAA">
        <w:t>fleshed</w:t>
      </w:r>
      <w:proofErr w:type="gramEnd"/>
      <w:r w:rsidR="00D63443">
        <w:t xml:space="preserve"> out in the legislation,</w:t>
      </w:r>
      <w:r w:rsidR="00D25CA3">
        <w:rPr>
          <w:rStyle w:val="FootnoteReference"/>
        </w:rPr>
        <w:footnoteReference w:id="1038"/>
      </w:r>
      <w:r w:rsidR="00FA78B6">
        <w:t xml:space="preserve"> questions </w:t>
      </w:r>
      <w:r w:rsidR="0074575B">
        <w:t>linger about</w:t>
      </w:r>
      <w:r w:rsidR="0092549E">
        <w:t xml:space="preserve"> </w:t>
      </w:r>
      <w:r w:rsidR="002D6FBD">
        <w:t xml:space="preserve">whether persons will </w:t>
      </w:r>
      <w:r w:rsidR="00FC0C4A">
        <w:t>actually have access to</w:t>
      </w:r>
      <w:r w:rsidR="001C5860">
        <w:t xml:space="preserve"> supported decision-making on the ground.</w:t>
      </w:r>
      <w:r w:rsidR="00FC0C4A">
        <w:t xml:space="preserve"> </w:t>
      </w:r>
      <w:r w:rsidR="00505B54">
        <w:t xml:space="preserve">Some jurisdictions will </w:t>
      </w:r>
      <w:r w:rsidR="00774FE1">
        <w:t>undoubtedly</w:t>
      </w:r>
      <w:r w:rsidR="00505B54">
        <w:t xml:space="preserve"> need </w:t>
      </w:r>
      <w:r w:rsidR="00774FE1">
        <w:t>develop</w:t>
      </w:r>
      <w:r w:rsidR="00CF1402">
        <w:t xml:space="preserve"> further regulations and guidelines</w:t>
      </w:r>
      <w:r w:rsidR="00082472">
        <w:t xml:space="preserve"> </w:t>
      </w:r>
      <w:r w:rsidR="00EA7CC8">
        <w:t xml:space="preserve">on supported decision-making in order to </w:t>
      </w:r>
      <w:r w:rsidR="003174B7">
        <w:t xml:space="preserve">secure </w:t>
      </w:r>
      <w:r w:rsidR="001819F0">
        <w:t xml:space="preserve">genuine access to </w:t>
      </w:r>
      <w:r w:rsidR="00806CC8">
        <w:t>supports.</w:t>
      </w:r>
    </w:p>
    <w:p w14:paraId="4D943F70" w14:textId="77777777" w:rsidR="00D63443" w:rsidRDefault="00D63443" w:rsidP="000553BA"/>
    <w:p w14:paraId="654AE675" w14:textId="500E3F03" w:rsidR="00565397" w:rsidRDefault="000553BA" w:rsidP="000553BA">
      <w:r w:rsidRPr="00D73671">
        <w:t xml:space="preserve">Governments will need to ensure that adequate resources </w:t>
      </w:r>
      <w:proofErr w:type="gramStart"/>
      <w:r w:rsidRPr="00D73671">
        <w:t>are deployed</w:t>
      </w:r>
      <w:proofErr w:type="gramEnd"/>
      <w:r w:rsidRPr="00D73671">
        <w:t xml:space="preserve"> such that reforms may be properly implemented.</w:t>
      </w:r>
      <w:r w:rsidR="00582186" w:rsidRPr="00D73671">
        <w:t xml:space="preserve"> The UN Special Rapporteur on the Rights of Persons with Disabilities has asserted that states should make </w:t>
      </w:r>
      <w:r w:rsidR="006B417B" w:rsidRPr="00D73671">
        <w:t xml:space="preserve">certain </w:t>
      </w:r>
      <w:r w:rsidR="006527FB" w:rsidRPr="00D73671">
        <w:t>that</w:t>
      </w:r>
      <w:r w:rsidR="00582186" w:rsidRPr="00D73671">
        <w:t xml:space="preserve"> </w:t>
      </w:r>
      <w:r w:rsidR="00874D61" w:rsidRPr="00D73671">
        <w:t>sufficient programmes and services</w:t>
      </w:r>
      <w:r w:rsidR="002362FF" w:rsidRPr="00D73671">
        <w:t xml:space="preserve"> for supported decision-making</w:t>
      </w:r>
      <w:r w:rsidR="00874D61" w:rsidRPr="00D73671">
        <w:t xml:space="preserve"> </w:t>
      </w:r>
      <w:r w:rsidR="004E5792" w:rsidRPr="00D73671">
        <w:t xml:space="preserve">are in place </w:t>
      </w:r>
      <w:r w:rsidR="002362FF" w:rsidRPr="00D73671">
        <w:t xml:space="preserve">in order to </w:t>
      </w:r>
      <w:r w:rsidR="006D10C5" w:rsidRPr="00D73671">
        <w:t xml:space="preserve">assist </w:t>
      </w:r>
      <w:r w:rsidR="008D0B24" w:rsidRPr="00D73671">
        <w:t>persons with disabilities</w:t>
      </w:r>
      <w:r w:rsidR="00D9535F" w:rsidRPr="00D73671">
        <w:t xml:space="preserve"> </w:t>
      </w:r>
      <w:r w:rsidR="001A42A0" w:rsidRPr="00D73671">
        <w:t>of</w:t>
      </w:r>
      <w:r w:rsidR="00D9535F" w:rsidRPr="00D73671">
        <w:t xml:space="preserve"> </w:t>
      </w:r>
      <w:r w:rsidR="00A464C0" w:rsidRPr="00D73671">
        <w:t>varying</w:t>
      </w:r>
      <w:r w:rsidR="00D9535F" w:rsidRPr="00D73671">
        <w:t xml:space="preserve"> support needs</w:t>
      </w:r>
      <w:r w:rsidR="008D0B24" w:rsidRPr="00D73671">
        <w:t>.</w:t>
      </w:r>
      <w:r w:rsidR="00D9535F" w:rsidRPr="00D73671">
        <w:rPr>
          <w:rStyle w:val="FootnoteReference"/>
        </w:rPr>
        <w:footnoteReference w:id="1039"/>
      </w:r>
      <w:r w:rsidR="00874D61" w:rsidRPr="00D73671">
        <w:t xml:space="preserve"> </w:t>
      </w:r>
      <w:r w:rsidR="00986566" w:rsidRPr="00D73671">
        <w:t xml:space="preserve">It is also pertinent to recall here that the CRPD requires governments to ensure that persons with disabilities </w:t>
      </w:r>
      <w:r w:rsidR="003C2864" w:rsidRPr="00D73671">
        <w:t>can</w:t>
      </w:r>
      <w:r w:rsidR="00986566" w:rsidRPr="00D73671">
        <w:t xml:space="preserve"> access support</w:t>
      </w:r>
      <w:r w:rsidR="003C2864" w:rsidRPr="00D73671">
        <w:t xml:space="preserve"> </w:t>
      </w:r>
      <w:r w:rsidR="00567199" w:rsidRPr="00D73671">
        <w:t xml:space="preserve">at </w:t>
      </w:r>
      <w:r w:rsidR="00010F5D" w:rsidRPr="00D73671">
        <w:t xml:space="preserve">a </w:t>
      </w:r>
      <w:r w:rsidR="00877928" w:rsidRPr="00D73671">
        <w:t>minimal</w:t>
      </w:r>
      <w:r w:rsidR="00320919" w:rsidRPr="00D73671">
        <w:t xml:space="preserve"> </w:t>
      </w:r>
      <w:r w:rsidR="00567199" w:rsidRPr="00D73671">
        <w:t>cost</w:t>
      </w:r>
      <w:r w:rsidR="00320919" w:rsidRPr="00D73671">
        <w:t xml:space="preserve"> or free of charge</w:t>
      </w:r>
      <w:r w:rsidR="00567199" w:rsidRPr="00D73671">
        <w:t>.</w:t>
      </w:r>
      <w:r w:rsidR="00D37630" w:rsidRPr="00D73671">
        <w:rPr>
          <w:rStyle w:val="FootnoteReference"/>
        </w:rPr>
        <w:footnoteReference w:id="1040"/>
      </w:r>
      <w:r w:rsidR="00567199">
        <w:t xml:space="preserve"> </w:t>
      </w:r>
    </w:p>
    <w:p w14:paraId="6945C3DB" w14:textId="24CE70B6" w:rsidR="00565397" w:rsidRDefault="00565397" w:rsidP="000553BA"/>
    <w:p w14:paraId="47A40F89" w14:textId="5AA9FC53" w:rsidR="00086148" w:rsidRDefault="003F4ED5" w:rsidP="00086148">
      <w:r w:rsidRPr="007F195F">
        <w:t>Moreover</w:t>
      </w:r>
      <w:r w:rsidR="00086148" w:rsidRPr="007F195F">
        <w:t>, civil society organizations, governments, and the Special Rapporteur on the Rights of Persons with Disabilities have all expressed concerns regarding the dire need to provide judicial actors with training on the Convention and the new legal capacity laws.</w:t>
      </w:r>
      <w:r w:rsidR="00086148" w:rsidRPr="007F195F">
        <w:rPr>
          <w:rStyle w:val="FootnoteReference"/>
        </w:rPr>
        <w:footnoteReference w:id="1041"/>
      </w:r>
      <w:r w:rsidR="00086148" w:rsidRPr="007F195F">
        <w:t xml:space="preserve"> Next, in order to assuage concerns that support people may act like </w:t>
      </w:r>
      <w:r w:rsidR="00086148" w:rsidRPr="007F195F">
        <w:rPr>
          <w:i/>
        </w:rPr>
        <w:t>de facto</w:t>
      </w:r>
      <w:r w:rsidR="00086148" w:rsidRPr="007F195F">
        <w:t xml:space="preserve"> substitute decision-makers,</w:t>
      </w:r>
      <w:r w:rsidR="00086148" w:rsidRPr="007F195F">
        <w:rPr>
          <w:rStyle w:val="FootnoteReference"/>
        </w:rPr>
        <w:footnoteReference w:id="1042"/>
      </w:r>
      <w:r w:rsidR="00086148" w:rsidRPr="007F195F">
        <w:t xml:space="preserve"> there is arguably also a need for outreach and education targeted at support persons. Difficulties may lie ahead in some countries </w:t>
      </w:r>
      <w:proofErr w:type="gramStart"/>
      <w:r w:rsidR="00086148" w:rsidRPr="007F195F">
        <w:t>with regards to</w:t>
      </w:r>
      <w:proofErr w:type="gramEnd"/>
      <w:r w:rsidR="00086148" w:rsidRPr="007F195F">
        <w:t xml:space="preserve"> reactions from families of persons with disabilities. In India, for example, civil society actors have pointed to the fact that many parent groups of persons with disabilities continue to push for substituted decision-making.</w:t>
      </w:r>
      <w:r w:rsidR="00086148" w:rsidRPr="007F195F">
        <w:rPr>
          <w:rStyle w:val="FootnoteReference"/>
        </w:rPr>
        <w:footnoteReference w:id="1043"/>
      </w:r>
      <w:r w:rsidR="00086148" w:rsidRPr="007F195F">
        <w:t xml:space="preserve"> </w:t>
      </w:r>
      <w:r w:rsidR="00184457" w:rsidRPr="007F195F">
        <w:t xml:space="preserve">Furthermore, </w:t>
      </w:r>
      <w:r w:rsidR="00DA1010" w:rsidRPr="007F195F">
        <w:t xml:space="preserve">it </w:t>
      </w:r>
      <w:r w:rsidR="00DA1010" w:rsidRPr="007F195F">
        <w:lastRenderedPageBreak/>
        <w:t xml:space="preserve">may also be desirable to implement </w:t>
      </w:r>
      <w:r w:rsidR="009C7643" w:rsidRPr="007F195F">
        <w:t>sensitization</w:t>
      </w:r>
      <w:r w:rsidR="00DA1010" w:rsidRPr="007F195F">
        <w:t xml:space="preserve"> programs </w:t>
      </w:r>
      <w:r w:rsidR="00E5168E" w:rsidRPr="007F195F">
        <w:t>aimed</w:t>
      </w:r>
      <w:r w:rsidR="00DA1010" w:rsidRPr="007F195F">
        <w:t xml:space="preserve"> at </w:t>
      </w:r>
      <w:r w:rsidR="00952151" w:rsidRPr="007F195F">
        <w:t>persons with disabilities themselves</w:t>
      </w:r>
      <w:r w:rsidR="00EA3660" w:rsidRPr="007F195F">
        <w:t xml:space="preserve">, in order </w:t>
      </w:r>
      <w:r w:rsidR="00952151" w:rsidRPr="007F195F">
        <w:t>to educate this population on the benefits of supported decision-making.</w:t>
      </w:r>
      <w:r w:rsidR="001E2871" w:rsidRPr="007F195F">
        <w:t xml:space="preserve"> Indeed, a representative from a Colombian civil society organization</w:t>
      </w:r>
      <w:r w:rsidR="0051579E" w:rsidRPr="007F195F">
        <w:t xml:space="preserve"> has highlighted the fact </w:t>
      </w:r>
      <w:r w:rsidR="00FA2AC8" w:rsidRPr="007F195F">
        <w:t>that</w:t>
      </w:r>
      <w:r w:rsidR="00FA2AC8">
        <w:t xml:space="preserve"> in her country, </w:t>
      </w:r>
      <w:r w:rsidR="00EA0D1B">
        <w:t>there has been</w:t>
      </w:r>
      <w:r w:rsidR="00FA2AC8">
        <w:t xml:space="preserve"> </w:t>
      </w:r>
      <w:r w:rsidR="007C7F8F">
        <w:t xml:space="preserve">some </w:t>
      </w:r>
      <w:r w:rsidR="00FA2AC8">
        <w:t>resistance</w:t>
      </w:r>
      <w:r w:rsidR="00BA71A8">
        <w:t xml:space="preserve"> to supported decision-making</w:t>
      </w:r>
      <w:r w:rsidR="00FA2AC8">
        <w:t xml:space="preserve"> among persons </w:t>
      </w:r>
      <w:r w:rsidR="00BA71A8">
        <w:t>with disabilities</w:t>
      </w:r>
      <w:r w:rsidR="005C1098">
        <w:t xml:space="preserve">, who </w:t>
      </w:r>
      <w:r w:rsidR="00862FB9">
        <w:t>consistently</w:t>
      </w:r>
      <w:r w:rsidR="007F711D">
        <w:t xml:space="preserve"> </w:t>
      </w:r>
      <w:r w:rsidR="00B14566">
        <w:t xml:space="preserve">lack awareness of the </w:t>
      </w:r>
      <w:r w:rsidR="00EA26D5">
        <w:t>advantages</w:t>
      </w:r>
      <w:r w:rsidR="00B14566">
        <w:t xml:space="preserve"> of </w:t>
      </w:r>
      <w:r w:rsidR="008D5909">
        <w:t>supported decision-making.</w:t>
      </w:r>
      <w:r w:rsidR="007F711D">
        <w:rPr>
          <w:rStyle w:val="FootnoteReference"/>
        </w:rPr>
        <w:footnoteReference w:id="1044"/>
      </w:r>
      <w:r w:rsidR="008D5909">
        <w:t xml:space="preserve"> </w:t>
      </w:r>
      <w:r w:rsidR="00D31577">
        <w:t>This representative stresses that persons with disabilities and their caregivers may well not yet have embraced the social and human rights-based approach to disability.</w:t>
      </w:r>
      <w:r w:rsidR="00D31577">
        <w:rPr>
          <w:rStyle w:val="FootnoteReference"/>
        </w:rPr>
        <w:footnoteReference w:id="1045"/>
      </w:r>
      <w:r w:rsidR="004E3E91">
        <w:t xml:space="preserve"> </w:t>
      </w:r>
    </w:p>
    <w:p w14:paraId="1EC6B1EA" w14:textId="77777777" w:rsidR="00086148" w:rsidRDefault="00086148" w:rsidP="000553BA"/>
    <w:p w14:paraId="55714DF6" w14:textId="54574502" w:rsidR="00623A6E" w:rsidRDefault="00623A6E" w:rsidP="00623A6E">
      <w:r>
        <w:t xml:space="preserve">The following question looms large: how can societies around the world extricate themselves from the </w:t>
      </w:r>
      <w:r w:rsidRPr="007F195F">
        <w:t xml:space="preserve">confines of long histories of guardianship and execute a paradigm shift on the ground?  Changing the legislation is arguably only the first step. Next, a cultural shift will be required in practice. Societies’ perceptions of persons with disabilities and disability rights </w:t>
      </w:r>
      <w:proofErr w:type="gramStart"/>
      <w:r w:rsidRPr="007F195F">
        <w:t>may not yet be aligned</w:t>
      </w:r>
      <w:proofErr w:type="gramEnd"/>
      <w:r w:rsidRPr="007F195F">
        <w:t xml:space="preserve"> with the visions underpinning these legislative reforms. A report prepared by the Ombudsman of Georgia refers to a lingering “stigma-based attitude towards persons with disabilities” that is prevalent amongst players in this country’s judicial system.</w:t>
      </w:r>
      <w:r w:rsidRPr="007F195F">
        <w:rPr>
          <w:rStyle w:val="FootnoteReference"/>
        </w:rPr>
        <w:footnoteReference w:id="1046"/>
      </w:r>
      <w:r w:rsidRPr="007F195F">
        <w:t xml:space="preserve"> Such attitudes undoubtedly prevail elsewhere</w:t>
      </w:r>
      <w:r w:rsidR="00CD0047" w:rsidRPr="007F195F">
        <w:t xml:space="preserve">, </w:t>
      </w:r>
      <w:r w:rsidR="00183A02" w:rsidRPr="007F195F">
        <w:t>with</w:t>
      </w:r>
      <w:r w:rsidR="00CD0047" w:rsidRPr="007F195F">
        <w:t>in</w:t>
      </w:r>
      <w:r w:rsidR="00183A02" w:rsidRPr="007F195F">
        <w:t xml:space="preserve"> other</w:t>
      </w:r>
      <w:r w:rsidR="00CD0047" w:rsidRPr="007F195F">
        <w:t xml:space="preserve"> judicial systems</w:t>
      </w:r>
      <w:r w:rsidR="00E375E9" w:rsidRPr="007F195F">
        <w:t xml:space="preserve"> and in </w:t>
      </w:r>
      <w:proofErr w:type="gramStart"/>
      <w:r w:rsidR="00E375E9" w:rsidRPr="007F195F">
        <w:t>societies at large</w:t>
      </w:r>
      <w:proofErr w:type="gramEnd"/>
      <w:r w:rsidRPr="007F195F">
        <w:t>. The process of sensitization and training to dismantle these mindsets may be long and laborious, but this concern warrants urgent attention and planning.</w:t>
      </w:r>
    </w:p>
    <w:p w14:paraId="3E390399" w14:textId="77777777" w:rsidR="000C01ED" w:rsidRDefault="000C01ED" w:rsidP="00A7547F"/>
    <w:p w14:paraId="27AAE951" w14:textId="6813532C" w:rsidR="00445467" w:rsidRDefault="000C01ED" w:rsidP="00A7547F">
      <w:r>
        <w:t xml:space="preserve">For the many </w:t>
      </w:r>
      <w:r w:rsidRPr="007F195F">
        <w:t xml:space="preserve">states </w:t>
      </w:r>
      <w:r w:rsidR="001F1311" w:rsidRPr="007F195F">
        <w:t>that</w:t>
      </w:r>
      <w:r w:rsidRPr="007F195F">
        <w:t xml:space="preserve"> have </w:t>
      </w:r>
      <w:r w:rsidR="0087228A" w:rsidRPr="007F195F">
        <w:t>maintained parallel systems of substitute decision-making alongside their newly</w:t>
      </w:r>
      <w:r w:rsidRPr="007F195F">
        <w:t xml:space="preserve"> introduced supported decision-making </w:t>
      </w:r>
      <w:r w:rsidR="00FC050D" w:rsidRPr="007F195F">
        <w:t>measures</w:t>
      </w:r>
      <w:r w:rsidRPr="007F195F">
        <w:t>, the consequences of such “halfway reforms” may</w:t>
      </w:r>
      <w:r w:rsidR="006537EE" w:rsidRPr="007F195F">
        <w:t xml:space="preserve"> prove to</w:t>
      </w:r>
      <w:r w:rsidRPr="007F195F">
        <w:t xml:space="preserve"> be troubling.</w:t>
      </w:r>
      <w:r w:rsidR="004E35C9" w:rsidRPr="007F195F">
        <w:t xml:space="preserve"> </w:t>
      </w:r>
      <w:r w:rsidR="00F619B3" w:rsidRPr="007F195F">
        <w:t>For instance, w</w:t>
      </w:r>
      <w:r w:rsidR="00454643" w:rsidRPr="007F195F">
        <w:t>here</w:t>
      </w:r>
      <w:r w:rsidR="00F619B3" w:rsidRPr="007F195F">
        <w:t xml:space="preserve"> judges have the option of resorting to</w:t>
      </w:r>
      <w:r w:rsidR="00F8635C" w:rsidRPr="007F195F">
        <w:t xml:space="preserve"> </w:t>
      </w:r>
      <w:r w:rsidR="00534CBA" w:rsidRPr="007F195F">
        <w:t xml:space="preserve">substitute </w:t>
      </w:r>
      <w:r w:rsidR="00220FE6" w:rsidRPr="007F195F">
        <w:t xml:space="preserve">decision-making </w:t>
      </w:r>
      <w:r w:rsidR="00534CBA" w:rsidRPr="007F195F">
        <w:t>or supported</w:t>
      </w:r>
      <w:r w:rsidR="00F619B3" w:rsidRPr="007F195F">
        <w:t xml:space="preserve"> </w:t>
      </w:r>
      <w:r w:rsidR="00534CBA" w:rsidRPr="007F195F">
        <w:t>decision-making, there may be a risk that</w:t>
      </w:r>
      <w:r w:rsidR="00F521CF" w:rsidRPr="007F195F">
        <w:t xml:space="preserve"> they</w:t>
      </w:r>
      <w:r w:rsidR="009C4E86" w:rsidRPr="007F195F">
        <w:t xml:space="preserve"> will</w:t>
      </w:r>
      <w:r w:rsidR="00B33191" w:rsidRPr="007F195F">
        <w:t xml:space="preserve"> follow former practice</w:t>
      </w:r>
      <w:r w:rsidR="002335CC" w:rsidRPr="007F195F">
        <w:t xml:space="preserve"> and</w:t>
      </w:r>
      <w:r w:rsidR="00596956" w:rsidRPr="007F195F">
        <w:t xml:space="preserve"> opt for substitute decision-making</w:t>
      </w:r>
      <w:r w:rsidR="00352F25" w:rsidRPr="007F195F">
        <w:t xml:space="preserve">, </w:t>
      </w:r>
      <w:r w:rsidR="005D149B" w:rsidRPr="007F195F">
        <w:t>thus</w:t>
      </w:r>
      <w:r w:rsidR="00E42A94" w:rsidRPr="007F195F">
        <w:t xml:space="preserve"> </w:t>
      </w:r>
      <w:r w:rsidR="00596956" w:rsidRPr="007F195F">
        <w:t>under-utiliz</w:t>
      </w:r>
      <w:r w:rsidR="00352F25" w:rsidRPr="007F195F">
        <w:t>ing</w:t>
      </w:r>
      <w:r w:rsidR="00596956" w:rsidRPr="007F195F">
        <w:t xml:space="preserve"> supported decision-making.</w:t>
      </w:r>
      <w:r w:rsidR="00927846" w:rsidRPr="007F195F">
        <w:t xml:space="preserve"> </w:t>
      </w:r>
      <w:r w:rsidR="00DC28F8" w:rsidRPr="007F195F">
        <w:t>Notably, c</w:t>
      </w:r>
      <w:r w:rsidR="00B62036" w:rsidRPr="007F195F">
        <w:t>ivil society actors report</w:t>
      </w:r>
      <w:r w:rsidR="00927846" w:rsidRPr="007F195F">
        <w:t xml:space="preserve"> </w:t>
      </w:r>
      <w:r w:rsidR="00B62036" w:rsidRPr="007F195F">
        <w:t xml:space="preserve">that in Hungary, </w:t>
      </w:r>
      <w:r w:rsidR="004D5FB8" w:rsidRPr="007F195F">
        <w:t xml:space="preserve">the new act on supported decision-making </w:t>
      </w:r>
      <w:proofErr w:type="gramStart"/>
      <w:r w:rsidR="004D5FB8" w:rsidRPr="007F195F">
        <w:t xml:space="preserve">is seldom </w:t>
      </w:r>
      <w:r w:rsidR="003B0F72" w:rsidRPr="007F195F">
        <w:t>used</w:t>
      </w:r>
      <w:proofErr w:type="gramEnd"/>
      <w:r w:rsidR="003B0F72" w:rsidRPr="007F195F">
        <w:t xml:space="preserve"> by the court</w:t>
      </w:r>
      <w:r w:rsidR="00CA373B" w:rsidRPr="007F195F">
        <w:t>.</w:t>
      </w:r>
      <w:r w:rsidR="00444D10" w:rsidRPr="007F195F">
        <w:rPr>
          <w:rStyle w:val="FootnoteReference"/>
        </w:rPr>
        <w:footnoteReference w:id="1047"/>
      </w:r>
      <w:r w:rsidR="001F5402" w:rsidRPr="007F195F">
        <w:t xml:space="preserve"> </w:t>
      </w:r>
      <w:r w:rsidR="00AB618E" w:rsidRPr="007F195F">
        <w:t xml:space="preserve">Similarly, in the Czech Republic, civil society organizations have reported that </w:t>
      </w:r>
      <w:r w:rsidR="0068605B" w:rsidRPr="007F195F">
        <w:t xml:space="preserve">partial guardianship </w:t>
      </w:r>
      <w:r w:rsidR="00A81435" w:rsidRPr="007F195F">
        <w:t xml:space="preserve">continues to be </w:t>
      </w:r>
      <w:r w:rsidR="00E547D7" w:rsidRPr="007F195F">
        <w:t xml:space="preserve">the </w:t>
      </w:r>
      <w:r w:rsidR="00E74E8E" w:rsidRPr="007F195F">
        <w:t xml:space="preserve">most popular </w:t>
      </w:r>
      <w:r w:rsidR="00C26431" w:rsidRPr="007F195F">
        <w:t>regime</w:t>
      </w:r>
      <w:r w:rsidR="00E74E8E" w:rsidRPr="007F195F">
        <w:t xml:space="preserve"> resorted to by the courts, despite the availability </w:t>
      </w:r>
      <w:r w:rsidR="00E222D3" w:rsidRPr="007F195F">
        <w:t>of alternative</w:t>
      </w:r>
      <w:r w:rsidR="00C26431" w:rsidRPr="007F195F">
        <w:t xml:space="preserve"> measures under the new law.</w:t>
      </w:r>
      <w:r w:rsidR="00BD36E0" w:rsidRPr="007F195F">
        <w:rPr>
          <w:rStyle w:val="FootnoteReference"/>
        </w:rPr>
        <w:footnoteReference w:id="1048"/>
      </w:r>
    </w:p>
    <w:p w14:paraId="4FFDBE42" w14:textId="77777777" w:rsidR="00445467" w:rsidRDefault="00445467" w:rsidP="00A7547F"/>
    <w:p w14:paraId="152D6E6A" w14:textId="2BB0FF87" w:rsidR="002B0128" w:rsidRPr="002A28E1" w:rsidRDefault="0025178A" w:rsidP="00A7547F">
      <w:r w:rsidRPr="007F195F">
        <w:t>Perh</w:t>
      </w:r>
      <w:r w:rsidR="008A6F5B" w:rsidRPr="007F195F">
        <w:t>a</w:t>
      </w:r>
      <w:r w:rsidRPr="007F195F">
        <w:t xml:space="preserve">ps even more </w:t>
      </w:r>
      <w:r w:rsidR="003D1668" w:rsidRPr="007F195F">
        <w:t>critically</w:t>
      </w:r>
      <w:r w:rsidRPr="007F195F">
        <w:t xml:space="preserve">, </w:t>
      </w:r>
      <w:r w:rsidR="004F7E2E" w:rsidRPr="007F195F">
        <w:t xml:space="preserve">however, </w:t>
      </w:r>
      <w:r w:rsidRPr="007F195F">
        <w:t>p</w:t>
      </w:r>
      <w:r w:rsidR="00CA3D87" w:rsidRPr="007F195F">
        <w:t>reserving</w:t>
      </w:r>
      <w:r w:rsidR="008D1446" w:rsidRPr="007F195F">
        <w:t xml:space="preserve"> </w:t>
      </w:r>
      <w:r w:rsidR="000D47AA" w:rsidRPr="007F195F">
        <w:t>substitute decision-making</w:t>
      </w:r>
      <w:r w:rsidR="008D1446" w:rsidRPr="007F195F">
        <w:t xml:space="preserve"> </w:t>
      </w:r>
      <w:r w:rsidR="00C242E7" w:rsidRPr="007F195F">
        <w:t xml:space="preserve">risks </w:t>
      </w:r>
      <w:r w:rsidR="008D1446" w:rsidRPr="007F195F">
        <w:t>maintain</w:t>
      </w:r>
      <w:r w:rsidR="001F091C" w:rsidRPr="007F195F">
        <w:t>ing</w:t>
      </w:r>
      <w:r w:rsidR="008D1446" w:rsidRPr="007F195F">
        <w:t xml:space="preserve"> a</w:t>
      </w:r>
      <w:r w:rsidR="00384193" w:rsidRPr="007F195F">
        <w:t xml:space="preserve"> </w:t>
      </w:r>
      <w:r w:rsidR="008D1446" w:rsidRPr="007F195F">
        <w:t>way of seeing persons</w:t>
      </w:r>
      <w:r w:rsidR="00BE65B0" w:rsidRPr="007F195F">
        <w:t xml:space="preserve"> with disabilities</w:t>
      </w:r>
      <w:r w:rsidR="008D1446">
        <w:t xml:space="preserve"> </w:t>
      </w:r>
      <w:r w:rsidR="0036785D">
        <w:t xml:space="preserve">as unable to manage their own affairs </w:t>
      </w:r>
      <w:r w:rsidR="00384193">
        <w:t>and in need of protection.</w:t>
      </w:r>
      <w:r w:rsidR="008D1446">
        <w:t xml:space="preserve"> </w:t>
      </w:r>
      <w:r w:rsidR="00075FDA">
        <w:t>This antiquated lens through</w:t>
      </w:r>
      <w:r w:rsidR="007F76A2">
        <w:t xml:space="preserve"> which to </w:t>
      </w:r>
      <w:r w:rsidR="007C2298">
        <w:t>view persons with disabilities</w:t>
      </w:r>
      <w:r w:rsidR="008D1446">
        <w:t xml:space="preserve"> fundamentally </w:t>
      </w:r>
      <w:r w:rsidR="003F29D8">
        <w:t>clashes</w:t>
      </w:r>
      <w:r w:rsidR="008D1446">
        <w:t xml:space="preserve"> with</w:t>
      </w:r>
      <w:r w:rsidR="00C86054">
        <w:t xml:space="preserve"> Article 12 of the CRPD, which is premised upon the notion</w:t>
      </w:r>
      <w:r w:rsidR="008D1446">
        <w:t xml:space="preserve"> </w:t>
      </w:r>
      <w:r w:rsidR="00C90596">
        <w:t>that all persons with disabilities are able to take part in their own decision-making and need to be supported in th</w:t>
      </w:r>
      <w:r w:rsidR="00C708D1">
        <w:t>is</w:t>
      </w:r>
      <w:r w:rsidR="00C90596">
        <w:t xml:space="preserve"> process.</w:t>
      </w:r>
      <w:r w:rsidR="007407D7">
        <w:t xml:space="preserve"> </w:t>
      </w:r>
      <w:r w:rsidR="0046235E">
        <w:t>The</w:t>
      </w:r>
      <w:r w:rsidR="00F45F0B">
        <w:t xml:space="preserve"> retention of substitute decision-making </w:t>
      </w:r>
      <w:r w:rsidR="002F1524">
        <w:t xml:space="preserve">may well </w:t>
      </w:r>
      <w:r w:rsidR="00F45F0B">
        <w:t>prevent</w:t>
      </w:r>
      <w:r w:rsidR="007325DA">
        <w:t xml:space="preserve"> </w:t>
      </w:r>
      <w:r w:rsidR="00B52FE7">
        <w:t>the</w:t>
      </w:r>
      <w:r w:rsidR="00F45F0B">
        <w:t xml:space="preserve"> full realization of </w:t>
      </w:r>
      <w:r w:rsidR="00781CF3">
        <w:t>the</w:t>
      </w:r>
      <w:r w:rsidR="00F45F0B">
        <w:t xml:space="preserve"> revolutionary paradigm shift that </w:t>
      </w:r>
      <w:proofErr w:type="gramStart"/>
      <w:r w:rsidR="00F45F0B">
        <w:t>is needed</w:t>
      </w:r>
      <w:proofErr w:type="gramEnd"/>
      <w:r w:rsidR="00F45F0B">
        <w:t xml:space="preserve"> in order to </w:t>
      </w:r>
      <w:r w:rsidR="00696B79">
        <w:t>wholly</w:t>
      </w:r>
      <w:r w:rsidR="00F45F0B">
        <w:t xml:space="preserve"> embrace </w:t>
      </w:r>
      <w:r w:rsidR="002769B4">
        <w:t xml:space="preserve">supported decision-making as </w:t>
      </w:r>
      <w:r w:rsidR="000B1085">
        <w:rPr>
          <w:i/>
        </w:rPr>
        <w:t xml:space="preserve">the </w:t>
      </w:r>
      <w:r w:rsidR="000B1085">
        <w:t>new model</w:t>
      </w:r>
      <w:r w:rsidR="00E93FA2">
        <w:t>.</w:t>
      </w:r>
      <w:r w:rsidR="00F27D97">
        <w:t xml:space="preserve"> </w:t>
      </w:r>
      <w:r w:rsidR="00462477">
        <w:t xml:space="preserve">With </w:t>
      </w:r>
      <w:r w:rsidR="00EE65D4">
        <w:t>substitute decision-making</w:t>
      </w:r>
      <w:r w:rsidR="00462477">
        <w:t xml:space="preserve"> regimes still intact, the full empowerment and </w:t>
      </w:r>
      <w:r w:rsidR="00DE465B">
        <w:t>attainment</w:t>
      </w:r>
      <w:r w:rsidR="00462477">
        <w:t xml:space="preserve"> </w:t>
      </w:r>
      <w:r w:rsidR="007965C3">
        <w:t xml:space="preserve">of </w:t>
      </w:r>
      <w:r w:rsidR="005769F1">
        <w:t xml:space="preserve">human rights </w:t>
      </w:r>
      <w:r w:rsidR="00087617">
        <w:t>for</w:t>
      </w:r>
      <w:r w:rsidR="005769F1">
        <w:t xml:space="preserve"> persons with disabilities</w:t>
      </w:r>
      <w:r w:rsidR="00BA4E1B">
        <w:t xml:space="preserve"> </w:t>
      </w:r>
      <w:proofErr w:type="gramStart"/>
      <w:r w:rsidR="00115EAD">
        <w:t>may</w:t>
      </w:r>
      <w:r w:rsidR="00BA4E1B">
        <w:t xml:space="preserve"> never be </w:t>
      </w:r>
      <w:r w:rsidR="00191646">
        <w:t>fulfilled</w:t>
      </w:r>
      <w:proofErr w:type="gramEnd"/>
      <w:r w:rsidR="00191646">
        <w:t>.</w:t>
      </w:r>
      <w:r w:rsidR="000E2356">
        <w:t xml:space="preserve"> </w:t>
      </w:r>
      <w:r w:rsidR="00350818">
        <w:t xml:space="preserve"> </w:t>
      </w:r>
    </w:p>
    <w:p w14:paraId="21822884" w14:textId="35F1E706" w:rsidR="00D93844" w:rsidRDefault="00D93844" w:rsidP="00A7547F"/>
    <w:p w14:paraId="71459AFD" w14:textId="318E7600" w:rsidR="006926DC" w:rsidRDefault="006926DC" w:rsidP="00A7547F">
      <w:pPr>
        <w:rPr>
          <w:b/>
        </w:rPr>
      </w:pPr>
      <w:r>
        <w:rPr>
          <w:b/>
        </w:rPr>
        <w:lastRenderedPageBreak/>
        <w:t>Author’s note</w:t>
      </w:r>
    </w:p>
    <w:p w14:paraId="45816D24" w14:textId="3B9D41B3" w:rsidR="006926DC" w:rsidRDefault="000504CA" w:rsidP="00A7547F">
      <w:r>
        <w:t xml:space="preserve">Many thanks to Anna </w:t>
      </w:r>
      <w:proofErr w:type="spellStart"/>
      <w:r>
        <w:t>Adamova</w:t>
      </w:r>
      <w:proofErr w:type="spellEnd"/>
      <w:r>
        <w:t xml:space="preserve"> and Nadia </w:t>
      </w:r>
      <w:proofErr w:type="spellStart"/>
      <w:r w:rsidR="00D33533">
        <w:t>Shabani</w:t>
      </w:r>
      <w:proofErr w:type="spellEnd"/>
      <w:r w:rsidR="00D33533">
        <w:t xml:space="preserve"> for their invaluable guidance and </w:t>
      </w:r>
      <w:r w:rsidR="00DC7F79">
        <w:t xml:space="preserve">encouragement throughout the </w:t>
      </w:r>
      <w:r w:rsidR="00A94540">
        <w:t>drafting of this report.</w:t>
      </w:r>
    </w:p>
    <w:p w14:paraId="1AEE503D" w14:textId="77777777" w:rsidR="00511600" w:rsidRDefault="00511600" w:rsidP="00A7547F"/>
    <w:p w14:paraId="74E2B5E6" w14:textId="48CC7064" w:rsidR="00481971" w:rsidRPr="006926DC" w:rsidRDefault="00481971" w:rsidP="00A7547F">
      <w:r>
        <w:t xml:space="preserve">I am also extremely grateful to the </w:t>
      </w:r>
      <w:r w:rsidR="00BD74D8">
        <w:t xml:space="preserve">individuals </w:t>
      </w:r>
      <w:r w:rsidR="00C83F1A">
        <w:t>in government, c</w:t>
      </w:r>
      <w:r w:rsidR="001825E8">
        <w:t xml:space="preserve">ivil society, and </w:t>
      </w:r>
      <w:r w:rsidR="009D15C7">
        <w:t xml:space="preserve">academia who </w:t>
      </w:r>
      <w:r w:rsidR="00EB0D97">
        <w:t xml:space="preserve">responded to my inquiries </w:t>
      </w:r>
      <w:r w:rsidR="003A4BF7">
        <w:t xml:space="preserve">regarding </w:t>
      </w:r>
      <w:r w:rsidR="00366BA7">
        <w:t xml:space="preserve">various </w:t>
      </w:r>
      <w:r w:rsidR="00F91AD2">
        <w:t>legislative</w:t>
      </w:r>
      <w:r w:rsidR="00F13D58">
        <w:t xml:space="preserve"> reforms.</w:t>
      </w:r>
      <w:r w:rsidR="00D35369">
        <w:t xml:space="preserve"> It was a major challenge to obtain English translations </w:t>
      </w:r>
      <w:r w:rsidR="0027110B">
        <w:t>of some of the legislative text</w:t>
      </w:r>
      <w:r w:rsidR="005B4C20">
        <w:t>s</w:t>
      </w:r>
      <w:r w:rsidR="00C40402">
        <w:t xml:space="preserve"> and where help was pr</w:t>
      </w:r>
      <w:r w:rsidR="00A02CF3">
        <w:t>ovided</w:t>
      </w:r>
      <w:r w:rsidR="00EF155D">
        <w:t xml:space="preserve"> </w:t>
      </w:r>
      <w:r w:rsidR="009D14B6">
        <w:t>in this respect</w:t>
      </w:r>
      <w:r w:rsidR="00A02CF3">
        <w:t xml:space="preserve">, it </w:t>
      </w:r>
      <w:proofErr w:type="gramStart"/>
      <w:r w:rsidR="00C151BA">
        <w:t>was</w:t>
      </w:r>
      <w:proofErr w:type="gramEnd"/>
      <w:r w:rsidR="00C151BA">
        <w:t xml:space="preserve"> </w:t>
      </w:r>
      <w:r w:rsidR="00A95C54">
        <w:t>greatly appreciated.</w:t>
      </w:r>
    </w:p>
    <w:sectPr w:rsidR="00481971" w:rsidRPr="006926DC" w:rsidSect="00163785">
      <w:footerReference w:type="even" r:id="rId30"/>
      <w:footerReference w:type="default" r:id="rId31"/>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AB087D" w14:textId="77777777" w:rsidR="006B1F54" w:rsidRDefault="006B1F54" w:rsidP="00F63F24">
      <w:r>
        <w:separator/>
      </w:r>
    </w:p>
  </w:endnote>
  <w:endnote w:type="continuationSeparator" w:id="0">
    <w:p w14:paraId="2C9160ED" w14:textId="77777777" w:rsidR="006B1F54" w:rsidRDefault="006B1F54" w:rsidP="00F63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7" w:csb1="00000000"/>
  </w:font>
  <w:font w:name="TimesNewRomanPSMT">
    <w:altName w:val="Times New Roman"/>
    <w:panose1 w:val="00000000000000000000"/>
    <w:charset w:val="00"/>
    <w:family w:val="roman"/>
    <w:notTrueType/>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17098672"/>
      <w:docPartObj>
        <w:docPartGallery w:val="Page Numbers (Bottom of Page)"/>
        <w:docPartUnique/>
      </w:docPartObj>
    </w:sdtPr>
    <w:sdtEndPr>
      <w:rPr>
        <w:rStyle w:val="PageNumber"/>
      </w:rPr>
    </w:sdtEndPr>
    <w:sdtContent>
      <w:p w14:paraId="4A1C6C1A" w14:textId="712BCD18" w:rsidR="002774A4" w:rsidRDefault="002774A4" w:rsidP="003B28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98</w:t>
        </w:r>
        <w:r>
          <w:rPr>
            <w:rStyle w:val="PageNumber"/>
          </w:rPr>
          <w:fldChar w:fldCharType="end"/>
        </w:r>
      </w:p>
    </w:sdtContent>
  </w:sdt>
  <w:p w14:paraId="2CBD00AD" w14:textId="77777777" w:rsidR="002774A4" w:rsidRDefault="002774A4" w:rsidP="0016378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20195822"/>
      <w:docPartObj>
        <w:docPartGallery w:val="Page Numbers (Bottom of Page)"/>
        <w:docPartUnique/>
      </w:docPartObj>
    </w:sdtPr>
    <w:sdtEndPr>
      <w:rPr>
        <w:rStyle w:val="PageNumber"/>
      </w:rPr>
    </w:sdtEndPr>
    <w:sdtContent>
      <w:p w14:paraId="5D696E59" w14:textId="51FC1839" w:rsidR="002774A4" w:rsidRDefault="002774A4" w:rsidP="003B28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83FD7">
          <w:rPr>
            <w:rStyle w:val="PageNumber"/>
            <w:noProof/>
          </w:rPr>
          <w:t>23</w:t>
        </w:r>
        <w:r>
          <w:rPr>
            <w:rStyle w:val="PageNumber"/>
          </w:rPr>
          <w:fldChar w:fldCharType="end"/>
        </w:r>
      </w:p>
    </w:sdtContent>
  </w:sdt>
  <w:p w14:paraId="63119F17" w14:textId="77777777" w:rsidR="002774A4" w:rsidRDefault="002774A4" w:rsidP="0016378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56AE94" w14:textId="77777777" w:rsidR="006B1F54" w:rsidRDefault="006B1F54" w:rsidP="00F63F24">
      <w:r>
        <w:separator/>
      </w:r>
    </w:p>
  </w:footnote>
  <w:footnote w:type="continuationSeparator" w:id="0">
    <w:p w14:paraId="35A739FD" w14:textId="77777777" w:rsidR="006B1F54" w:rsidRDefault="006B1F54" w:rsidP="00F63F24">
      <w:r>
        <w:continuationSeparator/>
      </w:r>
    </w:p>
  </w:footnote>
  <w:footnote w:id="1">
    <w:p w14:paraId="3B8396ED" w14:textId="6D38F0C8" w:rsidR="002774A4" w:rsidRPr="00BF16BE" w:rsidRDefault="002774A4" w:rsidP="00BF16BE">
      <w:pPr>
        <w:pStyle w:val="NormalWeb"/>
        <w:spacing w:before="0" w:beforeAutospacing="0" w:after="0" w:afterAutospacing="0"/>
        <w:rPr>
          <w:sz w:val="20"/>
          <w:szCs w:val="20"/>
        </w:rPr>
      </w:pPr>
      <w:r w:rsidRPr="00BF16BE">
        <w:rPr>
          <w:rStyle w:val="FootnoteReference"/>
          <w:sz w:val="20"/>
          <w:szCs w:val="20"/>
        </w:rPr>
        <w:footnoteRef/>
      </w:r>
      <w:r w:rsidRPr="00BF16BE">
        <w:rPr>
          <w:sz w:val="20"/>
          <w:szCs w:val="20"/>
        </w:rPr>
        <w:t xml:space="preserve"> </w:t>
      </w:r>
      <w:r w:rsidRPr="00A657A1">
        <w:rPr>
          <w:i/>
          <w:sz w:val="20"/>
          <w:szCs w:val="20"/>
        </w:rPr>
        <w:t>Convention on the Rights of Persons with Disabilities</w:t>
      </w:r>
      <w:r w:rsidRPr="00BF16BE">
        <w:rPr>
          <w:sz w:val="20"/>
          <w:szCs w:val="20"/>
        </w:rPr>
        <w:t>, 13</w:t>
      </w:r>
      <w:r>
        <w:rPr>
          <w:sz w:val="20"/>
          <w:szCs w:val="20"/>
        </w:rPr>
        <w:t xml:space="preserve"> December</w:t>
      </w:r>
      <w:r w:rsidRPr="00BF16BE">
        <w:rPr>
          <w:sz w:val="20"/>
          <w:szCs w:val="20"/>
        </w:rPr>
        <w:t xml:space="preserve"> 2006, 2515 UNTS 3 </w:t>
      </w:r>
      <w:r>
        <w:rPr>
          <w:sz w:val="20"/>
          <w:szCs w:val="20"/>
        </w:rPr>
        <w:t xml:space="preserve">(entered into force 3 May 2008) </w:t>
      </w:r>
      <w:r w:rsidRPr="00BF16BE">
        <w:rPr>
          <w:sz w:val="20"/>
          <w:szCs w:val="20"/>
        </w:rPr>
        <w:t xml:space="preserve">[CRPD]. </w:t>
      </w:r>
    </w:p>
  </w:footnote>
  <w:footnote w:id="2">
    <w:p w14:paraId="593E9174" w14:textId="4E84D771" w:rsidR="002774A4" w:rsidRPr="00CF2B30" w:rsidRDefault="002774A4">
      <w:pPr>
        <w:pStyle w:val="FootnoteText"/>
      </w:pPr>
      <w:r>
        <w:rPr>
          <w:rStyle w:val="FootnoteReference"/>
        </w:rPr>
        <w:footnoteRef/>
      </w:r>
      <w:r>
        <w:t xml:space="preserve"> </w:t>
      </w:r>
      <w:r>
        <w:rPr>
          <w:i/>
        </w:rPr>
        <w:t xml:space="preserve">Ibid, </w:t>
      </w:r>
      <w:r>
        <w:t>Article 1 – Purpose.</w:t>
      </w:r>
    </w:p>
  </w:footnote>
  <w:footnote w:id="3">
    <w:p w14:paraId="700FB22F" w14:textId="5F724796" w:rsidR="002774A4" w:rsidRPr="00957B4F" w:rsidRDefault="002774A4">
      <w:pPr>
        <w:pStyle w:val="FootnoteText"/>
      </w:pPr>
      <w:r>
        <w:rPr>
          <w:rStyle w:val="FootnoteReference"/>
        </w:rPr>
        <w:footnoteRef/>
      </w:r>
      <w:r>
        <w:t xml:space="preserve"> “Statement by Louise Arbour, UN High Commissioner for Human Rights to the Resumed 8</w:t>
      </w:r>
      <w:r w:rsidRPr="00A642A5">
        <w:rPr>
          <w:vertAlign w:val="superscript"/>
        </w:rPr>
        <w:t>th</w:t>
      </w:r>
      <w:r>
        <w:t xml:space="preserve"> Session of the Ad Hoc Committee on the Convention on the Rights of Persons with Disabilities, New York” (5 December 2006), online: </w:t>
      </w:r>
      <w:r>
        <w:rPr>
          <w:i/>
        </w:rPr>
        <w:t xml:space="preserve">United Nations </w:t>
      </w:r>
      <w:r>
        <w:t>&lt;</w:t>
      </w:r>
      <w:r w:rsidRPr="008C7497">
        <w:t>https://www.un.org/esa/socdev/enable/rights/ahc8hrcmsg.htm</w:t>
      </w:r>
      <w:r>
        <w:t xml:space="preserve">&gt;. </w:t>
      </w:r>
    </w:p>
  </w:footnote>
  <w:footnote w:id="4">
    <w:p w14:paraId="069A5D29" w14:textId="6815C94D" w:rsidR="002774A4" w:rsidRPr="00DC5737" w:rsidRDefault="002774A4">
      <w:pPr>
        <w:pStyle w:val="FootnoteText"/>
        <w:rPr>
          <w:i/>
        </w:rPr>
      </w:pPr>
      <w:r>
        <w:rPr>
          <w:rStyle w:val="FootnoteReference"/>
        </w:rPr>
        <w:footnoteRef/>
      </w:r>
      <w:r>
        <w:t xml:space="preserve"> </w:t>
      </w:r>
      <w:r>
        <w:rPr>
          <w:i/>
        </w:rPr>
        <w:t>Ibid.</w:t>
      </w:r>
    </w:p>
  </w:footnote>
  <w:footnote w:id="5">
    <w:p w14:paraId="4307C7D9" w14:textId="50A746C8" w:rsidR="002774A4" w:rsidRPr="002346A8" w:rsidRDefault="002774A4">
      <w:pPr>
        <w:pStyle w:val="FootnoteText"/>
      </w:pPr>
      <w:r>
        <w:rPr>
          <w:rStyle w:val="FootnoteReference"/>
        </w:rPr>
        <w:footnoteRef/>
      </w:r>
      <w:r>
        <w:t xml:space="preserve"> </w:t>
      </w:r>
      <w:proofErr w:type="spellStart"/>
      <w:r>
        <w:t>Dimitrina</w:t>
      </w:r>
      <w:proofErr w:type="spellEnd"/>
      <w:r>
        <w:t xml:space="preserve"> </w:t>
      </w:r>
      <w:proofErr w:type="spellStart"/>
      <w:r>
        <w:t>Petrova</w:t>
      </w:r>
      <w:proofErr w:type="spellEnd"/>
      <w:r>
        <w:t xml:space="preserve">, ed., </w:t>
      </w:r>
      <w:proofErr w:type="gramStart"/>
      <w:r>
        <w:rPr>
          <w:i/>
        </w:rPr>
        <w:t>The</w:t>
      </w:r>
      <w:proofErr w:type="gramEnd"/>
      <w:r>
        <w:rPr>
          <w:i/>
        </w:rPr>
        <w:t xml:space="preserve"> Equal Rights Review, Vol. Two </w:t>
      </w:r>
      <w:r>
        <w:t>(London, UK: The Equal Rights Trust, 2008)</w:t>
      </w:r>
      <w:r>
        <w:rPr>
          <w:i/>
        </w:rPr>
        <w:t xml:space="preserve">, </w:t>
      </w:r>
      <w:r>
        <w:t>online: &lt;</w:t>
      </w:r>
      <w:hyperlink r:id="rId1" w:history="1">
        <w:r w:rsidRPr="00CA63FA">
          <w:rPr>
            <w:rStyle w:val="Hyperlink"/>
          </w:rPr>
          <w:t>https://www.equalrightstrust.org/ertdocumentbank/err_issue02%20reduced.pdf</w:t>
        </w:r>
      </w:hyperlink>
      <w:r>
        <w:t>&gt; at 90.</w:t>
      </w:r>
    </w:p>
  </w:footnote>
  <w:footnote w:id="6">
    <w:p w14:paraId="26E5428D" w14:textId="6B2A765F" w:rsidR="002774A4" w:rsidRPr="007957E4" w:rsidRDefault="002774A4">
      <w:pPr>
        <w:pStyle w:val="FootnoteText"/>
      </w:pPr>
      <w:r>
        <w:rPr>
          <w:rStyle w:val="FootnoteReference"/>
        </w:rPr>
        <w:footnoteRef/>
      </w:r>
      <w:r>
        <w:t xml:space="preserve"> </w:t>
      </w:r>
      <w:r>
        <w:rPr>
          <w:i/>
        </w:rPr>
        <w:t xml:space="preserve">Ibid </w:t>
      </w:r>
      <w:r>
        <w:t>at 85.</w:t>
      </w:r>
    </w:p>
  </w:footnote>
  <w:footnote w:id="7">
    <w:p w14:paraId="50234E2E" w14:textId="743E6B42" w:rsidR="002774A4" w:rsidRPr="00165E0B" w:rsidRDefault="002774A4">
      <w:pPr>
        <w:pStyle w:val="FootnoteText"/>
      </w:pPr>
      <w:r>
        <w:rPr>
          <w:rStyle w:val="FootnoteReference"/>
        </w:rPr>
        <w:footnoteRef/>
      </w:r>
      <w:r>
        <w:t xml:space="preserve"> Committee on the Rights of Persons with Disabilities, “General comment No.1 (2014) – Article 12: Equal recognition before the law” (19 May 2014), online: &lt;</w:t>
      </w:r>
      <w:r w:rsidRPr="00545D82">
        <w:t xml:space="preserve"> https://documents-dds-ny.un.org/doc/UNDOC/GEN/G14/031/20/PDF/G1403120.pdf?OpenElement</w:t>
      </w:r>
      <w:r>
        <w:t>&gt; at para 13.</w:t>
      </w:r>
    </w:p>
  </w:footnote>
  <w:footnote w:id="8">
    <w:p w14:paraId="7ECD9115" w14:textId="3C5359AC" w:rsidR="002774A4" w:rsidRPr="000E62D6" w:rsidRDefault="002774A4">
      <w:pPr>
        <w:pStyle w:val="FootnoteText"/>
      </w:pPr>
      <w:r>
        <w:rPr>
          <w:rStyle w:val="FootnoteReference"/>
        </w:rPr>
        <w:footnoteRef/>
      </w:r>
      <w:r>
        <w:t xml:space="preserve"> Catalina </w:t>
      </w:r>
      <w:proofErr w:type="spellStart"/>
      <w:r>
        <w:t>Devandas</w:t>
      </w:r>
      <w:proofErr w:type="spellEnd"/>
      <w:r>
        <w:t xml:space="preserve"> Aguilar, “Report of the Special Rapporteur on the rights of persons with disabilities (theme: legal capacity reform and supported decision making)” (12 December 2017), online: &lt;</w:t>
      </w:r>
      <w:r w:rsidRPr="00B37B42">
        <w:t xml:space="preserve"> </w:t>
      </w:r>
      <w:hyperlink r:id="rId2" w:history="1">
        <w:r w:rsidRPr="00CA63FA">
          <w:rPr>
            <w:rStyle w:val="Hyperlink"/>
          </w:rPr>
          <w:t>https://www.ohchr.org/Documents/Issues/Disability/A.HRC.37.56.docx</w:t>
        </w:r>
      </w:hyperlink>
      <w:proofErr w:type="gramStart"/>
      <w:r>
        <w:t>&gt;  at</w:t>
      </w:r>
      <w:proofErr w:type="gramEnd"/>
      <w:r>
        <w:t xml:space="preserve"> para 24.</w:t>
      </w:r>
    </w:p>
  </w:footnote>
  <w:footnote w:id="9">
    <w:p w14:paraId="1D9C08DA" w14:textId="2C0A9E44" w:rsidR="002774A4" w:rsidRPr="002A2E4D" w:rsidRDefault="002774A4">
      <w:pPr>
        <w:pStyle w:val="FootnoteText"/>
      </w:pPr>
      <w:r>
        <w:rPr>
          <w:rStyle w:val="FootnoteReference"/>
        </w:rPr>
        <w:footnoteRef/>
      </w:r>
      <w:r>
        <w:t xml:space="preserve"> </w:t>
      </w:r>
      <w:r>
        <w:rPr>
          <w:i/>
        </w:rPr>
        <w:t xml:space="preserve">Ibid </w:t>
      </w:r>
      <w:r>
        <w:t>at para 26.</w:t>
      </w:r>
    </w:p>
  </w:footnote>
  <w:footnote w:id="10">
    <w:p w14:paraId="31901DD1" w14:textId="45730863" w:rsidR="002774A4" w:rsidRPr="00960D3E" w:rsidRDefault="002774A4">
      <w:pPr>
        <w:pStyle w:val="FootnoteText"/>
      </w:pPr>
      <w:r>
        <w:rPr>
          <w:rStyle w:val="FootnoteReference"/>
        </w:rPr>
        <w:footnoteRef/>
      </w:r>
      <w:r>
        <w:t xml:space="preserve"> </w:t>
      </w:r>
      <w:r w:rsidRPr="00DB07A6">
        <w:t xml:space="preserve">Committee on the Rights of Persons with Disabilities, </w:t>
      </w:r>
      <w:r>
        <w:t xml:space="preserve">“General comment No.1,” </w:t>
      </w:r>
      <w:r>
        <w:rPr>
          <w:i/>
        </w:rPr>
        <w:t xml:space="preserve">supra </w:t>
      </w:r>
      <w:r>
        <w:t xml:space="preserve">note </w:t>
      </w:r>
      <w:r>
        <w:fldChar w:fldCharType="begin"/>
      </w:r>
      <w:r>
        <w:instrText xml:space="preserve"> NOTEREF _Ref15295251 \h </w:instrText>
      </w:r>
      <w:r>
        <w:fldChar w:fldCharType="separate"/>
      </w:r>
      <w:proofErr w:type="gramStart"/>
      <w:r>
        <w:t>7</w:t>
      </w:r>
      <w:proofErr w:type="gramEnd"/>
      <w:r>
        <w:fldChar w:fldCharType="end"/>
      </w:r>
      <w:r>
        <w:t xml:space="preserve"> at</w:t>
      </w:r>
      <w:r w:rsidRPr="00DB07A6">
        <w:t xml:space="preserve"> para </w:t>
      </w:r>
      <w:r w:rsidRPr="00A83FD7">
        <w:rPr>
          <w:lang w:val="en-US"/>
        </w:rPr>
        <w:t>27.</w:t>
      </w:r>
    </w:p>
  </w:footnote>
  <w:footnote w:id="11">
    <w:p w14:paraId="3A4E82EE" w14:textId="5DE2E501" w:rsidR="002774A4" w:rsidRPr="00A83FD7" w:rsidRDefault="002774A4">
      <w:pPr>
        <w:pStyle w:val="FootnoteText"/>
        <w:rPr>
          <w:lang w:val="es-419"/>
        </w:rPr>
      </w:pPr>
      <w:r>
        <w:rPr>
          <w:rStyle w:val="FootnoteReference"/>
        </w:rPr>
        <w:footnoteRef/>
      </w:r>
      <w:r w:rsidRPr="00A83FD7">
        <w:rPr>
          <w:lang w:val="es-419"/>
        </w:rPr>
        <w:t xml:space="preserve"> </w:t>
      </w:r>
      <w:proofErr w:type="spellStart"/>
      <w:r w:rsidRPr="00A83FD7">
        <w:rPr>
          <w:i/>
          <w:lang w:val="es-419"/>
        </w:rPr>
        <w:t>Ibid</w:t>
      </w:r>
      <w:proofErr w:type="spellEnd"/>
      <w:r w:rsidRPr="00A83FD7">
        <w:rPr>
          <w:i/>
          <w:lang w:val="es-419"/>
        </w:rPr>
        <w:t>.</w:t>
      </w:r>
    </w:p>
  </w:footnote>
  <w:footnote w:id="12">
    <w:p w14:paraId="23BD60DB" w14:textId="7C706B60" w:rsidR="002774A4" w:rsidRPr="00A83FD7" w:rsidRDefault="002774A4" w:rsidP="005C66CA">
      <w:pPr>
        <w:pStyle w:val="FootnoteText"/>
        <w:rPr>
          <w:lang w:val="es-419"/>
        </w:rPr>
      </w:pPr>
      <w:r>
        <w:rPr>
          <w:rStyle w:val="FootnoteReference"/>
        </w:rPr>
        <w:footnoteRef/>
      </w:r>
      <w:r w:rsidRPr="00A83FD7">
        <w:rPr>
          <w:lang w:val="es-419"/>
        </w:rPr>
        <w:t xml:space="preserve"> </w:t>
      </w:r>
      <w:proofErr w:type="spellStart"/>
      <w:r w:rsidRPr="00A83FD7">
        <w:rPr>
          <w:lang w:val="es-419"/>
        </w:rPr>
        <w:t>Devandas</w:t>
      </w:r>
      <w:proofErr w:type="spellEnd"/>
      <w:r w:rsidRPr="00A83FD7">
        <w:rPr>
          <w:lang w:val="es-419"/>
        </w:rPr>
        <w:t xml:space="preserve"> Aguilar, </w:t>
      </w:r>
      <w:r w:rsidRPr="00A83FD7">
        <w:rPr>
          <w:i/>
          <w:lang w:val="es-419"/>
        </w:rPr>
        <w:t xml:space="preserve">supra </w:t>
      </w:r>
      <w:r w:rsidRPr="00A83FD7">
        <w:rPr>
          <w:lang w:val="es-419"/>
        </w:rPr>
        <w:t xml:space="preserve">note </w:t>
      </w:r>
      <w:r>
        <w:fldChar w:fldCharType="begin"/>
      </w:r>
      <w:r w:rsidRPr="00A83FD7">
        <w:rPr>
          <w:lang w:val="es-419"/>
        </w:rPr>
        <w:instrText xml:space="preserve"> NOTEREF _Ref15295121 \h </w:instrText>
      </w:r>
      <w:r>
        <w:fldChar w:fldCharType="separate"/>
      </w:r>
      <w:r w:rsidRPr="00A83FD7">
        <w:rPr>
          <w:lang w:val="es-419"/>
        </w:rPr>
        <w:t>8</w:t>
      </w:r>
      <w:r>
        <w:fldChar w:fldCharType="end"/>
      </w:r>
      <w:r w:rsidRPr="00A83FD7">
        <w:rPr>
          <w:lang w:val="es-419"/>
        </w:rPr>
        <w:t xml:space="preserve"> at para 27.</w:t>
      </w:r>
    </w:p>
  </w:footnote>
  <w:footnote w:id="13">
    <w:p w14:paraId="30B1DDBE" w14:textId="33A17A5B" w:rsidR="002774A4" w:rsidRPr="00D134C1" w:rsidRDefault="002774A4">
      <w:pPr>
        <w:pStyle w:val="FootnoteText"/>
      </w:pPr>
      <w:r>
        <w:rPr>
          <w:rStyle w:val="FootnoteReference"/>
        </w:rPr>
        <w:footnoteRef/>
      </w:r>
      <w:r>
        <w:t xml:space="preserve"> </w:t>
      </w:r>
      <w:r>
        <w:rPr>
          <w:i/>
        </w:rPr>
        <w:t xml:space="preserve">Ibid </w:t>
      </w:r>
      <w:r>
        <w:t xml:space="preserve">at para 30. </w:t>
      </w:r>
    </w:p>
  </w:footnote>
  <w:footnote w:id="14">
    <w:p w14:paraId="3F04CCC5" w14:textId="753559FD" w:rsidR="002774A4" w:rsidRPr="00693248" w:rsidRDefault="002774A4">
      <w:pPr>
        <w:pStyle w:val="FootnoteText"/>
      </w:pPr>
      <w:r>
        <w:rPr>
          <w:rStyle w:val="FootnoteReference"/>
        </w:rPr>
        <w:footnoteRef/>
      </w:r>
      <w:r>
        <w:t xml:space="preserve"> See Lucy Series &amp; Anna Nilsson, “Art. 12 CRPD Equal Recognition Before the Law” in </w:t>
      </w:r>
      <w:proofErr w:type="spellStart"/>
      <w:r>
        <w:t>Ilias</w:t>
      </w:r>
      <w:proofErr w:type="spellEnd"/>
      <w:r>
        <w:t xml:space="preserve"> </w:t>
      </w:r>
      <w:proofErr w:type="spellStart"/>
      <w:r>
        <w:t>Banketas</w:t>
      </w:r>
      <w:proofErr w:type="spellEnd"/>
      <w:r>
        <w:t xml:space="preserve">, Michael Ashley Stein &amp; Dimitris </w:t>
      </w:r>
      <w:proofErr w:type="spellStart"/>
      <w:r>
        <w:t>Anastasiou</w:t>
      </w:r>
      <w:proofErr w:type="spellEnd"/>
      <w:r>
        <w:t xml:space="preserve">, </w:t>
      </w:r>
      <w:proofErr w:type="spellStart"/>
      <w:r>
        <w:t>eds</w:t>
      </w:r>
      <w:proofErr w:type="spellEnd"/>
      <w:r>
        <w:t xml:space="preserve">, </w:t>
      </w:r>
      <w:r>
        <w:rPr>
          <w:i/>
        </w:rPr>
        <w:t xml:space="preserve">The UN Convention on the Rights of Persons with Disabilities: A Commentary </w:t>
      </w:r>
      <w:r>
        <w:t>(Oxford, UK: Oxford University Press, 2018) 339 at 366.</w:t>
      </w:r>
    </w:p>
  </w:footnote>
  <w:footnote w:id="15">
    <w:p w14:paraId="2F272C17" w14:textId="0C4872FB" w:rsidR="002774A4" w:rsidRPr="00D05AD5" w:rsidRDefault="002774A4">
      <w:pPr>
        <w:pStyle w:val="FootnoteText"/>
      </w:pPr>
      <w:r>
        <w:rPr>
          <w:rStyle w:val="FootnoteReference"/>
        </w:rPr>
        <w:footnoteRef/>
      </w:r>
      <w:r>
        <w:t xml:space="preserve"> Committee on the Rights of Persons with Disabilities, ““General comment No.1,” </w:t>
      </w:r>
      <w:r>
        <w:rPr>
          <w:i/>
        </w:rPr>
        <w:t xml:space="preserve">supra </w:t>
      </w:r>
      <w:r>
        <w:t xml:space="preserve">note </w:t>
      </w:r>
      <w:r>
        <w:fldChar w:fldCharType="begin"/>
      </w:r>
      <w:r>
        <w:instrText xml:space="preserve"> NOTEREF _Ref15295251 \h </w:instrText>
      </w:r>
      <w:r>
        <w:fldChar w:fldCharType="separate"/>
      </w:r>
      <w:r>
        <w:t>7</w:t>
      </w:r>
      <w:r>
        <w:fldChar w:fldCharType="end"/>
      </w:r>
      <w:r>
        <w:t xml:space="preserve"> at para 29(d).</w:t>
      </w:r>
    </w:p>
  </w:footnote>
  <w:footnote w:id="16">
    <w:p w14:paraId="17722D0F" w14:textId="1B3C0214" w:rsidR="002774A4" w:rsidRPr="00201AE3" w:rsidRDefault="002774A4">
      <w:pPr>
        <w:pStyle w:val="FootnoteText"/>
      </w:pPr>
      <w:r>
        <w:rPr>
          <w:rStyle w:val="FootnoteReference"/>
        </w:rPr>
        <w:footnoteRef/>
      </w:r>
      <w:r>
        <w:t xml:space="preserve"> Shih-Ning Then et al, “Supporting decision-making of adults with cognitive disabilities: The role of </w:t>
      </w:r>
      <w:r>
        <w:rPr>
          <w:i/>
        </w:rPr>
        <w:t xml:space="preserve">Law Reform Agencies </w:t>
      </w:r>
      <w:r>
        <w:t>– Recommendations, rationales and influence” (2018) 61 International Journal of Law and Psychiatry 64 at 64.</w:t>
      </w:r>
    </w:p>
  </w:footnote>
  <w:footnote w:id="17">
    <w:p w14:paraId="4AA7E110" w14:textId="4BE4595F" w:rsidR="002774A4" w:rsidRPr="00C61169" w:rsidRDefault="002774A4">
      <w:pPr>
        <w:pStyle w:val="FootnoteText"/>
      </w:pPr>
      <w:r>
        <w:rPr>
          <w:rStyle w:val="FootnoteReference"/>
        </w:rPr>
        <w:footnoteRef/>
      </w:r>
      <w:r w:rsidRPr="00A83FD7">
        <w:rPr>
          <w:lang w:val="es-419"/>
        </w:rPr>
        <w:t xml:space="preserve"> </w:t>
      </w:r>
      <w:proofErr w:type="spellStart"/>
      <w:r w:rsidRPr="00A83FD7">
        <w:rPr>
          <w:lang w:val="es-419"/>
        </w:rPr>
        <w:t>See</w:t>
      </w:r>
      <w:proofErr w:type="spellEnd"/>
      <w:r w:rsidRPr="00A83FD7">
        <w:rPr>
          <w:lang w:val="es-419"/>
        </w:rPr>
        <w:t xml:space="preserve"> </w:t>
      </w:r>
      <w:proofErr w:type="spellStart"/>
      <w:r w:rsidRPr="00A83FD7">
        <w:rPr>
          <w:lang w:val="es-419"/>
        </w:rPr>
        <w:t>Devandas</w:t>
      </w:r>
      <w:proofErr w:type="spellEnd"/>
      <w:r w:rsidRPr="00A83FD7">
        <w:rPr>
          <w:lang w:val="es-419"/>
        </w:rPr>
        <w:t xml:space="preserve"> Aguilar, </w:t>
      </w:r>
      <w:r w:rsidRPr="00A83FD7">
        <w:rPr>
          <w:i/>
          <w:lang w:val="es-419"/>
        </w:rPr>
        <w:t xml:space="preserve">supra </w:t>
      </w:r>
      <w:r w:rsidRPr="00A83FD7">
        <w:rPr>
          <w:lang w:val="es-419"/>
        </w:rPr>
        <w:t xml:space="preserve">note </w:t>
      </w:r>
      <w:r>
        <w:fldChar w:fldCharType="begin"/>
      </w:r>
      <w:r w:rsidRPr="00A83FD7">
        <w:rPr>
          <w:lang w:val="es-419"/>
        </w:rPr>
        <w:instrText xml:space="preserve"> NOTEREF _Ref15295121 \h </w:instrText>
      </w:r>
      <w:r>
        <w:fldChar w:fldCharType="separate"/>
      </w:r>
      <w:r w:rsidRPr="00A83FD7">
        <w:rPr>
          <w:lang w:val="es-419"/>
        </w:rPr>
        <w:t>8</w:t>
      </w:r>
      <w:r>
        <w:fldChar w:fldCharType="end"/>
      </w:r>
      <w:r w:rsidRPr="00A83FD7">
        <w:rPr>
          <w:lang w:val="es-419"/>
        </w:rPr>
        <w:t xml:space="preserve"> at para 49; Congreso de la Republica de Colombia, “</w:t>
      </w:r>
      <w:proofErr w:type="spellStart"/>
      <w:r w:rsidRPr="00A83FD7">
        <w:rPr>
          <w:lang w:val="es-419"/>
        </w:rPr>
        <w:t>Proyeto</w:t>
      </w:r>
      <w:proofErr w:type="spellEnd"/>
      <w:r w:rsidRPr="00A83FD7">
        <w:rPr>
          <w:lang w:val="es-419"/>
        </w:rPr>
        <w:t xml:space="preserve"> de Ley 236/19</w:t>
      </w:r>
      <w:r w:rsidRPr="00A83FD7">
        <w:rPr>
          <w:i/>
          <w:lang w:val="es-419"/>
        </w:rPr>
        <w:t>,</w:t>
      </w:r>
      <w:r w:rsidRPr="00A83FD7">
        <w:rPr>
          <w:lang w:val="es-419"/>
        </w:rPr>
        <w:t>”</w:t>
      </w:r>
      <w:r w:rsidRPr="00A83FD7">
        <w:rPr>
          <w:i/>
          <w:lang w:val="es-419"/>
        </w:rPr>
        <w:t xml:space="preserve"> </w:t>
      </w:r>
      <w:r w:rsidRPr="00A83FD7">
        <w:rPr>
          <w:lang w:val="es-419"/>
        </w:rPr>
        <w:t xml:space="preserve">online: &lt;http://leyes.senado.gov.co/proyectos/index.php/proyectos-ley/cuatrenio-2018-2022/2018-2019/article/236-por-medio-de-la-cual-se-establece-el-regimen-para-el-ejercicio-de-la-capacidad-legal-de-las-personas-con-discapacidad-mayores-de-edad&gt;. </w:t>
      </w:r>
      <w:r>
        <w:t>See section on Colombia.</w:t>
      </w:r>
    </w:p>
  </w:footnote>
  <w:footnote w:id="18">
    <w:p w14:paraId="0E248D55" w14:textId="70722572" w:rsidR="002774A4" w:rsidRPr="00532891" w:rsidRDefault="002774A4">
      <w:pPr>
        <w:pStyle w:val="FootnoteText"/>
      </w:pPr>
      <w:r>
        <w:rPr>
          <w:rStyle w:val="FootnoteReference"/>
        </w:rPr>
        <w:footnoteRef/>
      </w:r>
      <w:r>
        <w:t xml:space="preserve"> </w:t>
      </w:r>
      <w:r>
        <w:rPr>
          <w:i/>
        </w:rPr>
        <w:t xml:space="preserve">Legislative Decree No 1384: Legislative Decree that Recognizes and Regulates the Legal Capacity of Persons with Disabilities on Equal Basis, </w:t>
      </w:r>
      <w:r>
        <w:t xml:space="preserve">Peru, 3 September 2018, online: &lt;&lt;online </w:t>
      </w:r>
      <w:hyperlink r:id="rId3" w:history="1">
        <w:r w:rsidRPr="00CA63FA">
          <w:rPr>
            <w:rStyle w:val="Hyperlink"/>
          </w:rPr>
          <w:t>https://dk-media.s3.amazonaws.com/AA/AG/chrusp-biz/downloads/340835/Legislative_Decree_No_1384__Peruvian_legal_capacity_reform_.docx</w:t>
        </w:r>
      </w:hyperlink>
      <w:r>
        <w:t xml:space="preserve">&gt;.  </w:t>
      </w:r>
    </w:p>
  </w:footnote>
  <w:footnote w:id="19">
    <w:p w14:paraId="379E238E" w14:textId="66136B31" w:rsidR="002774A4" w:rsidRPr="00EA73AC" w:rsidRDefault="002774A4">
      <w:pPr>
        <w:pStyle w:val="FootnoteText"/>
      </w:pPr>
      <w:r>
        <w:rPr>
          <w:rStyle w:val="FootnoteReference"/>
        </w:rPr>
        <w:footnoteRef/>
      </w:r>
      <w:r>
        <w:t xml:space="preserve"> </w:t>
      </w:r>
      <w:proofErr w:type="spellStart"/>
      <w:r>
        <w:t>Sodis-Sociedad</w:t>
      </w:r>
      <w:proofErr w:type="spellEnd"/>
      <w:r>
        <w:t xml:space="preserve"> y </w:t>
      </w:r>
      <w:proofErr w:type="spellStart"/>
      <w:r>
        <w:t>Discapacidad</w:t>
      </w:r>
      <w:proofErr w:type="spellEnd"/>
      <w:r>
        <w:t xml:space="preserve">, “Commentary on Legislative Decree No 1384” at </w:t>
      </w:r>
      <w:proofErr w:type="gramStart"/>
      <w:r>
        <w:t>1</w:t>
      </w:r>
      <w:proofErr w:type="gramEnd"/>
      <w:r>
        <w:t xml:space="preserve">, &lt;online </w:t>
      </w:r>
      <w:hyperlink r:id="rId4" w:history="1">
        <w:r w:rsidRPr="00CA63FA">
          <w:rPr>
            <w:rStyle w:val="Hyperlink"/>
          </w:rPr>
          <w:t>https://dk-media.s3.amazonaws.com/AA/AG/chrusp-biz/downloads/340835/Legislative_Decree_No_1384__Peruvian_legal_capacity_reform_.docx</w:t>
        </w:r>
      </w:hyperlink>
      <w:r>
        <w:t xml:space="preserve">&gt;. </w:t>
      </w:r>
    </w:p>
  </w:footnote>
  <w:footnote w:id="20">
    <w:p w14:paraId="621F07F2" w14:textId="28E6C1AC" w:rsidR="002774A4" w:rsidRPr="00381D51" w:rsidRDefault="002774A4">
      <w:pPr>
        <w:pStyle w:val="FootnoteText"/>
      </w:pPr>
      <w:r>
        <w:rPr>
          <w:rStyle w:val="FootnoteReference"/>
        </w:rPr>
        <w:footnoteRef/>
      </w:r>
      <w:r>
        <w:t xml:space="preserve"> “Convention on the Rights of Persons with Disabilities” (last updated July 2019), online: </w:t>
      </w:r>
      <w:r>
        <w:rPr>
          <w:i/>
        </w:rPr>
        <w:t xml:space="preserve">United Nations Treaty Collection </w:t>
      </w:r>
      <w:r>
        <w:t>&lt;</w:t>
      </w:r>
      <w:r w:rsidRPr="00381D51">
        <w:t>https://treaties.un.org/Pages/ViewDetails.aspx?src=TREATY&amp;mtdsg_no=IV-15&amp;chapter=4&amp;clang=_en</w:t>
      </w:r>
      <w:r>
        <w:t xml:space="preserve">&gt;.  </w:t>
      </w:r>
    </w:p>
  </w:footnote>
  <w:footnote w:id="21">
    <w:p w14:paraId="1046696A" w14:textId="632BDF2B" w:rsidR="002774A4" w:rsidRPr="00A83FD7" w:rsidRDefault="002774A4">
      <w:pPr>
        <w:pStyle w:val="FootnoteText"/>
        <w:rPr>
          <w:lang w:val="es-419"/>
        </w:rPr>
      </w:pPr>
      <w:r>
        <w:rPr>
          <w:rStyle w:val="FootnoteReference"/>
        </w:rPr>
        <w:footnoteRef/>
      </w:r>
      <w:r w:rsidRPr="00A83FD7">
        <w:rPr>
          <w:lang w:val="es-419"/>
        </w:rPr>
        <w:t xml:space="preserve"> </w:t>
      </w:r>
      <w:proofErr w:type="spellStart"/>
      <w:r w:rsidRPr="00A83FD7">
        <w:rPr>
          <w:lang w:val="es-419"/>
        </w:rPr>
        <w:t>Sodis</w:t>
      </w:r>
      <w:proofErr w:type="spellEnd"/>
      <w:r w:rsidRPr="00A83FD7">
        <w:rPr>
          <w:lang w:val="es-419"/>
        </w:rPr>
        <w:t xml:space="preserve">-Sociedad y Discapacidad, </w:t>
      </w:r>
      <w:r w:rsidRPr="00A83FD7">
        <w:rPr>
          <w:i/>
          <w:lang w:val="es-419"/>
        </w:rPr>
        <w:t xml:space="preserve">supra </w:t>
      </w:r>
      <w:r w:rsidRPr="00A83FD7">
        <w:rPr>
          <w:lang w:val="es-419"/>
        </w:rPr>
        <w:t xml:space="preserve">note </w:t>
      </w:r>
      <w:r>
        <w:fldChar w:fldCharType="begin"/>
      </w:r>
      <w:r w:rsidRPr="00A83FD7">
        <w:rPr>
          <w:lang w:val="es-419"/>
        </w:rPr>
        <w:instrText xml:space="preserve"> NOTEREF _Ref15295303 \h </w:instrText>
      </w:r>
      <w:r>
        <w:fldChar w:fldCharType="separate"/>
      </w:r>
      <w:r w:rsidRPr="00A83FD7">
        <w:rPr>
          <w:lang w:val="es-419"/>
        </w:rPr>
        <w:t>19</w:t>
      </w:r>
      <w:r>
        <w:fldChar w:fldCharType="end"/>
      </w:r>
      <w:r w:rsidRPr="00A83FD7">
        <w:rPr>
          <w:lang w:val="es-419"/>
        </w:rPr>
        <w:t xml:space="preserve"> at 2.</w:t>
      </w:r>
    </w:p>
  </w:footnote>
  <w:footnote w:id="22">
    <w:p w14:paraId="5DD8C273" w14:textId="71B7A869" w:rsidR="002774A4" w:rsidRPr="00055837" w:rsidRDefault="002774A4">
      <w:pPr>
        <w:pStyle w:val="FootnoteText"/>
      </w:pPr>
      <w:r>
        <w:rPr>
          <w:rStyle w:val="FootnoteReference"/>
        </w:rPr>
        <w:footnoteRef/>
      </w:r>
      <w:r>
        <w:t xml:space="preserve"> See </w:t>
      </w:r>
      <w:r>
        <w:rPr>
          <w:i/>
        </w:rPr>
        <w:t xml:space="preserve">General Law on Persons </w:t>
      </w:r>
      <w:proofErr w:type="gramStart"/>
      <w:r>
        <w:rPr>
          <w:i/>
        </w:rPr>
        <w:t>With</w:t>
      </w:r>
      <w:proofErr w:type="gramEnd"/>
      <w:r>
        <w:rPr>
          <w:i/>
        </w:rPr>
        <w:t xml:space="preserve"> Disabilities (Law No 29973)</w:t>
      </w:r>
      <w:r>
        <w:t xml:space="preserve">, Peru, 14 June 2012, art 9.1, online: </w:t>
      </w:r>
      <w:r>
        <w:rPr>
          <w:i/>
        </w:rPr>
        <w:t xml:space="preserve">International Disability Alliance </w:t>
      </w:r>
      <w:r>
        <w:t>&lt;</w:t>
      </w:r>
      <w:r w:rsidRPr="00BB27E2">
        <w:t>http://www.internationaldisabilityalliance.org/sites/default/files/documents/peru_general_law_on_persons_with_disabilities.english.docx</w:t>
      </w:r>
      <w:r>
        <w:t>&gt;.</w:t>
      </w:r>
    </w:p>
  </w:footnote>
  <w:footnote w:id="23">
    <w:p w14:paraId="5B6BA7E9" w14:textId="78B4AB97" w:rsidR="002774A4" w:rsidRPr="00291E32" w:rsidRDefault="002774A4">
      <w:pPr>
        <w:pStyle w:val="FootnoteText"/>
      </w:pPr>
      <w:r>
        <w:rPr>
          <w:rStyle w:val="FootnoteReference"/>
        </w:rPr>
        <w:footnoteRef/>
      </w:r>
      <w:r>
        <w:t xml:space="preserve"> </w:t>
      </w:r>
      <w:r>
        <w:rPr>
          <w:i/>
        </w:rPr>
        <w:t xml:space="preserve">Ibid, </w:t>
      </w:r>
      <w:r>
        <w:t>“Final Additional Provisions: Second – Creation of a Commission to Review the Civil Code.”</w:t>
      </w:r>
    </w:p>
  </w:footnote>
  <w:footnote w:id="24">
    <w:p w14:paraId="24986373" w14:textId="709153F3" w:rsidR="002774A4" w:rsidRPr="00A83FD7" w:rsidRDefault="002774A4">
      <w:pPr>
        <w:pStyle w:val="FootnoteText"/>
        <w:rPr>
          <w:lang w:val="es-419"/>
        </w:rPr>
      </w:pPr>
      <w:r>
        <w:rPr>
          <w:rStyle w:val="FootnoteReference"/>
        </w:rPr>
        <w:footnoteRef/>
      </w:r>
      <w:r w:rsidRPr="00A83FD7">
        <w:rPr>
          <w:lang w:val="es-419"/>
        </w:rPr>
        <w:t xml:space="preserve"> </w:t>
      </w:r>
      <w:proofErr w:type="spellStart"/>
      <w:r w:rsidRPr="00A83FD7">
        <w:rPr>
          <w:lang w:val="es-419"/>
        </w:rPr>
        <w:t>See</w:t>
      </w:r>
      <w:proofErr w:type="spellEnd"/>
      <w:r w:rsidRPr="00A83FD7">
        <w:rPr>
          <w:lang w:val="es-419"/>
        </w:rPr>
        <w:t xml:space="preserve"> </w:t>
      </w:r>
      <w:proofErr w:type="spellStart"/>
      <w:r w:rsidRPr="00A83FD7">
        <w:rPr>
          <w:lang w:val="es-419"/>
        </w:rPr>
        <w:t>Sodis</w:t>
      </w:r>
      <w:proofErr w:type="spellEnd"/>
      <w:r w:rsidRPr="00A83FD7">
        <w:rPr>
          <w:lang w:val="es-419"/>
        </w:rPr>
        <w:t xml:space="preserve">-Sociedad y Discapacidad, </w:t>
      </w:r>
      <w:r w:rsidRPr="00A83FD7">
        <w:rPr>
          <w:i/>
          <w:lang w:val="es-419"/>
        </w:rPr>
        <w:t xml:space="preserve">supra </w:t>
      </w:r>
      <w:r w:rsidRPr="00A83FD7">
        <w:rPr>
          <w:lang w:val="es-419"/>
        </w:rPr>
        <w:t xml:space="preserve">note </w:t>
      </w:r>
      <w:r>
        <w:fldChar w:fldCharType="begin"/>
      </w:r>
      <w:r w:rsidRPr="00A83FD7">
        <w:rPr>
          <w:lang w:val="es-419"/>
        </w:rPr>
        <w:instrText xml:space="preserve"> NOTEREF _Ref15295303 \h </w:instrText>
      </w:r>
      <w:r>
        <w:fldChar w:fldCharType="separate"/>
      </w:r>
      <w:r w:rsidRPr="00A83FD7">
        <w:rPr>
          <w:lang w:val="es-419"/>
        </w:rPr>
        <w:t>19</w:t>
      </w:r>
      <w:r>
        <w:fldChar w:fldCharType="end"/>
      </w:r>
      <w:r w:rsidRPr="00A83FD7">
        <w:rPr>
          <w:lang w:val="es-419"/>
        </w:rPr>
        <w:t xml:space="preserve"> at 2.</w:t>
      </w:r>
    </w:p>
  </w:footnote>
  <w:footnote w:id="25">
    <w:p w14:paraId="499FD5A4" w14:textId="3869D916" w:rsidR="002774A4" w:rsidRDefault="002774A4">
      <w:pPr>
        <w:pStyle w:val="FootnoteText"/>
      </w:pPr>
      <w:r>
        <w:rPr>
          <w:rStyle w:val="FootnoteReference"/>
        </w:rPr>
        <w:footnoteRef/>
      </w:r>
      <w:r>
        <w:t xml:space="preserve"> Tina </w:t>
      </w:r>
      <w:proofErr w:type="spellStart"/>
      <w:r>
        <w:t>Minkowitz</w:t>
      </w:r>
      <w:proofErr w:type="spellEnd"/>
      <w:r>
        <w:t xml:space="preserve">, Esq., “Peruvian Legal Capacity Reform – Celebration and Analysis” (19 October 2018), online: </w:t>
      </w:r>
      <w:r>
        <w:rPr>
          <w:i/>
        </w:rPr>
        <w:t xml:space="preserve">Mad in America </w:t>
      </w:r>
      <w:r>
        <w:t>&lt;</w:t>
      </w:r>
      <w:r w:rsidRPr="00C21753">
        <w:t>https://www.madinamerica.com/2018/10/peruvian-legal-capacity-reform-celebration-and-analysis/</w:t>
      </w:r>
      <w:r>
        <w:t>&gt;.</w:t>
      </w:r>
    </w:p>
  </w:footnote>
  <w:footnote w:id="26">
    <w:p w14:paraId="0E097FD4" w14:textId="03E584BB" w:rsidR="002774A4" w:rsidRPr="005A7DC9" w:rsidRDefault="002774A4">
      <w:pPr>
        <w:pStyle w:val="FootnoteText"/>
        <w:rPr>
          <w:i/>
        </w:rPr>
      </w:pPr>
      <w:r>
        <w:rPr>
          <w:rStyle w:val="FootnoteReference"/>
        </w:rPr>
        <w:footnoteRef/>
      </w:r>
      <w:r>
        <w:t xml:space="preserve"> </w:t>
      </w:r>
      <w:r>
        <w:rPr>
          <w:i/>
        </w:rPr>
        <w:t>Ibid.</w:t>
      </w:r>
    </w:p>
  </w:footnote>
  <w:footnote w:id="27">
    <w:p w14:paraId="4E0DA41D" w14:textId="6A443808" w:rsidR="002774A4" w:rsidRPr="00874341" w:rsidRDefault="002774A4">
      <w:pPr>
        <w:pStyle w:val="FootnoteText"/>
      </w:pPr>
      <w:r>
        <w:rPr>
          <w:rStyle w:val="FootnoteReference"/>
        </w:rPr>
        <w:footnoteRef/>
      </w:r>
      <w:r>
        <w:t xml:space="preserve"> </w:t>
      </w:r>
      <w:r>
        <w:rPr>
          <w:i/>
        </w:rPr>
        <w:t xml:space="preserve">Peruvian Civil Code, supra </w:t>
      </w:r>
      <w:r>
        <w:t xml:space="preserve">note </w:t>
      </w:r>
      <w:r>
        <w:fldChar w:fldCharType="begin"/>
      </w:r>
      <w:r>
        <w:instrText xml:space="preserve"> NOTEREF _Ref15295350 \h </w:instrText>
      </w:r>
      <w:r>
        <w:fldChar w:fldCharType="separate"/>
      </w:r>
      <w:r>
        <w:t>18</w:t>
      </w:r>
      <w:r>
        <w:fldChar w:fldCharType="end"/>
      </w:r>
      <w:r>
        <w:t>,</w:t>
      </w:r>
      <w:r>
        <w:rPr>
          <w:i/>
        </w:rPr>
        <w:t xml:space="preserve"> </w:t>
      </w:r>
      <w:r>
        <w:t>art 42.</w:t>
      </w:r>
    </w:p>
  </w:footnote>
  <w:footnote w:id="28">
    <w:p w14:paraId="1ADB11D3" w14:textId="534BF204" w:rsidR="002774A4" w:rsidRPr="00874341" w:rsidRDefault="002774A4">
      <w:pPr>
        <w:pStyle w:val="FootnoteText"/>
      </w:pPr>
      <w:r>
        <w:rPr>
          <w:rStyle w:val="FootnoteReference"/>
        </w:rPr>
        <w:footnoteRef/>
      </w:r>
      <w:r>
        <w:t xml:space="preserve"> </w:t>
      </w:r>
      <w:r>
        <w:rPr>
          <w:i/>
        </w:rPr>
        <w:t xml:space="preserve">Ibid, </w:t>
      </w:r>
      <w:r>
        <w:t>arts 659-A-B.</w:t>
      </w:r>
    </w:p>
  </w:footnote>
  <w:footnote w:id="29">
    <w:p w14:paraId="54C2CE51" w14:textId="546EE6D4" w:rsidR="002774A4" w:rsidRPr="00EC73CD" w:rsidRDefault="002774A4">
      <w:pPr>
        <w:pStyle w:val="FootnoteText"/>
      </w:pPr>
      <w:r>
        <w:rPr>
          <w:rStyle w:val="FootnoteReference"/>
        </w:rPr>
        <w:footnoteRef/>
      </w:r>
      <w:r>
        <w:t xml:space="preserve"> </w:t>
      </w:r>
      <w:r>
        <w:rPr>
          <w:i/>
        </w:rPr>
        <w:t xml:space="preserve">Ibid, </w:t>
      </w:r>
      <w:r>
        <w:t>art 659-</w:t>
      </w:r>
      <w:proofErr w:type="gramStart"/>
      <w:r>
        <w:t>B.</w:t>
      </w:r>
      <w:proofErr w:type="gramEnd"/>
    </w:p>
  </w:footnote>
  <w:footnote w:id="30">
    <w:p w14:paraId="3C9685F5" w14:textId="73E03B7F" w:rsidR="002774A4" w:rsidRPr="00AE32CA" w:rsidRDefault="002774A4">
      <w:pPr>
        <w:pStyle w:val="FootnoteText"/>
      </w:pPr>
      <w:r>
        <w:rPr>
          <w:rStyle w:val="FootnoteReference"/>
        </w:rPr>
        <w:footnoteRef/>
      </w:r>
      <w:r>
        <w:t xml:space="preserve"> </w:t>
      </w:r>
      <w:r>
        <w:rPr>
          <w:i/>
        </w:rPr>
        <w:t>Ibid.</w:t>
      </w:r>
    </w:p>
  </w:footnote>
  <w:footnote w:id="31">
    <w:p w14:paraId="1FE46B3A" w14:textId="1F42E304" w:rsidR="002774A4" w:rsidRPr="001D7D02" w:rsidRDefault="002774A4">
      <w:pPr>
        <w:pStyle w:val="FootnoteText"/>
      </w:pPr>
      <w:r>
        <w:rPr>
          <w:rStyle w:val="FootnoteReference"/>
        </w:rPr>
        <w:footnoteRef/>
      </w:r>
      <w:r>
        <w:t xml:space="preserve"> </w:t>
      </w:r>
      <w:r>
        <w:rPr>
          <w:i/>
        </w:rPr>
        <w:t>Ibid.</w:t>
      </w:r>
    </w:p>
  </w:footnote>
  <w:footnote w:id="32">
    <w:p w14:paraId="08279F0F" w14:textId="4CD79F77" w:rsidR="002774A4" w:rsidRPr="0016347A" w:rsidRDefault="002774A4">
      <w:pPr>
        <w:pStyle w:val="FootnoteText"/>
      </w:pPr>
      <w:r>
        <w:rPr>
          <w:rStyle w:val="FootnoteReference"/>
        </w:rPr>
        <w:footnoteRef/>
      </w:r>
      <w:r>
        <w:t xml:space="preserve"> </w:t>
      </w:r>
      <w:r>
        <w:rPr>
          <w:i/>
        </w:rPr>
        <w:t xml:space="preserve">Ibid, </w:t>
      </w:r>
      <w:r>
        <w:t>art 659-</w:t>
      </w:r>
      <w:proofErr w:type="gramStart"/>
      <w:r>
        <w:t>C.</w:t>
      </w:r>
      <w:proofErr w:type="gramEnd"/>
    </w:p>
  </w:footnote>
  <w:footnote w:id="33">
    <w:p w14:paraId="11E08F89" w14:textId="43BFFAB6" w:rsidR="002774A4" w:rsidRPr="009D658A" w:rsidRDefault="002774A4">
      <w:pPr>
        <w:pStyle w:val="FootnoteText"/>
        <w:rPr>
          <w:i/>
        </w:rPr>
      </w:pPr>
      <w:r>
        <w:rPr>
          <w:rStyle w:val="FootnoteReference"/>
        </w:rPr>
        <w:footnoteRef/>
      </w:r>
      <w:r>
        <w:t xml:space="preserve"> </w:t>
      </w:r>
      <w:r>
        <w:rPr>
          <w:i/>
        </w:rPr>
        <w:t>Ibid.</w:t>
      </w:r>
    </w:p>
  </w:footnote>
  <w:footnote w:id="34">
    <w:p w14:paraId="4E49D52C" w14:textId="3D324F24" w:rsidR="002774A4" w:rsidRPr="00874341" w:rsidRDefault="002774A4">
      <w:pPr>
        <w:pStyle w:val="FootnoteText"/>
      </w:pPr>
      <w:r>
        <w:rPr>
          <w:rStyle w:val="FootnoteReference"/>
        </w:rPr>
        <w:footnoteRef/>
      </w:r>
      <w:r>
        <w:t xml:space="preserve"> </w:t>
      </w:r>
      <w:r>
        <w:rPr>
          <w:i/>
        </w:rPr>
        <w:t xml:space="preserve">Ibid, </w:t>
      </w:r>
      <w:r>
        <w:t>art 659-</w:t>
      </w:r>
      <w:proofErr w:type="gramStart"/>
      <w:r>
        <w:t>D.</w:t>
      </w:r>
      <w:proofErr w:type="gramEnd"/>
    </w:p>
  </w:footnote>
  <w:footnote w:id="35">
    <w:p w14:paraId="5D92F82A" w14:textId="1EC94AC7" w:rsidR="002774A4" w:rsidRPr="00AA22D5" w:rsidRDefault="002774A4">
      <w:pPr>
        <w:pStyle w:val="FootnoteText"/>
      </w:pPr>
      <w:r>
        <w:rPr>
          <w:rStyle w:val="FootnoteReference"/>
        </w:rPr>
        <w:footnoteRef/>
      </w:r>
      <w:r>
        <w:t xml:space="preserve"> </w:t>
      </w:r>
      <w:r>
        <w:rPr>
          <w:i/>
        </w:rPr>
        <w:t>Ibid</w:t>
      </w:r>
      <w:r w:rsidRPr="009D658A">
        <w:t>, art 659-</w:t>
      </w:r>
      <w:proofErr w:type="gramStart"/>
      <w:r w:rsidRPr="009D658A">
        <w:t>F.</w:t>
      </w:r>
      <w:proofErr w:type="gramEnd"/>
    </w:p>
  </w:footnote>
  <w:footnote w:id="36">
    <w:p w14:paraId="49D9D867" w14:textId="7C02A58D" w:rsidR="002774A4" w:rsidRPr="00A20E99" w:rsidRDefault="002774A4">
      <w:pPr>
        <w:pStyle w:val="FootnoteText"/>
        <w:rPr>
          <w:i/>
        </w:rPr>
      </w:pPr>
      <w:r>
        <w:rPr>
          <w:rStyle w:val="FootnoteReference"/>
        </w:rPr>
        <w:footnoteRef/>
      </w:r>
      <w:r>
        <w:t xml:space="preserve"> </w:t>
      </w:r>
      <w:r>
        <w:rPr>
          <w:i/>
        </w:rPr>
        <w:t>Ibid.</w:t>
      </w:r>
    </w:p>
  </w:footnote>
  <w:footnote w:id="37">
    <w:p w14:paraId="6311BE9A" w14:textId="1D020728" w:rsidR="002774A4" w:rsidRPr="00392BFC" w:rsidRDefault="002774A4">
      <w:pPr>
        <w:pStyle w:val="FootnoteText"/>
      </w:pPr>
      <w:r>
        <w:rPr>
          <w:rStyle w:val="FootnoteReference"/>
        </w:rPr>
        <w:footnoteRef/>
      </w:r>
      <w:r>
        <w:t xml:space="preserve"> </w:t>
      </w:r>
      <w:r>
        <w:rPr>
          <w:i/>
        </w:rPr>
        <w:t xml:space="preserve">Ibid, </w:t>
      </w:r>
      <w:r>
        <w:t>art 659-</w:t>
      </w:r>
      <w:proofErr w:type="gramStart"/>
      <w:r>
        <w:t>E.</w:t>
      </w:r>
      <w:proofErr w:type="gramEnd"/>
    </w:p>
  </w:footnote>
  <w:footnote w:id="38">
    <w:p w14:paraId="379D0467" w14:textId="1DF17A09" w:rsidR="002774A4" w:rsidRPr="00874341" w:rsidRDefault="002774A4">
      <w:pPr>
        <w:pStyle w:val="FootnoteText"/>
      </w:pPr>
      <w:r>
        <w:rPr>
          <w:rStyle w:val="FootnoteReference"/>
        </w:rPr>
        <w:footnoteRef/>
      </w:r>
      <w:r>
        <w:t xml:space="preserve"> </w:t>
      </w:r>
      <w:r>
        <w:rPr>
          <w:i/>
        </w:rPr>
        <w:t>Ibid.</w:t>
      </w:r>
    </w:p>
  </w:footnote>
  <w:footnote w:id="39">
    <w:p w14:paraId="713884D1" w14:textId="685CD81C" w:rsidR="002774A4" w:rsidRPr="00662E41" w:rsidRDefault="002774A4">
      <w:pPr>
        <w:pStyle w:val="FootnoteText"/>
      </w:pPr>
      <w:r>
        <w:rPr>
          <w:rStyle w:val="FootnoteReference"/>
        </w:rPr>
        <w:footnoteRef/>
      </w:r>
      <w:r>
        <w:t xml:space="preserve"> </w:t>
      </w:r>
      <w:r>
        <w:rPr>
          <w:i/>
        </w:rPr>
        <w:t>Ibid.</w:t>
      </w:r>
    </w:p>
  </w:footnote>
  <w:footnote w:id="40">
    <w:p w14:paraId="3EE913C0" w14:textId="6F439CB8" w:rsidR="002774A4" w:rsidRPr="00662E41" w:rsidRDefault="002774A4">
      <w:pPr>
        <w:pStyle w:val="FootnoteText"/>
      </w:pPr>
      <w:r>
        <w:rPr>
          <w:rStyle w:val="FootnoteReference"/>
        </w:rPr>
        <w:footnoteRef/>
      </w:r>
      <w:r>
        <w:t xml:space="preserve"> </w:t>
      </w:r>
      <w:r>
        <w:rPr>
          <w:i/>
        </w:rPr>
        <w:t>Ibid.</w:t>
      </w:r>
    </w:p>
  </w:footnote>
  <w:footnote w:id="41">
    <w:p w14:paraId="5BBCE416" w14:textId="56323522" w:rsidR="002774A4" w:rsidRPr="00185C17" w:rsidRDefault="002774A4">
      <w:pPr>
        <w:pStyle w:val="FootnoteText"/>
      </w:pPr>
      <w:r>
        <w:rPr>
          <w:rStyle w:val="FootnoteReference"/>
        </w:rPr>
        <w:footnoteRef/>
      </w:r>
      <w:r>
        <w:t xml:space="preserve"> </w:t>
      </w:r>
      <w:r>
        <w:rPr>
          <w:i/>
        </w:rPr>
        <w:t xml:space="preserve">Ibid, </w:t>
      </w:r>
      <w:r>
        <w:t>art 659-</w:t>
      </w:r>
      <w:proofErr w:type="gramStart"/>
      <w:r>
        <w:t>B.</w:t>
      </w:r>
      <w:proofErr w:type="gramEnd"/>
    </w:p>
  </w:footnote>
  <w:footnote w:id="42">
    <w:p w14:paraId="58D38844" w14:textId="79D66DF4" w:rsidR="002774A4" w:rsidRPr="00A83FD7" w:rsidRDefault="002774A4">
      <w:pPr>
        <w:pStyle w:val="FootnoteText"/>
        <w:rPr>
          <w:lang w:val="es-419"/>
        </w:rPr>
      </w:pPr>
      <w:r>
        <w:rPr>
          <w:rStyle w:val="FootnoteReference"/>
        </w:rPr>
        <w:footnoteRef/>
      </w:r>
      <w:r w:rsidRPr="00A83FD7">
        <w:rPr>
          <w:lang w:val="es-419"/>
        </w:rPr>
        <w:t xml:space="preserve"> </w:t>
      </w:r>
      <w:proofErr w:type="spellStart"/>
      <w:r w:rsidRPr="00A83FD7">
        <w:rPr>
          <w:lang w:val="es-419"/>
        </w:rPr>
        <w:t>Minkowitz</w:t>
      </w:r>
      <w:proofErr w:type="spellEnd"/>
      <w:r w:rsidRPr="00A83FD7">
        <w:rPr>
          <w:lang w:val="es-419"/>
        </w:rPr>
        <w:t xml:space="preserve">, </w:t>
      </w:r>
      <w:r w:rsidRPr="00A83FD7">
        <w:rPr>
          <w:i/>
          <w:lang w:val="es-419"/>
        </w:rPr>
        <w:t xml:space="preserve">supra </w:t>
      </w:r>
      <w:r w:rsidRPr="00A83FD7">
        <w:rPr>
          <w:lang w:val="es-419"/>
        </w:rPr>
        <w:t xml:space="preserve">note </w:t>
      </w:r>
      <w:r>
        <w:fldChar w:fldCharType="begin"/>
      </w:r>
      <w:r w:rsidRPr="00A83FD7">
        <w:rPr>
          <w:lang w:val="es-419"/>
        </w:rPr>
        <w:instrText xml:space="preserve"> NOTEREF _Ref15295398 \h </w:instrText>
      </w:r>
      <w:r>
        <w:fldChar w:fldCharType="separate"/>
      </w:r>
      <w:r w:rsidRPr="00A83FD7">
        <w:rPr>
          <w:lang w:val="es-419"/>
        </w:rPr>
        <w:t>25</w:t>
      </w:r>
      <w:r>
        <w:fldChar w:fldCharType="end"/>
      </w:r>
      <w:r w:rsidRPr="00A83FD7">
        <w:rPr>
          <w:lang w:val="es-419"/>
        </w:rPr>
        <w:t>.</w:t>
      </w:r>
    </w:p>
  </w:footnote>
  <w:footnote w:id="43">
    <w:p w14:paraId="65103C93" w14:textId="3C7EC87D" w:rsidR="002774A4" w:rsidRPr="00A83FD7" w:rsidRDefault="002774A4">
      <w:pPr>
        <w:pStyle w:val="FootnoteText"/>
        <w:rPr>
          <w:i/>
          <w:lang w:val="es-419"/>
        </w:rPr>
      </w:pPr>
      <w:r>
        <w:rPr>
          <w:rStyle w:val="FootnoteReference"/>
        </w:rPr>
        <w:footnoteRef/>
      </w:r>
      <w:r w:rsidRPr="00A83FD7">
        <w:rPr>
          <w:lang w:val="es-419"/>
        </w:rPr>
        <w:t xml:space="preserve"> </w:t>
      </w:r>
      <w:proofErr w:type="spellStart"/>
      <w:r w:rsidRPr="00A83FD7">
        <w:rPr>
          <w:i/>
          <w:lang w:val="es-419"/>
        </w:rPr>
        <w:t>Ibid</w:t>
      </w:r>
      <w:proofErr w:type="spellEnd"/>
      <w:r w:rsidRPr="00A83FD7">
        <w:rPr>
          <w:i/>
          <w:lang w:val="es-419"/>
        </w:rPr>
        <w:t>.</w:t>
      </w:r>
    </w:p>
  </w:footnote>
  <w:footnote w:id="44">
    <w:p w14:paraId="48F8E836" w14:textId="3A50952A" w:rsidR="002774A4" w:rsidRPr="00A83FD7" w:rsidRDefault="002774A4">
      <w:pPr>
        <w:pStyle w:val="FootnoteText"/>
        <w:rPr>
          <w:i/>
          <w:lang w:val="es-419"/>
        </w:rPr>
      </w:pPr>
      <w:r>
        <w:rPr>
          <w:rStyle w:val="FootnoteReference"/>
        </w:rPr>
        <w:footnoteRef/>
      </w:r>
      <w:r w:rsidRPr="00A83FD7">
        <w:rPr>
          <w:lang w:val="es-419"/>
        </w:rPr>
        <w:t xml:space="preserve"> </w:t>
      </w:r>
      <w:proofErr w:type="spellStart"/>
      <w:r w:rsidRPr="00A83FD7">
        <w:rPr>
          <w:i/>
          <w:lang w:val="es-419"/>
        </w:rPr>
        <w:t>Ibid</w:t>
      </w:r>
      <w:proofErr w:type="spellEnd"/>
      <w:r w:rsidRPr="00A83FD7">
        <w:rPr>
          <w:i/>
          <w:lang w:val="es-419"/>
        </w:rPr>
        <w:t>.</w:t>
      </w:r>
    </w:p>
  </w:footnote>
  <w:footnote w:id="45">
    <w:p w14:paraId="5D5F83AE" w14:textId="5F7621BC" w:rsidR="002774A4" w:rsidRPr="00B16AD7" w:rsidRDefault="002774A4">
      <w:pPr>
        <w:pStyle w:val="FootnoteText"/>
      </w:pPr>
      <w:r>
        <w:rPr>
          <w:rStyle w:val="FootnoteReference"/>
        </w:rPr>
        <w:footnoteRef/>
      </w:r>
      <w:r>
        <w:t xml:space="preserve"> </w:t>
      </w:r>
      <w:r>
        <w:rPr>
          <w:i/>
        </w:rPr>
        <w:t>Ibid.</w:t>
      </w:r>
    </w:p>
  </w:footnote>
  <w:footnote w:id="46">
    <w:p w14:paraId="6F950DED" w14:textId="4D9D4882" w:rsidR="002774A4" w:rsidRPr="00C378D4" w:rsidRDefault="002774A4">
      <w:pPr>
        <w:pStyle w:val="FootnoteText"/>
        <w:rPr>
          <w:i/>
        </w:rPr>
      </w:pPr>
      <w:r>
        <w:rPr>
          <w:rStyle w:val="FootnoteReference"/>
        </w:rPr>
        <w:footnoteRef/>
      </w:r>
      <w:r>
        <w:t xml:space="preserve"> </w:t>
      </w:r>
      <w:r>
        <w:rPr>
          <w:i/>
        </w:rPr>
        <w:t>Ibid.</w:t>
      </w:r>
    </w:p>
  </w:footnote>
  <w:footnote w:id="47">
    <w:p w14:paraId="2F63E8B1" w14:textId="7B3A428D" w:rsidR="002774A4" w:rsidRPr="00392B39" w:rsidRDefault="002774A4">
      <w:pPr>
        <w:pStyle w:val="FootnoteText"/>
      </w:pPr>
      <w:r>
        <w:rPr>
          <w:rStyle w:val="FootnoteReference"/>
        </w:rPr>
        <w:footnoteRef/>
      </w:r>
      <w:r>
        <w:t xml:space="preserve"> Antonio Martinez-</w:t>
      </w:r>
      <w:proofErr w:type="spellStart"/>
      <w:r>
        <w:t>Pujalte</w:t>
      </w:r>
      <w:proofErr w:type="spellEnd"/>
      <w:r>
        <w:t>, “Legal Capacity and Supported Decision-Making: Lessons from Some Recent Legal Reforms” (2019) 8:4 Laws 1 at 17, online: &lt;</w:t>
      </w:r>
      <w:r w:rsidRPr="00CB0DD3">
        <w:t xml:space="preserve"> </w:t>
      </w:r>
      <w:hyperlink r:id="rId5" w:history="1">
        <w:r w:rsidRPr="00CA63FA">
          <w:rPr>
            <w:rStyle w:val="Hyperlink"/>
          </w:rPr>
          <w:t>https://www.google.com/url?sa=t&amp;rct=j&amp;q=&amp;esrc=s&amp;source=web&amp;cd=2&amp;ved=2ahUKEwiT8__J8NnjAhXd8qYKHRutBm4QFjABegQIABAC&amp;url=https%3A%2F%2Fwww.mdpi.com%2F2075-471X%2F8%2F1%2F4%2Fpdf&amp;usg=AOvVaw27oDRzj2bXo1i4LG8-x81I</w:t>
        </w:r>
      </w:hyperlink>
      <w:r>
        <w:t xml:space="preserve">&gt;. </w:t>
      </w:r>
    </w:p>
  </w:footnote>
  <w:footnote w:id="48">
    <w:p w14:paraId="0B821B88" w14:textId="3594CF70" w:rsidR="002774A4" w:rsidRPr="00B14B9B" w:rsidRDefault="002774A4">
      <w:pPr>
        <w:pStyle w:val="FootnoteText"/>
      </w:pPr>
      <w:r>
        <w:rPr>
          <w:rStyle w:val="FootnoteReference"/>
        </w:rPr>
        <w:footnoteRef/>
      </w:r>
      <w:r>
        <w:t xml:space="preserve"> “Peru: Milestone disability reforms lead the way for other States, says UN expert” (4 September 2018), online: </w:t>
      </w:r>
      <w:r>
        <w:rPr>
          <w:i/>
        </w:rPr>
        <w:t xml:space="preserve">United Nations Human Rights Office of the High Commissioner </w:t>
      </w:r>
      <w:r>
        <w:t>&lt;</w:t>
      </w:r>
      <w:r w:rsidRPr="00B14B9B">
        <w:t>https://www.ohchr.org/en/NewsEvents/Pages/DisplayNews.aspx?NewsID=23501&amp;LangID=E</w:t>
      </w:r>
      <w:r>
        <w:t xml:space="preserve">&gt;.  </w:t>
      </w:r>
    </w:p>
  </w:footnote>
  <w:footnote w:id="49">
    <w:p w14:paraId="12F0E9FA" w14:textId="205ACCB3" w:rsidR="002774A4" w:rsidRDefault="002774A4" w:rsidP="006A0212">
      <w:pPr>
        <w:pStyle w:val="FootnoteText"/>
      </w:pPr>
      <w:r>
        <w:rPr>
          <w:rStyle w:val="FootnoteReference"/>
        </w:rPr>
        <w:footnoteRef/>
      </w:r>
      <w:r>
        <w:t xml:space="preserve"> </w:t>
      </w:r>
      <w:r>
        <w:rPr>
          <w:i/>
        </w:rPr>
        <w:t xml:space="preserve">Peruvian Civil Code, supra </w:t>
      </w:r>
      <w:r>
        <w:t xml:space="preserve">note </w:t>
      </w:r>
      <w:r>
        <w:fldChar w:fldCharType="begin"/>
      </w:r>
      <w:r>
        <w:instrText xml:space="preserve"> NOTEREF _Ref15295350 \h </w:instrText>
      </w:r>
      <w:r>
        <w:fldChar w:fldCharType="separate"/>
      </w:r>
      <w:r>
        <w:t>18</w:t>
      </w:r>
      <w:r>
        <w:fldChar w:fldCharType="end"/>
      </w:r>
      <w:r>
        <w:t>, art 659-F.</w:t>
      </w:r>
    </w:p>
  </w:footnote>
  <w:footnote w:id="50">
    <w:p w14:paraId="3F4CE95F" w14:textId="7ED7EBE5" w:rsidR="002774A4" w:rsidRPr="00BE13FB" w:rsidRDefault="002774A4" w:rsidP="006A0212">
      <w:pPr>
        <w:pStyle w:val="FootnoteText"/>
        <w:rPr>
          <w:i/>
        </w:rPr>
      </w:pPr>
      <w:r>
        <w:rPr>
          <w:rStyle w:val="FootnoteReference"/>
        </w:rPr>
        <w:footnoteRef/>
      </w:r>
      <w:r>
        <w:t xml:space="preserve"> See Committee on the Rights of Persons with Disabilities, “General comment No.1,” </w:t>
      </w:r>
      <w:r>
        <w:rPr>
          <w:i/>
        </w:rPr>
        <w:t xml:space="preserve">supra </w:t>
      </w:r>
      <w:r>
        <w:t xml:space="preserve">note </w:t>
      </w:r>
      <w:r>
        <w:fldChar w:fldCharType="begin"/>
      </w:r>
      <w:r>
        <w:instrText xml:space="preserve"> NOTEREF _Ref15295251 \h </w:instrText>
      </w:r>
      <w:r>
        <w:fldChar w:fldCharType="separate"/>
      </w:r>
      <w:proofErr w:type="gramStart"/>
      <w:r>
        <w:t>7</w:t>
      </w:r>
      <w:proofErr w:type="gramEnd"/>
      <w:r>
        <w:fldChar w:fldCharType="end"/>
      </w:r>
      <w:r>
        <w:t xml:space="preserve"> at para 17.</w:t>
      </w:r>
    </w:p>
  </w:footnote>
  <w:footnote w:id="51">
    <w:p w14:paraId="66ACCE3E" w14:textId="57E2B2A5" w:rsidR="002774A4" w:rsidRDefault="002774A4">
      <w:pPr>
        <w:pStyle w:val="FootnoteText"/>
      </w:pPr>
      <w:r>
        <w:rPr>
          <w:rStyle w:val="FootnoteReference"/>
        </w:rPr>
        <w:footnoteRef/>
      </w:r>
      <w:r>
        <w:t xml:space="preserve"> See Committee on the Rights of Persons with Disabilities, “General comment No.1,” </w:t>
      </w:r>
      <w:r>
        <w:rPr>
          <w:i/>
        </w:rPr>
        <w:t xml:space="preserve">supra </w:t>
      </w:r>
      <w:r>
        <w:t xml:space="preserve">note </w:t>
      </w:r>
      <w:r>
        <w:fldChar w:fldCharType="begin"/>
      </w:r>
      <w:r>
        <w:instrText xml:space="preserve"> NOTEREF _Ref15295251 \h </w:instrText>
      </w:r>
      <w:r>
        <w:fldChar w:fldCharType="separate"/>
      </w:r>
      <w:proofErr w:type="gramStart"/>
      <w:r>
        <w:t>7</w:t>
      </w:r>
      <w:proofErr w:type="gramEnd"/>
      <w:r>
        <w:fldChar w:fldCharType="end"/>
      </w:r>
      <w:r>
        <w:t xml:space="preserve"> at para 18.</w:t>
      </w:r>
    </w:p>
  </w:footnote>
  <w:footnote w:id="52">
    <w:p w14:paraId="24075C2A" w14:textId="399A815A" w:rsidR="002774A4" w:rsidRPr="007D03F3" w:rsidRDefault="002774A4" w:rsidP="00910E19">
      <w:pPr>
        <w:pStyle w:val="FootnoteText"/>
      </w:pPr>
      <w:r>
        <w:rPr>
          <w:rStyle w:val="FootnoteReference"/>
        </w:rPr>
        <w:footnoteRef/>
      </w:r>
      <w:r>
        <w:t xml:space="preserve"> Martinez-</w:t>
      </w:r>
      <w:proofErr w:type="spellStart"/>
      <w:r>
        <w:t>Pujalte</w:t>
      </w:r>
      <w:proofErr w:type="spellEnd"/>
      <w:r>
        <w:t xml:space="preserve">, </w:t>
      </w:r>
      <w:r>
        <w:rPr>
          <w:i/>
        </w:rPr>
        <w:t xml:space="preserve">supra </w:t>
      </w:r>
      <w:r>
        <w:t xml:space="preserve">note </w:t>
      </w:r>
      <w:r>
        <w:fldChar w:fldCharType="begin"/>
      </w:r>
      <w:r>
        <w:instrText xml:space="preserve"> NOTEREF _Ref15295460 \h </w:instrText>
      </w:r>
      <w:r>
        <w:fldChar w:fldCharType="separate"/>
      </w:r>
      <w:r>
        <w:t>47</w:t>
      </w:r>
      <w:r>
        <w:fldChar w:fldCharType="end"/>
      </w:r>
      <w:r>
        <w:t xml:space="preserve"> at 17.</w:t>
      </w:r>
    </w:p>
  </w:footnote>
  <w:footnote w:id="53">
    <w:p w14:paraId="11402FB9" w14:textId="67563CB0" w:rsidR="002774A4" w:rsidRPr="001F1D13" w:rsidRDefault="002774A4">
      <w:pPr>
        <w:pStyle w:val="FootnoteText"/>
      </w:pPr>
      <w:r>
        <w:rPr>
          <w:rStyle w:val="FootnoteReference"/>
        </w:rPr>
        <w:footnoteRef/>
      </w:r>
      <w:r>
        <w:t xml:space="preserve"> </w:t>
      </w:r>
      <w:r>
        <w:rPr>
          <w:i/>
        </w:rPr>
        <w:t xml:space="preserve">Peruvian Civil Code, supra </w:t>
      </w:r>
      <w:r>
        <w:t xml:space="preserve">note </w:t>
      </w:r>
      <w:r>
        <w:fldChar w:fldCharType="begin"/>
      </w:r>
      <w:r>
        <w:instrText xml:space="preserve"> NOTEREF _Ref15295350 \h </w:instrText>
      </w:r>
      <w:r>
        <w:fldChar w:fldCharType="separate"/>
      </w:r>
      <w:r>
        <w:t>18</w:t>
      </w:r>
      <w:r>
        <w:fldChar w:fldCharType="end"/>
      </w:r>
      <w:r>
        <w:t>, art 659-B.</w:t>
      </w:r>
    </w:p>
  </w:footnote>
  <w:footnote w:id="54">
    <w:p w14:paraId="65D48A7E" w14:textId="60E93B06" w:rsidR="002774A4" w:rsidRPr="00C2063A" w:rsidRDefault="002774A4">
      <w:pPr>
        <w:pStyle w:val="FootnoteText"/>
      </w:pPr>
      <w:r>
        <w:rPr>
          <w:rStyle w:val="FootnoteReference"/>
        </w:rPr>
        <w:footnoteRef/>
      </w:r>
      <w:r>
        <w:t xml:space="preserve"> </w:t>
      </w:r>
      <w:proofErr w:type="spellStart"/>
      <w:r>
        <w:t>Devandas</w:t>
      </w:r>
      <w:proofErr w:type="spellEnd"/>
      <w:r>
        <w:t xml:space="preserve"> Aguilar, </w:t>
      </w:r>
      <w:r>
        <w:rPr>
          <w:i/>
        </w:rPr>
        <w:t xml:space="preserve">supra </w:t>
      </w:r>
      <w:r>
        <w:t xml:space="preserve">note </w:t>
      </w:r>
      <w:r>
        <w:fldChar w:fldCharType="begin"/>
      </w:r>
      <w:r>
        <w:instrText xml:space="preserve"> NOTEREF _Ref15295121 \h </w:instrText>
      </w:r>
      <w:r>
        <w:fldChar w:fldCharType="separate"/>
      </w:r>
      <w:proofErr w:type="gramStart"/>
      <w:r>
        <w:t>8</w:t>
      </w:r>
      <w:proofErr w:type="gramEnd"/>
      <w:r>
        <w:fldChar w:fldCharType="end"/>
      </w:r>
      <w:r>
        <w:t xml:space="preserve"> at para 41.</w:t>
      </w:r>
    </w:p>
  </w:footnote>
  <w:footnote w:id="55">
    <w:p w14:paraId="62FA5796" w14:textId="4B36EB11" w:rsidR="002774A4" w:rsidRDefault="002774A4">
      <w:pPr>
        <w:pStyle w:val="FootnoteText"/>
      </w:pPr>
      <w:r>
        <w:rPr>
          <w:rStyle w:val="FootnoteReference"/>
        </w:rPr>
        <w:footnoteRef/>
      </w:r>
      <w:r>
        <w:t xml:space="preserve"> </w:t>
      </w:r>
      <w:r>
        <w:rPr>
          <w:i/>
        </w:rPr>
        <w:t xml:space="preserve">Peruvian Civil Code, supra </w:t>
      </w:r>
      <w:r>
        <w:t xml:space="preserve">note </w:t>
      </w:r>
      <w:r>
        <w:fldChar w:fldCharType="begin"/>
      </w:r>
      <w:r>
        <w:instrText xml:space="preserve"> NOTEREF _Ref15295350 \h </w:instrText>
      </w:r>
      <w:r>
        <w:fldChar w:fldCharType="separate"/>
      </w:r>
      <w:r>
        <w:t>18</w:t>
      </w:r>
      <w:r>
        <w:fldChar w:fldCharType="end"/>
      </w:r>
      <w:r>
        <w:t>, art 659-B.</w:t>
      </w:r>
    </w:p>
  </w:footnote>
  <w:footnote w:id="56">
    <w:p w14:paraId="12C1F402" w14:textId="291BE878" w:rsidR="002774A4" w:rsidRPr="00963FB4" w:rsidRDefault="002774A4" w:rsidP="00EB323D">
      <w:pPr>
        <w:pStyle w:val="FootnoteText"/>
      </w:pPr>
      <w:r>
        <w:rPr>
          <w:rStyle w:val="FootnoteReference"/>
        </w:rPr>
        <w:footnoteRef/>
      </w:r>
      <w:r>
        <w:t xml:space="preserve"> Martinez-</w:t>
      </w:r>
      <w:proofErr w:type="spellStart"/>
      <w:r>
        <w:t>Pujalte</w:t>
      </w:r>
      <w:proofErr w:type="spellEnd"/>
      <w:r>
        <w:t xml:space="preserve">, </w:t>
      </w:r>
      <w:r>
        <w:rPr>
          <w:i/>
        </w:rPr>
        <w:t xml:space="preserve">supra </w:t>
      </w:r>
      <w:r>
        <w:t xml:space="preserve">note </w:t>
      </w:r>
      <w:r>
        <w:fldChar w:fldCharType="begin"/>
      </w:r>
      <w:r>
        <w:instrText xml:space="preserve"> NOTEREF _Ref15295460 \h </w:instrText>
      </w:r>
      <w:r>
        <w:fldChar w:fldCharType="separate"/>
      </w:r>
      <w:r>
        <w:t>47</w:t>
      </w:r>
      <w:r>
        <w:fldChar w:fldCharType="end"/>
      </w:r>
      <w:r>
        <w:t xml:space="preserve"> at 17. </w:t>
      </w:r>
    </w:p>
  </w:footnote>
  <w:footnote w:id="57">
    <w:p w14:paraId="014C5384" w14:textId="1F45037E" w:rsidR="002774A4" w:rsidRPr="006B59DB" w:rsidRDefault="002774A4">
      <w:pPr>
        <w:pStyle w:val="FootnoteText"/>
      </w:pPr>
      <w:r>
        <w:rPr>
          <w:rStyle w:val="FootnoteReference"/>
        </w:rPr>
        <w:footnoteRef/>
      </w:r>
      <w:r>
        <w:t xml:space="preserve"> See </w:t>
      </w:r>
      <w:r>
        <w:rPr>
          <w:i/>
        </w:rPr>
        <w:t xml:space="preserve">Peruvian Civil Code, supra </w:t>
      </w:r>
      <w:r>
        <w:t xml:space="preserve">note </w:t>
      </w:r>
      <w:r>
        <w:fldChar w:fldCharType="begin"/>
      </w:r>
      <w:r>
        <w:instrText xml:space="preserve"> NOTEREF _Ref15295350 \h </w:instrText>
      </w:r>
      <w:r>
        <w:fldChar w:fldCharType="separate"/>
      </w:r>
      <w:r>
        <w:t>18</w:t>
      </w:r>
      <w:r>
        <w:fldChar w:fldCharType="end"/>
      </w:r>
      <w:r>
        <w:t xml:space="preserve">, art 659-B; Committee on the Rights of Persons with Disabilities, “General comment No.1,” </w:t>
      </w:r>
      <w:r>
        <w:rPr>
          <w:i/>
        </w:rPr>
        <w:t xml:space="preserve">supra </w:t>
      </w:r>
      <w:r>
        <w:t xml:space="preserve">note </w:t>
      </w:r>
      <w:r>
        <w:fldChar w:fldCharType="begin"/>
      </w:r>
      <w:r>
        <w:instrText xml:space="preserve"> NOTEREF _Ref15295251 \h </w:instrText>
      </w:r>
      <w:r>
        <w:fldChar w:fldCharType="separate"/>
      </w:r>
      <w:proofErr w:type="gramStart"/>
      <w:r>
        <w:t>7</w:t>
      </w:r>
      <w:proofErr w:type="gramEnd"/>
      <w:r>
        <w:fldChar w:fldCharType="end"/>
      </w:r>
      <w:r>
        <w:t xml:space="preserve"> at para 21.</w:t>
      </w:r>
    </w:p>
  </w:footnote>
  <w:footnote w:id="58">
    <w:p w14:paraId="54E718DE" w14:textId="62F72637" w:rsidR="002774A4" w:rsidRDefault="002774A4">
      <w:pPr>
        <w:pStyle w:val="FootnoteText"/>
      </w:pPr>
      <w:r>
        <w:rPr>
          <w:rStyle w:val="FootnoteReference"/>
        </w:rPr>
        <w:footnoteRef/>
      </w:r>
      <w:r>
        <w:t xml:space="preserve"> </w:t>
      </w:r>
      <w:r>
        <w:rPr>
          <w:i/>
        </w:rPr>
        <w:t xml:space="preserve">Peruvian Civil Code, supra </w:t>
      </w:r>
      <w:r>
        <w:t xml:space="preserve">note </w:t>
      </w:r>
      <w:r>
        <w:fldChar w:fldCharType="begin"/>
      </w:r>
      <w:r>
        <w:instrText xml:space="preserve"> NOTEREF _Ref15295350 \h </w:instrText>
      </w:r>
      <w:r>
        <w:fldChar w:fldCharType="separate"/>
      </w:r>
      <w:r>
        <w:t>18</w:t>
      </w:r>
      <w:r>
        <w:fldChar w:fldCharType="end"/>
      </w:r>
      <w:r>
        <w:t>, art</w:t>
      </w:r>
      <w:r w:rsidRPr="002A28E1">
        <w:t xml:space="preserve"> 659-G</w:t>
      </w:r>
      <w:r>
        <w:t>.</w:t>
      </w:r>
    </w:p>
  </w:footnote>
  <w:footnote w:id="59">
    <w:p w14:paraId="3314A495" w14:textId="1703F8EF" w:rsidR="002774A4" w:rsidRPr="00EB6949" w:rsidRDefault="002774A4">
      <w:pPr>
        <w:pStyle w:val="FootnoteText"/>
        <w:rPr>
          <w:i/>
        </w:rPr>
      </w:pPr>
      <w:r>
        <w:rPr>
          <w:rStyle w:val="FootnoteReference"/>
        </w:rPr>
        <w:footnoteRef/>
      </w:r>
      <w:r>
        <w:t xml:space="preserve"> </w:t>
      </w:r>
      <w:r>
        <w:rPr>
          <w:i/>
        </w:rPr>
        <w:t>Ibid.</w:t>
      </w:r>
    </w:p>
  </w:footnote>
  <w:footnote w:id="60">
    <w:p w14:paraId="3D567B97" w14:textId="18B676D3" w:rsidR="002774A4" w:rsidRPr="00E53639" w:rsidRDefault="002774A4">
      <w:pPr>
        <w:pStyle w:val="FootnoteText"/>
      </w:pPr>
      <w:r>
        <w:rPr>
          <w:rStyle w:val="FootnoteReference"/>
        </w:rPr>
        <w:footnoteRef/>
      </w:r>
      <w:r>
        <w:t xml:space="preserve"> </w:t>
      </w:r>
      <w:r>
        <w:rPr>
          <w:i/>
        </w:rPr>
        <w:t xml:space="preserve">Peruvian Civil Code, supra </w:t>
      </w:r>
      <w:r>
        <w:t xml:space="preserve">note </w:t>
      </w:r>
      <w:r>
        <w:fldChar w:fldCharType="begin"/>
      </w:r>
      <w:r>
        <w:instrText xml:space="preserve"> NOTEREF _Ref15295350 \h </w:instrText>
      </w:r>
      <w:r>
        <w:fldChar w:fldCharType="separate"/>
      </w:r>
      <w:r>
        <w:t>18</w:t>
      </w:r>
      <w:r>
        <w:fldChar w:fldCharType="end"/>
      </w:r>
      <w:r>
        <w:t xml:space="preserve"> art 659-E.</w:t>
      </w:r>
    </w:p>
  </w:footnote>
  <w:footnote w:id="61">
    <w:p w14:paraId="2DEB1AF3" w14:textId="37E2CF31" w:rsidR="002774A4" w:rsidRPr="007E281E" w:rsidRDefault="002774A4">
      <w:pPr>
        <w:pStyle w:val="FootnoteText"/>
      </w:pPr>
      <w:r>
        <w:rPr>
          <w:rStyle w:val="FootnoteReference"/>
        </w:rPr>
        <w:footnoteRef/>
      </w:r>
      <w:r>
        <w:t xml:space="preserve"> Martinez-</w:t>
      </w:r>
      <w:proofErr w:type="spellStart"/>
      <w:r>
        <w:t>Pujalte</w:t>
      </w:r>
      <w:proofErr w:type="spellEnd"/>
      <w:r>
        <w:t xml:space="preserve">, </w:t>
      </w:r>
      <w:r>
        <w:rPr>
          <w:i/>
        </w:rPr>
        <w:t xml:space="preserve">supra </w:t>
      </w:r>
      <w:r>
        <w:t xml:space="preserve">note </w:t>
      </w:r>
      <w:r>
        <w:fldChar w:fldCharType="begin"/>
      </w:r>
      <w:r>
        <w:instrText xml:space="preserve"> NOTEREF _Ref15295460 \h </w:instrText>
      </w:r>
      <w:r>
        <w:fldChar w:fldCharType="separate"/>
      </w:r>
      <w:r>
        <w:t>47</w:t>
      </w:r>
      <w:r>
        <w:fldChar w:fldCharType="end"/>
      </w:r>
      <w:r>
        <w:t xml:space="preserve"> at 18.</w:t>
      </w:r>
    </w:p>
  </w:footnote>
  <w:footnote w:id="62">
    <w:p w14:paraId="6C480F82" w14:textId="63D9CEEC" w:rsidR="002774A4" w:rsidRPr="007E281E" w:rsidRDefault="002774A4">
      <w:pPr>
        <w:pStyle w:val="FootnoteText"/>
        <w:rPr>
          <w:i/>
        </w:rPr>
      </w:pPr>
      <w:r>
        <w:rPr>
          <w:rStyle w:val="FootnoteReference"/>
        </w:rPr>
        <w:footnoteRef/>
      </w:r>
      <w:r>
        <w:t xml:space="preserve"> </w:t>
      </w:r>
      <w:r>
        <w:rPr>
          <w:i/>
        </w:rPr>
        <w:t>Ibid.</w:t>
      </w:r>
    </w:p>
  </w:footnote>
  <w:footnote w:id="63">
    <w:p w14:paraId="7E89EBE4" w14:textId="33E84D6D" w:rsidR="002774A4" w:rsidRPr="00F101BA" w:rsidRDefault="002774A4">
      <w:pPr>
        <w:pStyle w:val="FootnoteText"/>
      </w:pPr>
      <w:r>
        <w:rPr>
          <w:rStyle w:val="FootnoteReference"/>
        </w:rPr>
        <w:footnoteRef/>
      </w:r>
      <w:r>
        <w:t xml:space="preserve"> </w:t>
      </w:r>
      <w:r>
        <w:rPr>
          <w:i/>
        </w:rPr>
        <w:t xml:space="preserve">Peruvian Code of Civil Procedure, supra </w:t>
      </w:r>
      <w:r>
        <w:t xml:space="preserve">note </w:t>
      </w:r>
      <w:r>
        <w:fldChar w:fldCharType="begin"/>
      </w:r>
      <w:r>
        <w:instrText xml:space="preserve"> NOTEREF _Ref15295350 \h </w:instrText>
      </w:r>
      <w:r>
        <w:fldChar w:fldCharType="separate"/>
      </w:r>
      <w:r>
        <w:t>18</w:t>
      </w:r>
      <w:r>
        <w:fldChar w:fldCharType="end"/>
      </w:r>
      <w:r>
        <w:t>,</w:t>
      </w:r>
      <w:r>
        <w:rPr>
          <w:i/>
        </w:rPr>
        <w:t xml:space="preserve"> </w:t>
      </w:r>
      <w:r>
        <w:t>art 847.</w:t>
      </w:r>
    </w:p>
  </w:footnote>
  <w:footnote w:id="64">
    <w:p w14:paraId="7D8109F8" w14:textId="7D79732B" w:rsidR="002774A4" w:rsidRPr="0010049E" w:rsidRDefault="002774A4">
      <w:pPr>
        <w:pStyle w:val="FootnoteText"/>
      </w:pPr>
      <w:r>
        <w:rPr>
          <w:rStyle w:val="FootnoteReference"/>
        </w:rPr>
        <w:footnoteRef/>
      </w:r>
      <w:r>
        <w:t xml:space="preserve"> </w:t>
      </w:r>
      <w:proofErr w:type="spellStart"/>
      <w:r>
        <w:t>Minkowitz</w:t>
      </w:r>
      <w:proofErr w:type="spellEnd"/>
      <w:r>
        <w:t xml:space="preserve">, </w:t>
      </w:r>
      <w:r>
        <w:rPr>
          <w:i/>
        </w:rPr>
        <w:t xml:space="preserve">supra </w:t>
      </w:r>
      <w:r>
        <w:t xml:space="preserve">note </w:t>
      </w:r>
      <w:r>
        <w:fldChar w:fldCharType="begin"/>
      </w:r>
      <w:r>
        <w:instrText xml:space="preserve"> NOTEREF _Ref15295398 \h </w:instrText>
      </w:r>
      <w:r>
        <w:fldChar w:fldCharType="separate"/>
      </w:r>
      <w:r>
        <w:t>25</w:t>
      </w:r>
      <w:r>
        <w:fldChar w:fldCharType="end"/>
      </w:r>
      <w:r>
        <w:t>.</w:t>
      </w:r>
    </w:p>
  </w:footnote>
  <w:footnote w:id="65">
    <w:p w14:paraId="0228651B" w14:textId="4EFFCB81" w:rsidR="002774A4" w:rsidRPr="006256EE" w:rsidRDefault="002774A4">
      <w:pPr>
        <w:pStyle w:val="FootnoteText"/>
      </w:pPr>
      <w:r>
        <w:rPr>
          <w:rStyle w:val="FootnoteReference"/>
        </w:rPr>
        <w:footnoteRef/>
      </w:r>
      <w:r>
        <w:t xml:space="preserve"> “Peru: Milestone disability reforms lead the way for other States, says UN expert,” </w:t>
      </w:r>
      <w:r>
        <w:rPr>
          <w:i/>
        </w:rPr>
        <w:t xml:space="preserve">supra </w:t>
      </w:r>
      <w:r>
        <w:t xml:space="preserve">note </w:t>
      </w:r>
      <w:r>
        <w:fldChar w:fldCharType="begin"/>
      </w:r>
      <w:r>
        <w:instrText xml:space="preserve"> NOTEREF _Ref15295658 \h </w:instrText>
      </w:r>
      <w:r>
        <w:fldChar w:fldCharType="separate"/>
      </w:r>
      <w:r>
        <w:t>48</w:t>
      </w:r>
      <w:r>
        <w:fldChar w:fldCharType="end"/>
      </w:r>
      <w:r>
        <w:t>.</w:t>
      </w:r>
    </w:p>
  </w:footnote>
  <w:footnote w:id="66">
    <w:p w14:paraId="0E5D97D9" w14:textId="0FEF14C0" w:rsidR="002774A4" w:rsidRPr="00190954" w:rsidRDefault="002774A4" w:rsidP="00594466">
      <w:pPr>
        <w:pStyle w:val="FootnoteText"/>
      </w:pPr>
      <w:r>
        <w:rPr>
          <w:rStyle w:val="FootnoteReference"/>
        </w:rPr>
        <w:footnoteRef/>
      </w:r>
      <w:r>
        <w:t xml:space="preserve"> “Convention on the Rights of Persons with Disabilities,” </w:t>
      </w:r>
      <w:r>
        <w:rPr>
          <w:i/>
        </w:rPr>
        <w:t xml:space="preserve">supra </w:t>
      </w:r>
      <w:r>
        <w:t xml:space="preserve">note </w:t>
      </w:r>
      <w:r>
        <w:fldChar w:fldCharType="begin"/>
      </w:r>
      <w:r>
        <w:instrText xml:space="preserve"> NOTEREF _Ref15297432 \h </w:instrText>
      </w:r>
      <w:r>
        <w:fldChar w:fldCharType="separate"/>
      </w:r>
      <w:r>
        <w:t>20</w:t>
      </w:r>
      <w:r>
        <w:fldChar w:fldCharType="end"/>
      </w:r>
      <w:r>
        <w:t>.</w:t>
      </w:r>
    </w:p>
  </w:footnote>
  <w:footnote w:id="67">
    <w:p w14:paraId="3797176E" w14:textId="215A04FF" w:rsidR="002774A4" w:rsidRPr="002832FF" w:rsidRDefault="002774A4" w:rsidP="00594466">
      <w:pPr>
        <w:pStyle w:val="FootnoteText"/>
      </w:pPr>
      <w:r>
        <w:rPr>
          <w:rStyle w:val="FootnoteReference"/>
        </w:rPr>
        <w:footnoteRef/>
      </w:r>
      <w:r>
        <w:t xml:space="preserve"> </w:t>
      </w:r>
      <w:r w:rsidRPr="00A64A38">
        <w:rPr>
          <w:i/>
        </w:rPr>
        <w:t>Law for the Promotion of the Personal Autonomy of Persons with Disabilities (Law Number 9379)</w:t>
      </w:r>
      <w:r>
        <w:rPr>
          <w:i/>
        </w:rPr>
        <w:t xml:space="preserve">, </w:t>
      </w:r>
      <w:r>
        <w:t>Costa Rica, 30 August 2016, online: &lt;</w:t>
      </w:r>
      <w:r w:rsidRPr="002E61AE">
        <w:t>http://www.tse.go.cr/pdf/normativa/promocionautonomiapersonal.pdf</w:t>
      </w:r>
      <w:r>
        <w:t xml:space="preserve">&gt;. The law references CRPD as constituting part of its “paradigm for approaching disability from human rights.” </w:t>
      </w:r>
    </w:p>
  </w:footnote>
  <w:footnote w:id="68">
    <w:p w14:paraId="3A6AA842" w14:textId="06EB615F" w:rsidR="002774A4" w:rsidRPr="00A83FD7" w:rsidRDefault="002774A4" w:rsidP="00594466">
      <w:pPr>
        <w:pStyle w:val="FootnoteText"/>
        <w:rPr>
          <w:lang w:val="es-419"/>
        </w:rPr>
      </w:pPr>
      <w:r>
        <w:rPr>
          <w:rStyle w:val="FootnoteReference"/>
        </w:rPr>
        <w:footnoteRef/>
      </w:r>
      <w:r w:rsidRPr="00A83FD7">
        <w:rPr>
          <w:lang w:val="es-419"/>
        </w:rPr>
        <w:t xml:space="preserve"> </w:t>
      </w:r>
      <w:proofErr w:type="spellStart"/>
      <w:r w:rsidRPr="00A83FD7">
        <w:rPr>
          <w:lang w:val="es-419"/>
        </w:rPr>
        <w:t>Devandas</w:t>
      </w:r>
      <w:proofErr w:type="spellEnd"/>
      <w:r w:rsidRPr="00A83FD7">
        <w:rPr>
          <w:lang w:val="es-419"/>
        </w:rPr>
        <w:t xml:space="preserve"> Aguilar, </w:t>
      </w:r>
      <w:r w:rsidRPr="00A83FD7">
        <w:rPr>
          <w:i/>
          <w:lang w:val="es-419"/>
        </w:rPr>
        <w:t xml:space="preserve">supra </w:t>
      </w:r>
      <w:r w:rsidRPr="00A83FD7">
        <w:rPr>
          <w:lang w:val="es-419"/>
        </w:rPr>
        <w:t xml:space="preserve">note 8 at para 39. </w:t>
      </w:r>
    </w:p>
  </w:footnote>
  <w:footnote w:id="69">
    <w:p w14:paraId="28C5C8E4" w14:textId="1DFD6EF1" w:rsidR="002774A4" w:rsidRPr="00A83FD7" w:rsidRDefault="002774A4" w:rsidP="00594466">
      <w:pPr>
        <w:pStyle w:val="FootnoteText"/>
        <w:rPr>
          <w:lang w:val="es-419"/>
        </w:rPr>
      </w:pPr>
      <w:r>
        <w:rPr>
          <w:rStyle w:val="FootnoteReference"/>
        </w:rPr>
        <w:footnoteRef/>
      </w:r>
      <w:r w:rsidRPr="00A83FD7">
        <w:rPr>
          <w:lang w:val="es-419"/>
        </w:rPr>
        <w:t xml:space="preserve"> “</w:t>
      </w:r>
      <w:proofErr w:type="spellStart"/>
      <w:r w:rsidRPr="00A83FD7">
        <w:rPr>
          <w:lang w:val="es-419"/>
        </w:rPr>
        <w:t>Asemblea</w:t>
      </w:r>
      <w:proofErr w:type="spellEnd"/>
      <w:r w:rsidRPr="00A83FD7">
        <w:rPr>
          <w:lang w:val="es-419"/>
        </w:rPr>
        <w:t xml:space="preserve"> Legislativa de Costa Rica aprueba Ley de Autonomía Personal,” online: </w:t>
      </w:r>
      <w:r w:rsidRPr="00A83FD7">
        <w:rPr>
          <w:i/>
          <w:lang w:val="es-419"/>
        </w:rPr>
        <w:t xml:space="preserve">REDODICEC </w:t>
      </w:r>
      <w:r w:rsidRPr="00A83FD7">
        <w:rPr>
          <w:lang w:val="es-419"/>
        </w:rPr>
        <w:t>&lt;http://www.redodicec.org/boletin/en-accion-13/asamblea-legislativa-costa-rica-aprueba-ley-autonomia-personal/&gt;.</w:t>
      </w:r>
    </w:p>
  </w:footnote>
  <w:footnote w:id="70">
    <w:p w14:paraId="56F278C3" w14:textId="5A1E37D2" w:rsidR="002774A4" w:rsidRPr="00A83FD7" w:rsidRDefault="002774A4">
      <w:pPr>
        <w:pStyle w:val="FootnoteText"/>
        <w:rPr>
          <w:lang w:val="es-419"/>
        </w:rPr>
      </w:pPr>
      <w:r>
        <w:rPr>
          <w:rStyle w:val="FootnoteReference"/>
        </w:rPr>
        <w:footnoteRef/>
      </w:r>
      <w:r w:rsidRPr="00A83FD7">
        <w:rPr>
          <w:lang w:val="es-419"/>
        </w:rPr>
        <w:t xml:space="preserve"> “Una ley para aplicar derechos humanos claves para las personas con discapacidad en Costa Rica,” online:  </w:t>
      </w:r>
      <w:r w:rsidRPr="00A83FD7">
        <w:rPr>
          <w:i/>
          <w:lang w:val="es-419"/>
        </w:rPr>
        <w:t xml:space="preserve">REDODICEC </w:t>
      </w:r>
      <w:r w:rsidRPr="00A83FD7">
        <w:rPr>
          <w:lang w:val="es-419"/>
        </w:rPr>
        <w:t>&lt;http://www.redodicec.org/boletin/en-accion-14/una-ley-para-aplicar-derechos-humanos-claves-para-las-personas-con-discapacidad-en-costa-rica/&gt;.</w:t>
      </w:r>
    </w:p>
  </w:footnote>
  <w:footnote w:id="71">
    <w:p w14:paraId="35333451" w14:textId="2B0922D1" w:rsidR="002774A4" w:rsidRPr="00A83FD7" w:rsidRDefault="002774A4">
      <w:pPr>
        <w:pStyle w:val="FootnoteText"/>
        <w:rPr>
          <w:i/>
          <w:lang w:val="es-419"/>
        </w:rPr>
      </w:pPr>
      <w:r>
        <w:rPr>
          <w:rStyle w:val="FootnoteReference"/>
        </w:rPr>
        <w:footnoteRef/>
      </w:r>
      <w:r w:rsidRPr="00A83FD7">
        <w:rPr>
          <w:lang w:val="es-419"/>
        </w:rPr>
        <w:t xml:space="preserve"> </w:t>
      </w:r>
      <w:proofErr w:type="spellStart"/>
      <w:r w:rsidRPr="00A83FD7">
        <w:rPr>
          <w:i/>
          <w:lang w:val="es-419"/>
        </w:rPr>
        <w:t>Ibid</w:t>
      </w:r>
      <w:proofErr w:type="spellEnd"/>
      <w:r w:rsidRPr="00A83FD7">
        <w:rPr>
          <w:i/>
          <w:lang w:val="es-419"/>
        </w:rPr>
        <w:t>.</w:t>
      </w:r>
    </w:p>
  </w:footnote>
  <w:footnote w:id="72">
    <w:p w14:paraId="1031096C" w14:textId="1B6FFD12" w:rsidR="002774A4" w:rsidRPr="00A83FD7" w:rsidRDefault="002774A4">
      <w:pPr>
        <w:pStyle w:val="FootnoteText"/>
        <w:rPr>
          <w:i/>
          <w:lang w:val="es-419"/>
        </w:rPr>
      </w:pPr>
      <w:r>
        <w:rPr>
          <w:rStyle w:val="FootnoteReference"/>
        </w:rPr>
        <w:footnoteRef/>
      </w:r>
      <w:r w:rsidRPr="00A83FD7">
        <w:rPr>
          <w:lang w:val="es-419"/>
        </w:rPr>
        <w:t xml:space="preserve"> </w:t>
      </w:r>
      <w:proofErr w:type="spellStart"/>
      <w:r w:rsidRPr="00A83FD7">
        <w:rPr>
          <w:i/>
          <w:lang w:val="es-419"/>
        </w:rPr>
        <w:t>Ibid</w:t>
      </w:r>
      <w:proofErr w:type="spellEnd"/>
      <w:r w:rsidRPr="00A83FD7">
        <w:rPr>
          <w:i/>
          <w:lang w:val="es-419"/>
        </w:rPr>
        <w:t>.</w:t>
      </w:r>
    </w:p>
  </w:footnote>
  <w:footnote w:id="73">
    <w:p w14:paraId="46B88F4C" w14:textId="10B415F6" w:rsidR="002774A4" w:rsidRPr="00A83FD7" w:rsidRDefault="002774A4" w:rsidP="00594466">
      <w:pPr>
        <w:pStyle w:val="FootnoteText"/>
        <w:rPr>
          <w:lang w:val="es-419"/>
        </w:rPr>
      </w:pPr>
      <w:r>
        <w:rPr>
          <w:rStyle w:val="FootnoteReference"/>
        </w:rPr>
        <w:footnoteRef/>
      </w:r>
      <w:r w:rsidRPr="00A83FD7">
        <w:rPr>
          <w:lang w:val="es-419"/>
        </w:rPr>
        <w:t xml:space="preserve"> </w:t>
      </w:r>
      <w:proofErr w:type="spellStart"/>
      <w:r w:rsidRPr="00A83FD7">
        <w:rPr>
          <w:lang w:val="es-419"/>
        </w:rPr>
        <w:t>Asemblea</w:t>
      </w:r>
      <w:proofErr w:type="spellEnd"/>
      <w:r w:rsidRPr="00A83FD7">
        <w:rPr>
          <w:lang w:val="es-419"/>
        </w:rPr>
        <w:t xml:space="preserve"> Legislativa de Costa Rica aprueba Ley de Autonomía Personal,” </w:t>
      </w:r>
      <w:r w:rsidRPr="00A83FD7">
        <w:rPr>
          <w:i/>
          <w:lang w:val="es-419"/>
        </w:rPr>
        <w:t xml:space="preserve">supra </w:t>
      </w:r>
      <w:r w:rsidRPr="00A83FD7">
        <w:rPr>
          <w:lang w:val="es-419"/>
        </w:rPr>
        <w:t xml:space="preserve">note </w:t>
      </w:r>
      <w:r>
        <w:fldChar w:fldCharType="begin"/>
      </w:r>
      <w:r w:rsidRPr="00A83FD7">
        <w:rPr>
          <w:lang w:val="es-419"/>
        </w:rPr>
        <w:instrText xml:space="preserve"> NOTEREF _Ref15297586 \h </w:instrText>
      </w:r>
      <w:r>
        <w:fldChar w:fldCharType="separate"/>
      </w:r>
      <w:r w:rsidRPr="00A83FD7">
        <w:rPr>
          <w:lang w:val="es-419"/>
        </w:rPr>
        <w:t>69</w:t>
      </w:r>
      <w:r>
        <w:fldChar w:fldCharType="end"/>
      </w:r>
      <w:r w:rsidRPr="00A83FD7">
        <w:rPr>
          <w:lang w:val="es-419"/>
        </w:rPr>
        <w:t>.</w:t>
      </w:r>
    </w:p>
  </w:footnote>
  <w:footnote w:id="74">
    <w:p w14:paraId="544D7008" w14:textId="162E7DB8" w:rsidR="002774A4" w:rsidRPr="00A83FD7" w:rsidRDefault="002774A4">
      <w:pPr>
        <w:pStyle w:val="FootnoteText"/>
        <w:rPr>
          <w:lang w:val="es-419"/>
        </w:rPr>
      </w:pPr>
      <w:r>
        <w:rPr>
          <w:rStyle w:val="FootnoteReference"/>
        </w:rPr>
        <w:footnoteRef/>
      </w:r>
      <w:r w:rsidRPr="00A83FD7">
        <w:rPr>
          <w:lang w:val="es-419"/>
        </w:rPr>
        <w:t xml:space="preserve"> Una ley para aplicar derechos humanos claves para las personas con discapacidad en Costa Rica,” </w:t>
      </w:r>
      <w:r w:rsidRPr="00A83FD7">
        <w:rPr>
          <w:i/>
          <w:lang w:val="es-419"/>
        </w:rPr>
        <w:t xml:space="preserve">supra </w:t>
      </w:r>
      <w:r w:rsidRPr="00A83FD7">
        <w:rPr>
          <w:lang w:val="es-419"/>
        </w:rPr>
        <w:t xml:space="preserve">note </w:t>
      </w:r>
      <w:r>
        <w:fldChar w:fldCharType="begin"/>
      </w:r>
      <w:r w:rsidRPr="00A83FD7">
        <w:rPr>
          <w:lang w:val="es-419"/>
        </w:rPr>
        <w:instrText xml:space="preserve"> NOTEREF _Ref15297604 \h </w:instrText>
      </w:r>
      <w:r>
        <w:fldChar w:fldCharType="separate"/>
      </w:r>
      <w:r w:rsidRPr="00A83FD7">
        <w:rPr>
          <w:lang w:val="es-419"/>
        </w:rPr>
        <w:t>70</w:t>
      </w:r>
      <w:r>
        <w:fldChar w:fldCharType="end"/>
      </w:r>
      <w:r w:rsidRPr="00A83FD7">
        <w:rPr>
          <w:lang w:val="es-419"/>
        </w:rPr>
        <w:t>.</w:t>
      </w:r>
    </w:p>
  </w:footnote>
  <w:footnote w:id="75">
    <w:p w14:paraId="315E207D" w14:textId="723E1617" w:rsidR="002774A4" w:rsidRPr="008F0D25" w:rsidRDefault="002774A4" w:rsidP="00594466">
      <w:pPr>
        <w:pStyle w:val="FootnoteText"/>
      </w:pPr>
      <w:r>
        <w:rPr>
          <w:rStyle w:val="FootnoteReference"/>
        </w:rPr>
        <w:footnoteRef/>
      </w:r>
      <w:r>
        <w:t xml:space="preserve"> </w:t>
      </w:r>
      <w:r w:rsidRPr="00A64A38">
        <w:rPr>
          <w:i/>
        </w:rPr>
        <w:t>Law Number 9379</w:t>
      </w:r>
      <w:r>
        <w:rPr>
          <w:i/>
        </w:rPr>
        <w:t xml:space="preserve">, supra </w:t>
      </w:r>
      <w:r>
        <w:t xml:space="preserve">note </w:t>
      </w:r>
      <w:r>
        <w:fldChar w:fldCharType="begin"/>
      </w:r>
      <w:r>
        <w:instrText xml:space="preserve"> NOTEREF _Ref15297625 \h </w:instrText>
      </w:r>
      <w:r>
        <w:fldChar w:fldCharType="separate"/>
      </w:r>
      <w:r>
        <w:t>67</w:t>
      </w:r>
      <w:r>
        <w:fldChar w:fldCharType="end"/>
      </w:r>
      <w:r>
        <w:t>.</w:t>
      </w:r>
    </w:p>
  </w:footnote>
  <w:footnote w:id="76">
    <w:p w14:paraId="03113900" w14:textId="78302584" w:rsidR="002774A4" w:rsidRPr="00531A58" w:rsidRDefault="002774A4" w:rsidP="00594466">
      <w:pPr>
        <w:pStyle w:val="FootnoteText"/>
      </w:pPr>
      <w:r>
        <w:rPr>
          <w:rStyle w:val="FootnoteReference"/>
        </w:rPr>
        <w:footnoteRef/>
      </w:r>
      <w:r>
        <w:t xml:space="preserve"> </w:t>
      </w:r>
      <w:r>
        <w:rPr>
          <w:i/>
        </w:rPr>
        <w:t>Ibid</w:t>
      </w:r>
      <w:r>
        <w:t>,</w:t>
      </w:r>
      <w:r>
        <w:rPr>
          <w:i/>
        </w:rPr>
        <w:t xml:space="preserve"> </w:t>
      </w:r>
      <w:r>
        <w:t xml:space="preserve">art </w:t>
      </w:r>
      <w:proofErr w:type="gramStart"/>
      <w:r>
        <w:t>1</w:t>
      </w:r>
      <w:proofErr w:type="gramEnd"/>
      <w:r>
        <w:t>.</w:t>
      </w:r>
    </w:p>
  </w:footnote>
  <w:footnote w:id="77">
    <w:p w14:paraId="46C46375" w14:textId="31B8816E" w:rsidR="002774A4" w:rsidRPr="00256229" w:rsidRDefault="002774A4" w:rsidP="00594466">
      <w:pPr>
        <w:pStyle w:val="FootnoteText"/>
      </w:pPr>
      <w:r>
        <w:rPr>
          <w:rStyle w:val="FootnoteReference"/>
        </w:rPr>
        <w:footnoteRef/>
      </w:r>
      <w:r>
        <w:t xml:space="preserve"> </w:t>
      </w:r>
      <w:r>
        <w:rPr>
          <w:i/>
        </w:rPr>
        <w:t xml:space="preserve">Ibid, </w:t>
      </w:r>
      <w:r>
        <w:t>art 2(d)</w:t>
      </w:r>
      <w:proofErr w:type="gramStart"/>
      <w:r>
        <w:t>.</w:t>
      </w:r>
      <w:proofErr w:type="gramEnd"/>
    </w:p>
  </w:footnote>
  <w:footnote w:id="78">
    <w:p w14:paraId="77284AA8" w14:textId="77777777" w:rsidR="002774A4" w:rsidRPr="00A81A99" w:rsidRDefault="002774A4" w:rsidP="00594466">
      <w:pPr>
        <w:pStyle w:val="FootnoteText"/>
        <w:rPr>
          <w:i/>
        </w:rPr>
      </w:pPr>
      <w:r>
        <w:rPr>
          <w:rStyle w:val="FootnoteReference"/>
        </w:rPr>
        <w:footnoteRef/>
      </w:r>
      <w:r>
        <w:t xml:space="preserve"> </w:t>
      </w:r>
      <w:r>
        <w:rPr>
          <w:i/>
        </w:rPr>
        <w:t>Ibid.</w:t>
      </w:r>
    </w:p>
  </w:footnote>
  <w:footnote w:id="79">
    <w:p w14:paraId="5FC506FD" w14:textId="57906DEE" w:rsidR="002774A4" w:rsidRPr="00BE6E6B" w:rsidRDefault="002774A4" w:rsidP="00594466">
      <w:pPr>
        <w:pStyle w:val="FootnoteText"/>
      </w:pPr>
      <w:r>
        <w:rPr>
          <w:rStyle w:val="FootnoteReference"/>
        </w:rPr>
        <w:footnoteRef/>
      </w:r>
      <w:r>
        <w:t xml:space="preserve"> </w:t>
      </w:r>
      <w:r>
        <w:rPr>
          <w:i/>
        </w:rPr>
        <w:t xml:space="preserve">Ibid, </w:t>
      </w:r>
      <w:r>
        <w:t xml:space="preserve">art </w:t>
      </w:r>
      <w:proofErr w:type="gramStart"/>
      <w:r>
        <w:t>1</w:t>
      </w:r>
      <w:proofErr w:type="gramEnd"/>
      <w:r>
        <w:t>.</w:t>
      </w:r>
    </w:p>
  </w:footnote>
  <w:footnote w:id="80">
    <w:p w14:paraId="24AA10C5" w14:textId="05533303" w:rsidR="002774A4" w:rsidRPr="00355715" w:rsidRDefault="002774A4" w:rsidP="00594466">
      <w:pPr>
        <w:pStyle w:val="FootnoteText"/>
      </w:pPr>
      <w:r w:rsidRPr="00355715">
        <w:rPr>
          <w:rStyle w:val="FootnoteReference"/>
        </w:rPr>
        <w:footnoteRef/>
      </w:r>
      <w:r w:rsidRPr="00355715">
        <w:t xml:space="preserve"> </w:t>
      </w:r>
      <w:r w:rsidRPr="00355715">
        <w:rPr>
          <w:i/>
        </w:rPr>
        <w:t xml:space="preserve">Ibid, </w:t>
      </w:r>
      <w:r w:rsidRPr="00355715">
        <w:t xml:space="preserve">art </w:t>
      </w:r>
      <w:proofErr w:type="gramStart"/>
      <w:r w:rsidRPr="00355715">
        <w:t>45.</w:t>
      </w:r>
      <w:proofErr w:type="gramEnd"/>
    </w:p>
  </w:footnote>
  <w:footnote w:id="81">
    <w:p w14:paraId="2B522EE2" w14:textId="12DA54F6" w:rsidR="002774A4" w:rsidRPr="00355715" w:rsidRDefault="002774A4" w:rsidP="00594466">
      <w:pPr>
        <w:pStyle w:val="FootnoteText"/>
      </w:pPr>
      <w:r w:rsidRPr="00355715">
        <w:rPr>
          <w:rStyle w:val="FootnoteReference"/>
        </w:rPr>
        <w:footnoteRef/>
      </w:r>
      <w:r w:rsidRPr="00355715">
        <w:t xml:space="preserve"> La </w:t>
      </w:r>
      <w:proofErr w:type="spellStart"/>
      <w:r w:rsidRPr="00355715">
        <w:t>Defensoria</w:t>
      </w:r>
      <w:proofErr w:type="spellEnd"/>
      <w:r w:rsidRPr="00355715">
        <w:t xml:space="preserve"> de </w:t>
      </w:r>
      <w:proofErr w:type="spellStart"/>
      <w:r w:rsidRPr="00355715">
        <w:t>los</w:t>
      </w:r>
      <w:proofErr w:type="spellEnd"/>
      <w:r w:rsidRPr="00355715">
        <w:t xml:space="preserve"> </w:t>
      </w:r>
      <w:proofErr w:type="spellStart"/>
      <w:r w:rsidRPr="00355715">
        <w:t>Habitationes</w:t>
      </w:r>
      <w:proofErr w:type="spellEnd"/>
      <w:r w:rsidRPr="00355715">
        <w:t xml:space="preserve">, “Information for Committee on Rights of Persons with Disabilities” (5 December 2017) at </w:t>
      </w:r>
      <w:proofErr w:type="gramStart"/>
      <w:r w:rsidRPr="00355715">
        <w:t>1</w:t>
      </w:r>
      <w:proofErr w:type="gramEnd"/>
      <w:r w:rsidRPr="00355715">
        <w:t>, online: &lt; https://tbinternet.ohchr.org/_layouts/15/treatybodyexternal/Download.aspx?symbolno=INT%2fCRPD%2fICS%2fCRI%2f30082&amp;Lang=en&gt;.</w:t>
      </w:r>
    </w:p>
  </w:footnote>
  <w:footnote w:id="82">
    <w:p w14:paraId="0ADD5B5D" w14:textId="0A89A051" w:rsidR="002774A4" w:rsidRPr="0090793D" w:rsidRDefault="002774A4" w:rsidP="00594466">
      <w:pPr>
        <w:pStyle w:val="FootnoteText"/>
      </w:pPr>
      <w:r w:rsidRPr="00355715">
        <w:rPr>
          <w:rStyle w:val="FootnoteReference"/>
        </w:rPr>
        <w:footnoteRef/>
      </w:r>
      <w:r w:rsidRPr="00355715">
        <w:t xml:space="preserve"> </w:t>
      </w:r>
      <w:r w:rsidRPr="00355715">
        <w:rPr>
          <w:i/>
        </w:rPr>
        <w:t xml:space="preserve">Law Number 9379, supra </w:t>
      </w:r>
      <w:r w:rsidRPr="00355715">
        <w:t xml:space="preserve">note </w:t>
      </w:r>
      <w:r w:rsidRPr="00355715">
        <w:fldChar w:fldCharType="begin"/>
      </w:r>
      <w:r w:rsidRPr="00355715">
        <w:instrText xml:space="preserve"> NOTEREF _Ref15297625 \h </w:instrText>
      </w:r>
      <w:r>
        <w:instrText xml:space="preserve"> \* MERGEFORMAT </w:instrText>
      </w:r>
      <w:r w:rsidRPr="00355715">
        <w:fldChar w:fldCharType="separate"/>
      </w:r>
      <w:r w:rsidRPr="00355715">
        <w:t>67</w:t>
      </w:r>
      <w:r w:rsidRPr="00355715">
        <w:fldChar w:fldCharType="end"/>
      </w:r>
      <w:r w:rsidRPr="00355715">
        <w:t>, art</w:t>
      </w:r>
      <w:r>
        <w:t xml:space="preserve"> 11(b).</w:t>
      </w:r>
    </w:p>
  </w:footnote>
  <w:footnote w:id="83">
    <w:p w14:paraId="6906A84B" w14:textId="40D1C5B2" w:rsidR="002774A4" w:rsidRPr="00D31B24" w:rsidRDefault="002774A4" w:rsidP="00594466">
      <w:pPr>
        <w:pStyle w:val="FootnoteText"/>
      </w:pPr>
      <w:r>
        <w:rPr>
          <w:rStyle w:val="FootnoteReference"/>
        </w:rPr>
        <w:footnoteRef/>
      </w:r>
      <w:r>
        <w:t xml:space="preserve"> </w:t>
      </w:r>
      <w:r>
        <w:rPr>
          <w:i/>
        </w:rPr>
        <w:t xml:space="preserve">Ibid, </w:t>
      </w:r>
      <w:r>
        <w:t>art 11(c)</w:t>
      </w:r>
      <w:proofErr w:type="gramStart"/>
      <w:r>
        <w:t>.</w:t>
      </w:r>
      <w:proofErr w:type="gramEnd"/>
    </w:p>
  </w:footnote>
  <w:footnote w:id="84">
    <w:p w14:paraId="257DD0D3" w14:textId="7355CFD0" w:rsidR="002774A4" w:rsidRPr="00AD4A8C" w:rsidRDefault="002774A4">
      <w:pPr>
        <w:pStyle w:val="FootnoteText"/>
      </w:pPr>
      <w:r>
        <w:rPr>
          <w:rStyle w:val="FootnoteReference"/>
        </w:rPr>
        <w:footnoteRef/>
      </w:r>
      <w:r>
        <w:t xml:space="preserve"> </w:t>
      </w:r>
      <w:r>
        <w:rPr>
          <w:i/>
        </w:rPr>
        <w:t xml:space="preserve">Ibid, </w:t>
      </w:r>
      <w:r>
        <w:t>art 11(d)</w:t>
      </w:r>
      <w:proofErr w:type="gramStart"/>
      <w:r>
        <w:t>.</w:t>
      </w:r>
      <w:proofErr w:type="gramEnd"/>
    </w:p>
  </w:footnote>
  <w:footnote w:id="85">
    <w:p w14:paraId="3F733736" w14:textId="7C88303F" w:rsidR="002774A4" w:rsidRPr="00266F8E" w:rsidRDefault="002774A4" w:rsidP="00594466">
      <w:pPr>
        <w:pStyle w:val="FootnoteText"/>
      </w:pPr>
      <w:r>
        <w:rPr>
          <w:rStyle w:val="FootnoteReference"/>
        </w:rPr>
        <w:footnoteRef/>
      </w:r>
      <w:r>
        <w:t xml:space="preserve"> </w:t>
      </w:r>
      <w:r>
        <w:rPr>
          <w:i/>
        </w:rPr>
        <w:t xml:space="preserve">Ibid, </w:t>
      </w:r>
      <w:r>
        <w:t>art 11(a)</w:t>
      </w:r>
      <w:proofErr w:type="gramStart"/>
      <w:r>
        <w:t>.</w:t>
      </w:r>
      <w:proofErr w:type="gramEnd"/>
    </w:p>
  </w:footnote>
  <w:footnote w:id="86">
    <w:p w14:paraId="4219F705" w14:textId="44C3DD14" w:rsidR="002774A4" w:rsidRPr="004244EF" w:rsidRDefault="002774A4" w:rsidP="00594466">
      <w:pPr>
        <w:pStyle w:val="FootnoteText"/>
      </w:pPr>
      <w:r>
        <w:rPr>
          <w:rStyle w:val="FootnoteReference"/>
        </w:rPr>
        <w:footnoteRef/>
      </w:r>
      <w:r>
        <w:t xml:space="preserve"> </w:t>
      </w:r>
      <w:r>
        <w:rPr>
          <w:i/>
        </w:rPr>
        <w:t xml:space="preserve">Ibid, </w:t>
      </w:r>
      <w:r>
        <w:t>art 11(e)</w:t>
      </w:r>
      <w:proofErr w:type="gramStart"/>
      <w:r>
        <w:t>.</w:t>
      </w:r>
      <w:proofErr w:type="gramEnd"/>
    </w:p>
  </w:footnote>
  <w:footnote w:id="87">
    <w:p w14:paraId="792663F0" w14:textId="61DF0B5D" w:rsidR="002774A4" w:rsidRPr="002558DF" w:rsidRDefault="002774A4" w:rsidP="00594466">
      <w:pPr>
        <w:pStyle w:val="FootnoteText"/>
      </w:pPr>
      <w:r>
        <w:rPr>
          <w:rStyle w:val="FootnoteReference"/>
        </w:rPr>
        <w:footnoteRef/>
      </w:r>
      <w:r>
        <w:t xml:space="preserve"> </w:t>
      </w:r>
      <w:r>
        <w:rPr>
          <w:i/>
        </w:rPr>
        <w:t xml:space="preserve">Ibid, </w:t>
      </w:r>
      <w:r>
        <w:t xml:space="preserve">art </w:t>
      </w:r>
      <w:r w:rsidRPr="006323C9">
        <w:t>11</w:t>
      </w:r>
      <w:r>
        <w:t>(g)</w:t>
      </w:r>
      <w:proofErr w:type="gramStart"/>
      <w:r>
        <w:t>.</w:t>
      </w:r>
      <w:proofErr w:type="gramEnd"/>
    </w:p>
  </w:footnote>
  <w:footnote w:id="88">
    <w:p w14:paraId="50D4E852" w14:textId="2D4597D8" w:rsidR="002774A4" w:rsidRPr="00D95B08" w:rsidRDefault="002774A4" w:rsidP="00594466">
      <w:pPr>
        <w:pStyle w:val="FootnoteText"/>
      </w:pPr>
      <w:r>
        <w:rPr>
          <w:rStyle w:val="FootnoteReference"/>
        </w:rPr>
        <w:footnoteRef/>
      </w:r>
      <w:r>
        <w:t xml:space="preserve"> </w:t>
      </w:r>
      <w:r>
        <w:rPr>
          <w:i/>
        </w:rPr>
        <w:t xml:space="preserve">Ibid, </w:t>
      </w:r>
      <w:r>
        <w:t>art 5(c)</w:t>
      </w:r>
      <w:proofErr w:type="gramStart"/>
      <w:r>
        <w:t>.</w:t>
      </w:r>
      <w:proofErr w:type="gramEnd"/>
    </w:p>
  </w:footnote>
  <w:footnote w:id="89">
    <w:p w14:paraId="12E16EA1" w14:textId="523DF72F" w:rsidR="002774A4" w:rsidRPr="0066152C" w:rsidRDefault="002774A4" w:rsidP="00594466">
      <w:pPr>
        <w:pStyle w:val="FootnoteText"/>
      </w:pPr>
      <w:r>
        <w:rPr>
          <w:rStyle w:val="FootnoteReference"/>
        </w:rPr>
        <w:footnoteRef/>
      </w:r>
      <w:r>
        <w:t xml:space="preserve"> </w:t>
      </w:r>
      <w:r>
        <w:rPr>
          <w:i/>
        </w:rPr>
        <w:t xml:space="preserve">Ibid, </w:t>
      </w:r>
      <w:r>
        <w:t xml:space="preserve">art </w:t>
      </w:r>
      <w:proofErr w:type="gramStart"/>
      <w:r>
        <w:t>2l.</w:t>
      </w:r>
      <w:proofErr w:type="gramEnd"/>
    </w:p>
  </w:footnote>
  <w:footnote w:id="90">
    <w:p w14:paraId="6D5DCBFC" w14:textId="74B244AF" w:rsidR="002774A4" w:rsidRPr="00E33EE8" w:rsidRDefault="002774A4" w:rsidP="00594466">
      <w:pPr>
        <w:pStyle w:val="FootnoteText"/>
      </w:pPr>
      <w:r>
        <w:rPr>
          <w:rStyle w:val="FootnoteReference"/>
        </w:rPr>
        <w:footnoteRef/>
      </w:r>
      <w:r>
        <w:t xml:space="preserve"> </w:t>
      </w:r>
      <w:r>
        <w:rPr>
          <w:i/>
        </w:rPr>
        <w:t xml:space="preserve">Ibid, </w:t>
      </w:r>
      <w:r>
        <w:t>art 8(a)</w:t>
      </w:r>
      <w:proofErr w:type="gramStart"/>
      <w:r>
        <w:t>.</w:t>
      </w:r>
      <w:proofErr w:type="gramEnd"/>
    </w:p>
  </w:footnote>
  <w:footnote w:id="91">
    <w:p w14:paraId="426776E9" w14:textId="1C312CB0" w:rsidR="002774A4" w:rsidRPr="00E621D7" w:rsidRDefault="002774A4" w:rsidP="00594466">
      <w:pPr>
        <w:pStyle w:val="FootnoteText"/>
      </w:pPr>
      <w:r>
        <w:rPr>
          <w:rStyle w:val="FootnoteReference"/>
        </w:rPr>
        <w:footnoteRef/>
      </w:r>
      <w:r>
        <w:t xml:space="preserve"> </w:t>
      </w:r>
      <w:r>
        <w:rPr>
          <w:i/>
        </w:rPr>
        <w:t xml:space="preserve">Ibid, </w:t>
      </w:r>
      <w:r>
        <w:t>art 8(b)</w:t>
      </w:r>
      <w:proofErr w:type="gramStart"/>
      <w:r>
        <w:t>.</w:t>
      </w:r>
      <w:proofErr w:type="gramEnd"/>
    </w:p>
  </w:footnote>
  <w:footnote w:id="92">
    <w:p w14:paraId="1649A5EF" w14:textId="579C517A" w:rsidR="002774A4" w:rsidRPr="00441F8E" w:rsidRDefault="002774A4" w:rsidP="00594466">
      <w:pPr>
        <w:pStyle w:val="FootnoteText"/>
      </w:pPr>
      <w:r>
        <w:rPr>
          <w:rStyle w:val="FootnoteReference"/>
        </w:rPr>
        <w:footnoteRef/>
      </w:r>
      <w:r>
        <w:t xml:space="preserve"> </w:t>
      </w:r>
      <w:r>
        <w:rPr>
          <w:i/>
        </w:rPr>
        <w:t xml:space="preserve">Ibid, </w:t>
      </w:r>
      <w:r>
        <w:t>arts 8(b)-(c).</w:t>
      </w:r>
    </w:p>
  </w:footnote>
  <w:footnote w:id="93">
    <w:p w14:paraId="226F7AC6" w14:textId="529A20F4" w:rsidR="002774A4" w:rsidRPr="00853950" w:rsidRDefault="002774A4" w:rsidP="00594466">
      <w:pPr>
        <w:pStyle w:val="FootnoteText"/>
      </w:pPr>
      <w:r>
        <w:rPr>
          <w:rStyle w:val="FootnoteReference"/>
        </w:rPr>
        <w:footnoteRef/>
      </w:r>
      <w:r>
        <w:t xml:space="preserve"> </w:t>
      </w:r>
      <w:r>
        <w:rPr>
          <w:i/>
        </w:rPr>
        <w:t xml:space="preserve">Ibid, </w:t>
      </w:r>
      <w:r>
        <w:t xml:space="preserve">art </w:t>
      </w:r>
      <w:proofErr w:type="gramStart"/>
      <w:r>
        <w:t>10.</w:t>
      </w:r>
      <w:proofErr w:type="gramEnd"/>
    </w:p>
  </w:footnote>
  <w:footnote w:id="94">
    <w:p w14:paraId="780A9084" w14:textId="64D5A6B8" w:rsidR="002774A4" w:rsidRPr="00543D42" w:rsidRDefault="002774A4">
      <w:pPr>
        <w:pStyle w:val="FootnoteText"/>
        <w:rPr>
          <w:i/>
        </w:rPr>
      </w:pPr>
      <w:r>
        <w:rPr>
          <w:rStyle w:val="FootnoteReference"/>
        </w:rPr>
        <w:footnoteRef/>
      </w:r>
      <w:r>
        <w:t xml:space="preserve"> </w:t>
      </w:r>
      <w:r>
        <w:rPr>
          <w:i/>
        </w:rPr>
        <w:t>Ibid.</w:t>
      </w:r>
    </w:p>
  </w:footnote>
  <w:footnote w:id="95">
    <w:p w14:paraId="2728FECA" w14:textId="2106CDBE" w:rsidR="002774A4" w:rsidRPr="001416B9" w:rsidRDefault="002774A4">
      <w:pPr>
        <w:pStyle w:val="FootnoteText"/>
        <w:rPr>
          <w:i/>
        </w:rPr>
      </w:pPr>
      <w:r>
        <w:rPr>
          <w:rStyle w:val="FootnoteReference"/>
        </w:rPr>
        <w:footnoteRef/>
      </w:r>
      <w:r>
        <w:t xml:space="preserve"> </w:t>
      </w:r>
      <w:r>
        <w:rPr>
          <w:i/>
        </w:rPr>
        <w:t>Ibid.</w:t>
      </w:r>
    </w:p>
  </w:footnote>
  <w:footnote w:id="96">
    <w:p w14:paraId="29C5B335" w14:textId="3F526439" w:rsidR="002774A4" w:rsidRPr="00A70AD8" w:rsidRDefault="002774A4" w:rsidP="00594466">
      <w:pPr>
        <w:pStyle w:val="FootnoteText"/>
      </w:pPr>
      <w:r>
        <w:rPr>
          <w:rStyle w:val="FootnoteReference"/>
        </w:rPr>
        <w:footnoteRef/>
      </w:r>
      <w:r>
        <w:t xml:space="preserve"> </w:t>
      </w:r>
      <w:r>
        <w:rPr>
          <w:i/>
        </w:rPr>
        <w:t xml:space="preserve">Ibid, </w:t>
      </w:r>
      <w:r>
        <w:t xml:space="preserve">art </w:t>
      </w:r>
      <w:proofErr w:type="gramStart"/>
      <w:r>
        <w:t>37.</w:t>
      </w:r>
      <w:proofErr w:type="gramEnd"/>
    </w:p>
  </w:footnote>
  <w:footnote w:id="97">
    <w:p w14:paraId="2078B15A" w14:textId="028E2401" w:rsidR="002774A4" w:rsidRPr="00ED1B3F" w:rsidRDefault="002774A4" w:rsidP="00594466">
      <w:pPr>
        <w:pStyle w:val="FootnoteText"/>
      </w:pPr>
      <w:r>
        <w:rPr>
          <w:rStyle w:val="FootnoteReference"/>
        </w:rPr>
        <w:footnoteRef/>
      </w:r>
      <w:r>
        <w:t xml:space="preserve"> </w:t>
      </w:r>
      <w:r>
        <w:rPr>
          <w:i/>
        </w:rPr>
        <w:t xml:space="preserve">Ibid, </w:t>
      </w:r>
      <w:r>
        <w:t>art 2(k)</w:t>
      </w:r>
      <w:proofErr w:type="gramStart"/>
      <w:r>
        <w:t>.</w:t>
      </w:r>
      <w:proofErr w:type="gramEnd"/>
    </w:p>
  </w:footnote>
  <w:footnote w:id="98">
    <w:p w14:paraId="51388CE8" w14:textId="1BCDFC41" w:rsidR="002774A4" w:rsidRPr="006E01D3" w:rsidRDefault="002774A4" w:rsidP="00594466">
      <w:pPr>
        <w:pStyle w:val="FootnoteText"/>
        <w:rPr>
          <w:i/>
        </w:rPr>
      </w:pPr>
      <w:r>
        <w:rPr>
          <w:rStyle w:val="FootnoteReference"/>
        </w:rPr>
        <w:footnoteRef/>
      </w:r>
      <w:r>
        <w:t xml:space="preserve"> </w:t>
      </w:r>
      <w:r>
        <w:rPr>
          <w:i/>
        </w:rPr>
        <w:t xml:space="preserve">Ibid. </w:t>
      </w:r>
    </w:p>
  </w:footnote>
  <w:footnote w:id="99">
    <w:p w14:paraId="7A93812D" w14:textId="20B426EC" w:rsidR="002774A4" w:rsidRPr="00517053" w:rsidRDefault="002774A4">
      <w:pPr>
        <w:pStyle w:val="FootnoteText"/>
      </w:pPr>
      <w:r>
        <w:rPr>
          <w:rStyle w:val="FootnoteReference"/>
        </w:rPr>
        <w:footnoteRef/>
      </w:r>
      <w:r>
        <w:t xml:space="preserve"> </w:t>
      </w:r>
      <w:r>
        <w:rPr>
          <w:i/>
        </w:rPr>
        <w:t xml:space="preserve">Ibid, </w:t>
      </w:r>
      <w:r>
        <w:t>arts 22-25.</w:t>
      </w:r>
    </w:p>
  </w:footnote>
  <w:footnote w:id="100">
    <w:p w14:paraId="4FADD529" w14:textId="1921DC07" w:rsidR="002774A4" w:rsidRPr="00982100" w:rsidRDefault="002774A4" w:rsidP="00517053">
      <w:pPr>
        <w:pStyle w:val="FootnoteText"/>
      </w:pPr>
      <w:r>
        <w:rPr>
          <w:rStyle w:val="FootnoteReference"/>
        </w:rPr>
        <w:footnoteRef/>
      </w:r>
      <w:r>
        <w:t xml:space="preserve"> </w:t>
      </w:r>
      <w:r>
        <w:rPr>
          <w:i/>
        </w:rPr>
        <w:t xml:space="preserve">Ibid, </w:t>
      </w:r>
      <w:r>
        <w:t xml:space="preserve">art </w:t>
      </w:r>
      <w:proofErr w:type="gramStart"/>
      <w:r>
        <w:t>14.</w:t>
      </w:r>
      <w:proofErr w:type="gramEnd"/>
    </w:p>
  </w:footnote>
  <w:footnote w:id="101">
    <w:p w14:paraId="2D04C4E3" w14:textId="080E4C4A" w:rsidR="002774A4" w:rsidRPr="00C43B81" w:rsidRDefault="002774A4">
      <w:pPr>
        <w:pStyle w:val="FootnoteText"/>
      </w:pPr>
      <w:r>
        <w:rPr>
          <w:rStyle w:val="FootnoteReference"/>
        </w:rPr>
        <w:footnoteRef/>
      </w:r>
      <w:r>
        <w:t xml:space="preserve"> </w:t>
      </w:r>
      <w:r>
        <w:rPr>
          <w:i/>
        </w:rPr>
        <w:t>Ibid.</w:t>
      </w:r>
    </w:p>
  </w:footnote>
  <w:footnote w:id="102">
    <w:p w14:paraId="209C54FE" w14:textId="2BA3C08E" w:rsidR="002774A4" w:rsidRPr="00961CD8" w:rsidRDefault="002774A4">
      <w:pPr>
        <w:pStyle w:val="FootnoteText"/>
      </w:pPr>
      <w:r>
        <w:rPr>
          <w:rStyle w:val="FootnoteReference"/>
        </w:rPr>
        <w:footnoteRef/>
      </w:r>
      <w:r>
        <w:t xml:space="preserve"> </w:t>
      </w:r>
      <w:r>
        <w:rPr>
          <w:i/>
        </w:rPr>
        <w:t xml:space="preserve">Ibid, </w:t>
      </w:r>
      <w:r>
        <w:t xml:space="preserve">art </w:t>
      </w:r>
      <w:proofErr w:type="gramStart"/>
      <w:r>
        <w:t>13.</w:t>
      </w:r>
      <w:proofErr w:type="gramEnd"/>
    </w:p>
  </w:footnote>
  <w:footnote w:id="103">
    <w:p w14:paraId="052F2D77" w14:textId="14A126FB" w:rsidR="002774A4" w:rsidRPr="00A83FD7" w:rsidRDefault="002774A4" w:rsidP="00594466">
      <w:pPr>
        <w:pStyle w:val="FootnoteText"/>
        <w:rPr>
          <w:lang w:val="es-419"/>
        </w:rPr>
      </w:pPr>
      <w:r>
        <w:rPr>
          <w:rStyle w:val="FootnoteReference"/>
        </w:rPr>
        <w:footnoteRef/>
      </w:r>
      <w:r w:rsidRPr="00A83FD7">
        <w:rPr>
          <w:lang w:val="es-419"/>
        </w:rPr>
        <w:t xml:space="preserve"> </w:t>
      </w:r>
      <w:proofErr w:type="spellStart"/>
      <w:r w:rsidRPr="00A83FD7">
        <w:rPr>
          <w:i/>
          <w:lang w:val="es-419"/>
        </w:rPr>
        <w:t>Ibid</w:t>
      </w:r>
      <w:proofErr w:type="spellEnd"/>
      <w:r w:rsidRPr="00A83FD7">
        <w:rPr>
          <w:i/>
          <w:lang w:val="es-419"/>
        </w:rPr>
        <w:t xml:space="preserve">. </w:t>
      </w:r>
    </w:p>
  </w:footnote>
  <w:footnote w:id="104">
    <w:p w14:paraId="14DBAE09" w14:textId="1966D1E9" w:rsidR="002774A4" w:rsidRPr="00A83FD7" w:rsidRDefault="002774A4">
      <w:pPr>
        <w:pStyle w:val="FootnoteText"/>
        <w:rPr>
          <w:lang w:val="es-419"/>
        </w:rPr>
      </w:pPr>
      <w:r>
        <w:rPr>
          <w:rStyle w:val="FootnoteReference"/>
        </w:rPr>
        <w:footnoteRef/>
      </w:r>
      <w:r w:rsidRPr="00A83FD7">
        <w:rPr>
          <w:lang w:val="es-419"/>
        </w:rPr>
        <w:t xml:space="preserve"> </w:t>
      </w:r>
      <w:proofErr w:type="spellStart"/>
      <w:r w:rsidRPr="00A83FD7">
        <w:rPr>
          <w:lang w:val="es-419"/>
        </w:rPr>
        <w:t>United</w:t>
      </w:r>
      <w:proofErr w:type="spellEnd"/>
      <w:r w:rsidRPr="00A83FD7">
        <w:rPr>
          <w:lang w:val="es-419"/>
        </w:rPr>
        <w:t xml:space="preserve"> </w:t>
      </w:r>
      <w:proofErr w:type="spellStart"/>
      <w:r w:rsidRPr="00A83FD7">
        <w:rPr>
          <w:lang w:val="es-419"/>
        </w:rPr>
        <w:t>Nations</w:t>
      </w:r>
      <w:proofErr w:type="spellEnd"/>
      <w:r w:rsidRPr="00A83FD7">
        <w:rPr>
          <w:lang w:val="es-419"/>
        </w:rPr>
        <w:t xml:space="preserve"> </w:t>
      </w:r>
      <w:proofErr w:type="spellStart"/>
      <w:r w:rsidRPr="00A83FD7">
        <w:rPr>
          <w:lang w:val="es-419"/>
        </w:rPr>
        <w:t>Population</w:t>
      </w:r>
      <w:proofErr w:type="spellEnd"/>
      <w:r w:rsidRPr="00A83FD7">
        <w:rPr>
          <w:lang w:val="es-419"/>
        </w:rPr>
        <w:t xml:space="preserve"> </w:t>
      </w:r>
      <w:proofErr w:type="spellStart"/>
      <w:r w:rsidRPr="00A83FD7">
        <w:rPr>
          <w:lang w:val="es-419"/>
        </w:rPr>
        <w:t>Fund</w:t>
      </w:r>
      <w:proofErr w:type="spellEnd"/>
      <w:r w:rsidRPr="00A83FD7">
        <w:rPr>
          <w:lang w:val="es-419"/>
        </w:rPr>
        <w:t xml:space="preserve"> &amp; </w:t>
      </w:r>
      <w:proofErr w:type="spellStart"/>
      <w:r w:rsidRPr="00A83FD7">
        <w:rPr>
          <w:lang w:val="es-419"/>
        </w:rPr>
        <w:t>Conapdis</w:t>
      </w:r>
      <w:proofErr w:type="spellEnd"/>
      <w:r w:rsidRPr="00A83FD7">
        <w:rPr>
          <w:lang w:val="es-419"/>
        </w:rPr>
        <w:t xml:space="preserve">, “Ley de Autonomía Personal: Por el derecho a decidir mi proyecto de vida” (San José, Costa Rica: </w:t>
      </w:r>
      <w:proofErr w:type="spellStart"/>
      <w:r w:rsidRPr="00A83FD7">
        <w:rPr>
          <w:lang w:val="es-419"/>
        </w:rPr>
        <w:t>United</w:t>
      </w:r>
      <w:proofErr w:type="spellEnd"/>
      <w:r w:rsidRPr="00A83FD7">
        <w:rPr>
          <w:lang w:val="es-419"/>
        </w:rPr>
        <w:t xml:space="preserve"> </w:t>
      </w:r>
      <w:proofErr w:type="spellStart"/>
      <w:r w:rsidRPr="00A83FD7">
        <w:rPr>
          <w:lang w:val="es-419"/>
        </w:rPr>
        <w:t>Nations</w:t>
      </w:r>
      <w:proofErr w:type="spellEnd"/>
      <w:r w:rsidRPr="00A83FD7">
        <w:rPr>
          <w:lang w:val="es-419"/>
        </w:rPr>
        <w:t xml:space="preserve"> </w:t>
      </w:r>
      <w:proofErr w:type="spellStart"/>
      <w:r w:rsidRPr="00A83FD7">
        <w:rPr>
          <w:lang w:val="es-419"/>
        </w:rPr>
        <w:t>Population</w:t>
      </w:r>
      <w:proofErr w:type="spellEnd"/>
      <w:r w:rsidRPr="00A83FD7">
        <w:rPr>
          <w:lang w:val="es-419"/>
        </w:rPr>
        <w:t xml:space="preserve"> </w:t>
      </w:r>
      <w:proofErr w:type="spellStart"/>
      <w:r w:rsidRPr="00A83FD7">
        <w:rPr>
          <w:lang w:val="es-419"/>
        </w:rPr>
        <w:t>Fund</w:t>
      </w:r>
      <w:proofErr w:type="spellEnd"/>
      <w:r w:rsidRPr="00A83FD7">
        <w:rPr>
          <w:lang w:val="es-419"/>
        </w:rPr>
        <w:t xml:space="preserve">, 2018) at 32, online: &lt; </w:t>
      </w:r>
      <w:hyperlink r:id="rId6" w:history="1">
        <w:r w:rsidRPr="00A83FD7">
          <w:rPr>
            <w:rStyle w:val="Hyperlink"/>
            <w:lang w:val="es-419"/>
          </w:rPr>
          <w:t>https://www.google.com/url?sa=t&amp;rct=j&amp;q=&amp;esrc=s&amp;source=web&amp;cd=3&amp;ved=2ahUKEwjgivP4mNDjAhWFyqYKHRaXA14QFjACegQIAhAC&amp;url=https%3A%2F%2Fcostarica.unfpa.org%2Fsites%2Fdefault%2Ffiles%2Fpub-pdf%2Fcuaderno%2520autonomi%25CC%2581a-baja.pdf&amp;usg=AOvVaw2lpz17MKJAXptzauLeDS5G</w:t>
        </w:r>
      </w:hyperlink>
      <w:r w:rsidRPr="00A83FD7">
        <w:rPr>
          <w:lang w:val="es-419"/>
        </w:rPr>
        <w:t>&gt;.</w:t>
      </w:r>
    </w:p>
  </w:footnote>
  <w:footnote w:id="105">
    <w:p w14:paraId="745D99FA" w14:textId="2F4AB169" w:rsidR="002774A4" w:rsidRPr="003B7CEC" w:rsidRDefault="002774A4">
      <w:pPr>
        <w:pStyle w:val="FootnoteText"/>
      </w:pPr>
      <w:r>
        <w:rPr>
          <w:rStyle w:val="FootnoteReference"/>
        </w:rPr>
        <w:footnoteRef/>
      </w:r>
      <w:r>
        <w:t xml:space="preserve"> </w:t>
      </w:r>
      <w:r>
        <w:rPr>
          <w:i/>
        </w:rPr>
        <w:t xml:space="preserve">Law Number 9379, supra </w:t>
      </w:r>
      <w:r>
        <w:t xml:space="preserve">note </w:t>
      </w:r>
      <w:r>
        <w:fldChar w:fldCharType="begin"/>
      </w:r>
      <w:r>
        <w:instrText xml:space="preserve"> NOTEREF _Ref15297625 \h </w:instrText>
      </w:r>
      <w:r>
        <w:fldChar w:fldCharType="separate"/>
      </w:r>
      <w:r>
        <w:t>67</w:t>
      </w:r>
      <w:r>
        <w:fldChar w:fldCharType="end"/>
      </w:r>
      <w:r>
        <w:t>,</w:t>
      </w:r>
      <w:r>
        <w:rPr>
          <w:i/>
        </w:rPr>
        <w:t xml:space="preserve"> </w:t>
      </w:r>
      <w:r>
        <w:t>arts 27-28.</w:t>
      </w:r>
    </w:p>
  </w:footnote>
  <w:footnote w:id="106">
    <w:p w14:paraId="5042DE47" w14:textId="60304DBA" w:rsidR="002774A4" w:rsidRPr="00F30EAF" w:rsidRDefault="002774A4">
      <w:pPr>
        <w:pStyle w:val="FootnoteText"/>
      </w:pPr>
      <w:r>
        <w:rPr>
          <w:rStyle w:val="FootnoteReference"/>
        </w:rPr>
        <w:footnoteRef/>
      </w:r>
      <w:r>
        <w:t xml:space="preserve"> </w:t>
      </w:r>
      <w:r>
        <w:rPr>
          <w:i/>
        </w:rPr>
        <w:t xml:space="preserve">Ibid, </w:t>
      </w:r>
      <w:r>
        <w:t>art 20(j)</w:t>
      </w:r>
      <w:proofErr w:type="gramStart"/>
      <w:r>
        <w:t>.</w:t>
      </w:r>
      <w:proofErr w:type="gramEnd"/>
    </w:p>
  </w:footnote>
  <w:footnote w:id="107">
    <w:p w14:paraId="753FEA9A" w14:textId="0F4A2952" w:rsidR="002774A4" w:rsidRPr="002433AA" w:rsidRDefault="002774A4" w:rsidP="00594466">
      <w:pPr>
        <w:pStyle w:val="FootnoteText"/>
      </w:pPr>
      <w:r>
        <w:rPr>
          <w:rStyle w:val="FootnoteReference"/>
        </w:rPr>
        <w:footnoteRef/>
      </w:r>
      <w:r>
        <w:t xml:space="preserve"> </w:t>
      </w:r>
      <w:r>
        <w:rPr>
          <w:i/>
        </w:rPr>
        <w:t xml:space="preserve">Ibid, </w:t>
      </w:r>
      <w:r>
        <w:t>art 5(a)</w:t>
      </w:r>
      <w:proofErr w:type="gramStart"/>
      <w:r>
        <w:t>.</w:t>
      </w:r>
      <w:proofErr w:type="gramEnd"/>
    </w:p>
  </w:footnote>
  <w:footnote w:id="108">
    <w:p w14:paraId="27447F7C" w14:textId="1ACFCF98" w:rsidR="002774A4" w:rsidRPr="00A06640" w:rsidRDefault="002774A4" w:rsidP="00594466">
      <w:pPr>
        <w:pStyle w:val="FootnoteText"/>
      </w:pPr>
      <w:r>
        <w:rPr>
          <w:rStyle w:val="FootnoteReference"/>
        </w:rPr>
        <w:footnoteRef/>
      </w:r>
      <w:r>
        <w:t xml:space="preserve"> Arlene S Kanter &amp; </w:t>
      </w:r>
      <w:proofErr w:type="spellStart"/>
      <w:r>
        <w:t>Yotam</w:t>
      </w:r>
      <w:proofErr w:type="spellEnd"/>
      <w:r>
        <w:t xml:space="preserve"> </w:t>
      </w:r>
      <w:proofErr w:type="spellStart"/>
      <w:r>
        <w:t>Tolub</w:t>
      </w:r>
      <w:proofErr w:type="spellEnd"/>
      <w:r>
        <w:t xml:space="preserve">, “The Fight for Personhood, Legal Capacity, and Equal Recognition Under Law for People with Disabilities in Israel and Beyond” 39:557 </w:t>
      </w:r>
      <w:r w:rsidRPr="009C0D1E">
        <w:t>Cardozo Law Review</w:t>
      </w:r>
      <w:r>
        <w:rPr>
          <w:i/>
        </w:rPr>
        <w:t xml:space="preserve"> </w:t>
      </w:r>
      <w:r>
        <w:t>557 at 606, online: &lt;</w:t>
      </w:r>
      <w:r w:rsidRPr="00B22319">
        <w:t xml:space="preserve"> https://papers.ssrn.com/sol3/papers.cfm?abstract_id=3114364</w:t>
      </w:r>
      <w:r>
        <w:t>&gt;.</w:t>
      </w:r>
    </w:p>
  </w:footnote>
  <w:footnote w:id="109">
    <w:p w14:paraId="09DB7CD6" w14:textId="0252C5B3" w:rsidR="002774A4" w:rsidRPr="00B56C1D" w:rsidRDefault="002774A4" w:rsidP="00594466">
      <w:pPr>
        <w:pStyle w:val="FootnoteText"/>
      </w:pPr>
      <w:r>
        <w:rPr>
          <w:rStyle w:val="FootnoteReference"/>
        </w:rPr>
        <w:footnoteRef/>
      </w:r>
      <w:r>
        <w:t xml:space="preserve"> </w:t>
      </w:r>
      <w:r>
        <w:rPr>
          <w:i/>
        </w:rPr>
        <w:t>Ibid.</w:t>
      </w:r>
    </w:p>
  </w:footnote>
  <w:footnote w:id="110">
    <w:p w14:paraId="3B4B8996" w14:textId="03C8FFFB" w:rsidR="002774A4" w:rsidRPr="00B8324D" w:rsidRDefault="002774A4">
      <w:pPr>
        <w:pStyle w:val="FootnoteText"/>
      </w:pPr>
      <w:r>
        <w:rPr>
          <w:rStyle w:val="FootnoteReference"/>
        </w:rPr>
        <w:footnoteRef/>
      </w:r>
      <w:r>
        <w:t xml:space="preserve"> </w:t>
      </w:r>
      <w:r>
        <w:rPr>
          <w:i/>
        </w:rPr>
        <w:t xml:space="preserve">Law Number 9379, supra </w:t>
      </w:r>
      <w:r>
        <w:t xml:space="preserve">note </w:t>
      </w:r>
      <w:r>
        <w:fldChar w:fldCharType="begin"/>
      </w:r>
      <w:r>
        <w:instrText xml:space="preserve"> NOTEREF _Ref15297625 \h </w:instrText>
      </w:r>
      <w:r>
        <w:fldChar w:fldCharType="separate"/>
      </w:r>
      <w:r>
        <w:t>67</w:t>
      </w:r>
      <w:r>
        <w:fldChar w:fldCharType="end"/>
      </w:r>
      <w:r>
        <w:t>, art 2(l).</w:t>
      </w:r>
    </w:p>
  </w:footnote>
  <w:footnote w:id="111">
    <w:p w14:paraId="4450C77A" w14:textId="744C2BDD" w:rsidR="002774A4" w:rsidRPr="00041866" w:rsidRDefault="002774A4" w:rsidP="00594466">
      <w:pPr>
        <w:pStyle w:val="FootnoteText"/>
      </w:pPr>
      <w:r>
        <w:rPr>
          <w:rStyle w:val="FootnoteReference"/>
        </w:rPr>
        <w:footnoteRef/>
      </w:r>
      <w:r>
        <w:t xml:space="preserve"> </w:t>
      </w:r>
      <w:r>
        <w:rPr>
          <w:i/>
        </w:rPr>
        <w:t>Ibid</w:t>
      </w:r>
      <w:r>
        <w:t>, art 11(a)</w:t>
      </w:r>
      <w:proofErr w:type="gramStart"/>
      <w:r>
        <w:t>.</w:t>
      </w:r>
      <w:proofErr w:type="gramEnd"/>
    </w:p>
  </w:footnote>
  <w:footnote w:id="112">
    <w:p w14:paraId="6A0173D3" w14:textId="4B677865" w:rsidR="002774A4" w:rsidRPr="00205E0C" w:rsidRDefault="002774A4" w:rsidP="00594466">
      <w:pPr>
        <w:pStyle w:val="FootnoteText"/>
      </w:pPr>
      <w:r>
        <w:rPr>
          <w:rStyle w:val="FootnoteReference"/>
        </w:rPr>
        <w:footnoteRef/>
      </w:r>
      <w:r>
        <w:t xml:space="preserve"> </w:t>
      </w:r>
      <w:r>
        <w:rPr>
          <w:i/>
        </w:rPr>
        <w:t xml:space="preserve">Ibid, </w:t>
      </w:r>
      <w:r>
        <w:t>art 11(e)</w:t>
      </w:r>
      <w:proofErr w:type="gramStart"/>
      <w:r>
        <w:t>.</w:t>
      </w:r>
      <w:proofErr w:type="gramEnd"/>
    </w:p>
  </w:footnote>
  <w:footnote w:id="113">
    <w:p w14:paraId="0A461C8E" w14:textId="06C2A094" w:rsidR="002774A4" w:rsidRPr="009917FB" w:rsidRDefault="002774A4">
      <w:pPr>
        <w:pStyle w:val="FootnoteText"/>
      </w:pPr>
      <w:r>
        <w:rPr>
          <w:rStyle w:val="FootnoteReference"/>
        </w:rPr>
        <w:footnoteRef/>
      </w:r>
      <w:r>
        <w:t xml:space="preserve"> See </w:t>
      </w:r>
      <w:proofErr w:type="spellStart"/>
      <w:r>
        <w:t>Devandas</w:t>
      </w:r>
      <w:proofErr w:type="spellEnd"/>
      <w:r>
        <w:t xml:space="preserve"> Aguilar, </w:t>
      </w:r>
      <w:r>
        <w:rPr>
          <w:i/>
        </w:rPr>
        <w:t xml:space="preserve">supra </w:t>
      </w:r>
      <w:r>
        <w:t xml:space="preserve">note </w:t>
      </w:r>
      <w:r>
        <w:fldChar w:fldCharType="begin"/>
      </w:r>
      <w:r>
        <w:instrText xml:space="preserve"> NOTEREF _Ref15295121 \h </w:instrText>
      </w:r>
      <w:r>
        <w:fldChar w:fldCharType="separate"/>
      </w:r>
      <w:proofErr w:type="gramStart"/>
      <w:r>
        <w:t>8</w:t>
      </w:r>
      <w:proofErr w:type="gramEnd"/>
      <w:r>
        <w:fldChar w:fldCharType="end"/>
      </w:r>
      <w:r>
        <w:t xml:space="preserve"> at para 30. </w:t>
      </w:r>
    </w:p>
  </w:footnote>
  <w:footnote w:id="114">
    <w:p w14:paraId="545EE864" w14:textId="01CCE812" w:rsidR="002774A4" w:rsidRPr="00F37914" w:rsidRDefault="002774A4" w:rsidP="00D450C6">
      <w:pPr>
        <w:pStyle w:val="FootnoteText"/>
      </w:pPr>
      <w:r>
        <w:rPr>
          <w:rStyle w:val="FootnoteReference"/>
        </w:rPr>
        <w:footnoteRef/>
      </w:r>
      <w:r>
        <w:t xml:space="preserve"> </w:t>
      </w:r>
      <w:r w:rsidRPr="00A64A38">
        <w:rPr>
          <w:i/>
        </w:rPr>
        <w:t>Law Number 9379</w:t>
      </w:r>
      <w:r>
        <w:rPr>
          <w:i/>
        </w:rPr>
        <w:t xml:space="preserve">, supra </w:t>
      </w:r>
      <w:r>
        <w:t xml:space="preserve">note </w:t>
      </w:r>
      <w:r>
        <w:fldChar w:fldCharType="begin"/>
      </w:r>
      <w:r>
        <w:instrText xml:space="preserve"> NOTEREF _Ref15297625 \h </w:instrText>
      </w:r>
      <w:r>
        <w:fldChar w:fldCharType="separate"/>
      </w:r>
      <w:r>
        <w:t>67</w:t>
      </w:r>
      <w:r>
        <w:fldChar w:fldCharType="end"/>
      </w:r>
      <w:r>
        <w:t>, art 9.</w:t>
      </w:r>
    </w:p>
  </w:footnote>
  <w:footnote w:id="115">
    <w:p w14:paraId="5984A572" w14:textId="7EEE4E2B" w:rsidR="002774A4" w:rsidRPr="002E0873" w:rsidRDefault="002774A4">
      <w:pPr>
        <w:pStyle w:val="FootnoteText"/>
      </w:pPr>
      <w:r>
        <w:rPr>
          <w:rStyle w:val="FootnoteReference"/>
        </w:rPr>
        <w:footnoteRef/>
      </w:r>
      <w:r>
        <w:t xml:space="preserve"> </w:t>
      </w:r>
      <w:r>
        <w:rPr>
          <w:i/>
        </w:rPr>
        <w:t xml:space="preserve">Ibid, </w:t>
      </w:r>
      <w:r>
        <w:t>art 20(i)</w:t>
      </w:r>
      <w:proofErr w:type="gramStart"/>
      <w:r>
        <w:t>.</w:t>
      </w:r>
      <w:proofErr w:type="gramEnd"/>
    </w:p>
  </w:footnote>
  <w:footnote w:id="116">
    <w:p w14:paraId="68F4FACA" w14:textId="77777777" w:rsidR="002774A4" w:rsidRDefault="002774A4" w:rsidP="00C315BB">
      <w:pPr>
        <w:pStyle w:val="FootnoteText"/>
      </w:pPr>
      <w:r>
        <w:rPr>
          <w:rStyle w:val="FootnoteReference"/>
        </w:rPr>
        <w:footnoteRef/>
      </w:r>
      <w:r>
        <w:t xml:space="preserve"> </w:t>
      </w:r>
      <w:proofErr w:type="spellStart"/>
      <w:r>
        <w:t>Informe</w:t>
      </w:r>
      <w:proofErr w:type="spellEnd"/>
      <w:r>
        <w:t xml:space="preserve"> </w:t>
      </w:r>
      <w:proofErr w:type="spellStart"/>
      <w:r>
        <w:t>Alternativo</w:t>
      </w:r>
      <w:proofErr w:type="spellEnd"/>
      <w:r>
        <w:t xml:space="preserve">, </w:t>
      </w:r>
      <w:r w:rsidRPr="00CB45B6">
        <w:rPr>
          <w:i/>
        </w:rPr>
        <w:t>Information for the Committee on the Rights of Persons with Disabilities</w:t>
      </w:r>
      <w:r>
        <w:t xml:space="preserve"> (31 January 2018) at </w:t>
      </w:r>
      <w:proofErr w:type="gramStart"/>
      <w:r>
        <w:t>5</w:t>
      </w:r>
      <w:proofErr w:type="gramEnd"/>
      <w:r>
        <w:t>, online: &lt;</w:t>
      </w:r>
      <w:r w:rsidRPr="00067702">
        <w:t xml:space="preserve"> https://tbinternet.ohchr.org/_layouts/15/treatybodyexternal/Download.aspx?symbolno=INT%2fCRPD%2fICS%2fCRI%2f30084&amp;Lang=en</w:t>
      </w:r>
      <w:r>
        <w:t>&gt;.</w:t>
      </w:r>
    </w:p>
  </w:footnote>
  <w:footnote w:id="117">
    <w:p w14:paraId="339C5756" w14:textId="03ED8A5F" w:rsidR="002774A4" w:rsidRPr="00673E76" w:rsidRDefault="002774A4" w:rsidP="00594466">
      <w:pPr>
        <w:pStyle w:val="FootnoteText"/>
      </w:pPr>
      <w:r>
        <w:rPr>
          <w:rStyle w:val="FootnoteReference"/>
        </w:rPr>
        <w:footnoteRef/>
      </w:r>
      <w:r>
        <w:t xml:space="preserve"> See </w:t>
      </w:r>
      <w:proofErr w:type="spellStart"/>
      <w:r>
        <w:t>Devandas</w:t>
      </w:r>
      <w:proofErr w:type="spellEnd"/>
      <w:r>
        <w:t xml:space="preserve"> Aguilar, </w:t>
      </w:r>
      <w:r>
        <w:rPr>
          <w:i/>
        </w:rPr>
        <w:t xml:space="preserve">supra </w:t>
      </w:r>
      <w:r>
        <w:t xml:space="preserve">note </w:t>
      </w:r>
      <w:r>
        <w:fldChar w:fldCharType="begin"/>
      </w:r>
      <w:r>
        <w:instrText xml:space="preserve"> NOTEREF _Ref15295121 \h </w:instrText>
      </w:r>
      <w:r>
        <w:fldChar w:fldCharType="separate"/>
      </w:r>
      <w:proofErr w:type="gramStart"/>
      <w:r>
        <w:t>8</w:t>
      </w:r>
      <w:proofErr w:type="gramEnd"/>
      <w:r>
        <w:fldChar w:fldCharType="end"/>
      </w:r>
      <w:r>
        <w:t xml:space="preserve"> at para 39.</w:t>
      </w:r>
    </w:p>
  </w:footnote>
  <w:footnote w:id="118">
    <w:p w14:paraId="4AABADDC" w14:textId="67E03FF9" w:rsidR="002774A4" w:rsidRPr="00836AF5" w:rsidRDefault="002774A4">
      <w:pPr>
        <w:pStyle w:val="FootnoteText"/>
      </w:pPr>
      <w:r>
        <w:rPr>
          <w:rStyle w:val="FootnoteReference"/>
        </w:rPr>
        <w:footnoteRef/>
      </w:r>
      <w:r>
        <w:t xml:space="preserve"> </w:t>
      </w:r>
      <w:r>
        <w:rPr>
          <w:i/>
        </w:rPr>
        <w:t xml:space="preserve">Law Number 26,994, </w:t>
      </w:r>
      <w:r>
        <w:t>Argentina, 1 August 2015, online: &lt;</w:t>
      </w:r>
      <w:r w:rsidRPr="00836AF5">
        <w:t>https://limeres.com/argentina-civil-commercial-code-2015-english-version/</w:t>
      </w:r>
      <w:r>
        <w:t xml:space="preserve">&gt;.  </w:t>
      </w:r>
    </w:p>
  </w:footnote>
  <w:footnote w:id="119">
    <w:p w14:paraId="1A54CFA0" w14:textId="5C045DA9" w:rsidR="002774A4" w:rsidRPr="003B309B" w:rsidRDefault="002774A4">
      <w:pPr>
        <w:pStyle w:val="FootnoteText"/>
      </w:pPr>
      <w:r>
        <w:rPr>
          <w:rStyle w:val="FootnoteReference"/>
        </w:rPr>
        <w:footnoteRef/>
      </w:r>
      <w:r>
        <w:t xml:space="preserve"> Convention on the Rights of Persons with Disabilities,” </w:t>
      </w:r>
      <w:r>
        <w:rPr>
          <w:i/>
        </w:rPr>
        <w:t xml:space="preserve">supra </w:t>
      </w:r>
      <w:r>
        <w:t xml:space="preserve">note </w:t>
      </w:r>
      <w:r>
        <w:fldChar w:fldCharType="begin"/>
      </w:r>
      <w:r>
        <w:instrText xml:space="preserve"> NOTEREF _Ref15297432 \h </w:instrText>
      </w:r>
      <w:r>
        <w:fldChar w:fldCharType="separate"/>
      </w:r>
      <w:r>
        <w:t>20</w:t>
      </w:r>
      <w:r>
        <w:fldChar w:fldCharType="end"/>
      </w:r>
      <w:r>
        <w:t>.</w:t>
      </w:r>
    </w:p>
  </w:footnote>
  <w:footnote w:id="120">
    <w:p w14:paraId="24D349BC" w14:textId="00952C7F" w:rsidR="002774A4" w:rsidRPr="008C642B" w:rsidRDefault="002774A4" w:rsidP="005520E9">
      <w:pPr>
        <w:pStyle w:val="FootnoteText"/>
      </w:pPr>
      <w:r>
        <w:rPr>
          <w:rStyle w:val="FootnoteReference"/>
        </w:rPr>
        <w:footnoteRef/>
      </w:r>
      <w:r>
        <w:t xml:space="preserve"> Martinez-</w:t>
      </w:r>
      <w:proofErr w:type="spellStart"/>
      <w:r>
        <w:t>Pujalte</w:t>
      </w:r>
      <w:proofErr w:type="spellEnd"/>
      <w:r>
        <w:t xml:space="preserve">, </w:t>
      </w:r>
      <w:r>
        <w:rPr>
          <w:i/>
        </w:rPr>
        <w:t xml:space="preserve">supra </w:t>
      </w:r>
      <w:r>
        <w:t xml:space="preserve">note </w:t>
      </w:r>
      <w:r>
        <w:fldChar w:fldCharType="begin"/>
      </w:r>
      <w:r>
        <w:instrText xml:space="preserve"> NOTEREF _Ref15295460 \h </w:instrText>
      </w:r>
      <w:r>
        <w:fldChar w:fldCharType="separate"/>
      </w:r>
      <w:r>
        <w:t>47</w:t>
      </w:r>
      <w:r>
        <w:fldChar w:fldCharType="end"/>
      </w:r>
      <w:r>
        <w:t xml:space="preserve"> at </w:t>
      </w:r>
      <w:proofErr w:type="gramStart"/>
      <w:r>
        <w:t>7</w:t>
      </w:r>
      <w:proofErr w:type="gramEnd"/>
      <w:r>
        <w:t>.</w:t>
      </w:r>
    </w:p>
  </w:footnote>
  <w:footnote w:id="121">
    <w:p w14:paraId="3E265051" w14:textId="3FFF02A6" w:rsidR="002774A4" w:rsidRPr="006E611E" w:rsidRDefault="002774A4">
      <w:pPr>
        <w:pStyle w:val="FootnoteText"/>
      </w:pPr>
      <w:r>
        <w:rPr>
          <w:rStyle w:val="FootnoteReference"/>
        </w:rPr>
        <w:footnoteRef/>
      </w:r>
      <w:r>
        <w:t xml:space="preserve"> See </w:t>
      </w:r>
      <w:r>
        <w:rPr>
          <w:i/>
        </w:rPr>
        <w:t xml:space="preserve">Participating Organizations: Alternative Report – Committee on the Rights of Persons with Disabilities – Situation of the Rights of Persons with Disabilities in Argentina </w:t>
      </w:r>
      <w:r>
        <w:t>(15 August 2017), online: &lt;</w:t>
      </w:r>
      <w:r w:rsidRPr="00CE368F">
        <w:t xml:space="preserve"> https://tbinternet.ohchr.org/Treaties/CRPD/Shared%20Documents/ARG/INT_CRPD_ICS_ARG_28579_E.docx</w:t>
      </w:r>
      <w:r>
        <w:t>&gt;.</w:t>
      </w:r>
    </w:p>
  </w:footnote>
  <w:footnote w:id="122">
    <w:p w14:paraId="58C08524" w14:textId="13B5CE7B" w:rsidR="002774A4" w:rsidRPr="00D56D7B" w:rsidRDefault="002774A4" w:rsidP="005520E9">
      <w:pPr>
        <w:pStyle w:val="FootnoteText"/>
      </w:pPr>
      <w:r>
        <w:rPr>
          <w:rStyle w:val="FootnoteReference"/>
        </w:rPr>
        <w:footnoteRef/>
      </w:r>
      <w:r>
        <w:t xml:space="preserve"> </w:t>
      </w:r>
      <w:r w:rsidRPr="00836AF5">
        <w:rPr>
          <w:i/>
        </w:rPr>
        <w:t>Argentina Civil and Commercial Code</w:t>
      </w:r>
      <w:r>
        <w:rPr>
          <w:i/>
        </w:rPr>
        <w:t xml:space="preserve">, supra </w:t>
      </w:r>
      <w:r>
        <w:t xml:space="preserve">note </w:t>
      </w:r>
      <w:r>
        <w:fldChar w:fldCharType="begin"/>
      </w:r>
      <w:r>
        <w:instrText xml:space="preserve"> NOTEREF _Ref15297830 \h </w:instrText>
      </w:r>
      <w:r>
        <w:fldChar w:fldCharType="separate"/>
      </w:r>
      <w:r>
        <w:t>118</w:t>
      </w:r>
      <w:r>
        <w:fldChar w:fldCharType="end"/>
      </w:r>
      <w:r>
        <w:t>, arts 22-23.</w:t>
      </w:r>
    </w:p>
  </w:footnote>
  <w:footnote w:id="123">
    <w:p w14:paraId="6CC099BB" w14:textId="6F9296C5" w:rsidR="002774A4" w:rsidRPr="008D3B2B" w:rsidRDefault="002774A4" w:rsidP="005520E9">
      <w:pPr>
        <w:pStyle w:val="FootnoteText"/>
      </w:pPr>
      <w:r>
        <w:rPr>
          <w:rStyle w:val="FootnoteReference"/>
        </w:rPr>
        <w:footnoteRef/>
      </w:r>
      <w:r>
        <w:t xml:space="preserve"> </w:t>
      </w:r>
      <w:r>
        <w:rPr>
          <w:i/>
        </w:rPr>
        <w:t xml:space="preserve">Ibid, </w:t>
      </w:r>
      <w:r>
        <w:t xml:space="preserve">art </w:t>
      </w:r>
      <w:proofErr w:type="gramStart"/>
      <w:r>
        <w:t>32.</w:t>
      </w:r>
      <w:proofErr w:type="gramEnd"/>
    </w:p>
  </w:footnote>
  <w:footnote w:id="124">
    <w:p w14:paraId="33D68B1A" w14:textId="7C4B2BA5" w:rsidR="002774A4" w:rsidRPr="008839F4" w:rsidRDefault="002774A4" w:rsidP="005520E9">
      <w:pPr>
        <w:pStyle w:val="FootnoteText"/>
      </w:pPr>
      <w:r>
        <w:rPr>
          <w:rStyle w:val="FootnoteReference"/>
        </w:rPr>
        <w:footnoteRef/>
      </w:r>
      <w:r>
        <w:t xml:space="preserve"> Martinez-</w:t>
      </w:r>
      <w:proofErr w:type="spellStart"/>
      <w:r>
        <w:t>Pujalte</w:t>
      </w:r>
      <w:proofErr w:type="spellEnd"/>
      <w:r>
        <w:t xml:space="preserve"> </w:t>
      </w:r>
      <w:r>
        <w:rPr>
          <w:i/>
        </w:rPr>
        <w:t xml:space="preserve">supra </w:t>
      </w:r>
      <w:r>
        <w:t xml:space="preserve">note </w:t>
      </w:r>
      <w:r>
        <w:fldChar w:fldCharType="begin"/>
      </w:r>
      <w:r>
        <w:instrText xml:space="preserve"> NOTEREF _Ref15295460 \h </w:instrText>
      </w:r>
      <w:r>
        <w:fldChar w:fldCharType="separate"/>
      </w:r>
      <w:r>
        <w:t>47</w:t>
      </w:r>
      <w:r>
        <w:fldChar w:fldCharType="end"/>
      </w:r>
      <w:r>
        <w:t xml:space="preserve"> at </w:t>
      </w:r>
      <w:proofErr w:type="gramStart"/>
      <w:r>
        <w:t>7</w:t>
      </w:r>
      <w:proofErr w:type="gramEnd"/>
      <w:r>
        <w:t>.</w:t>
      </w:r>
    </w:p>
  </w:footnote>
  <w:footnote w:id="125">
    <w:p w14:paraId="48A33B23" w14:textId="3C0FB339" w:rsidR="002774A4" w:rsidRPr="00660128" w:rsidRDefault="002774A4" w:rsidP="005520E9">
      <w:pPr>
        <w:pStyle w:val="FootnoteText"/>
      </w:pPr>
      <w:r>
        <w:rPr>
          <w:rStyle w:val="FootnoteReference"/>
        </w:rPr>
        <w:footnoteRef/>
      </w:r>
      <w:r>
        <w:t xml:space="preserve"> </w:t>
      </w:r>
      <w:r w:rsidRPr="00836AF5">
        <w:rPr>
          <w:i/>
        </w:rPr>
        <w:t>Argentina Civil and Commercial Code</w:t>
      </w:r>
      <w:r>
        <w:rPr>
          <w:i/>
        </w:rPr>
        <w:t xml:space="preserve">, supra </w:t>
      </w:r>
      <w:r>
        <w:t xml:space="preserve">note </w:t>
      </w:r>
      <w:r>
        <w:fldChar w:fldCharType="begin"/>
      </w:r>
      <w:r>
        <w:instrText xml:space="preserve"> NOTEREF _Ref15297830 \h </w:instrText>
      </w:r>
      <w:r>
        <w:fldChar w:fldCharType="separate"/>
      </w:r>
      <w:r>
        <w:t>118</w:t>
      </w:r>
      <w:r>
        <w:fldChar w:fldCharType="end"/>
      </w:r>
      <w:r>
        <w:t>, art 38.</w:t>
      </w:r>
    </w:p>
  </w:footnote>
  <w:footnote w:id="126">
    <w:p w14:paraId="39208DA0" w14:textId="6B67A976" w:rsidR="002774A4" w:rsidRPr="00A94402" w:rsidRDefault="002774A4" w:rsidP="005520E9">
      <w:pPr>
        <w:pStyle w:val="FootnoteText"/>
      </w:pPr>
      <w:r>
        <w:rPr>
          <w:rStyle w:val="FootnoteReference"/>
        </w:rPr>
        <w:footnoteRef/>
      </w:r>
      <w:r>
        <w:t xml:space="preserve"> Martinez-</w:t>
      </w:r>
      <w:proofErr w:type="spellStart"/>
      <w:r>
        <w:t>Pujalte</w:t>
      </w:r>
      <w:proofErr w:type="spellEnd"/>
      <w:r>
        <w:t xml:space="preserve"> </w:t>
      </w:r>
      <w:r>
        <w:rPr>
          <w:i/>
        </w:rPr>
        <w:t xml:space="preserve">supra </w:t>
      </w:r>
      <w:r>
        <w:t xml:space="preserve">note </w:t>
      </w:r>
      <w:r>
        <w:fldChar w:fldCharType="begin"/>
      </w:r>
      <w:r>
        <w:instrText xml:space="preserve"> NOTEREF _Ref15295460 \h </w:instrText>
      </w:r>
      <w:r>
        <w:fldChar w:fldCharType="separate"/>
      </w:r>
      <w:r>
        <w:t>47</w:t>
      </w:r>
      <w:r>
        <w:fldChar w:fldCharType="end"/>
      </w:r>
      <w:r>
        <w:t xml:space="preserve"> at </w:t>
      </w:r>
      <w:proofErr w:type="gramStart"/>
      <w:r>
        <w:t>7</w:t>
      </w:r>
      <w:proofErr w:type="gramEnd"/>
      <w:r>
        <w:t>.</w:t>
      </w:r>
    </w:p>
  </w:footnote>
  <w:footnote w:id="127">
    <w:p w14:paraId="30E5F9C9" w14:textId="7224B8A7" w:rsidR="002774A4" w:rsidRPr="00C74699" w:rsidRDefault="002774A4" w:rsidP="005520E9">
      <w:pPr>
        <w:pStyle w:val="FootnoteText"/>
      </w:pPr>
      <w:r>
        <w:rPr>
          <w:rStyle w:val="FootnoteReference"/>
        </w:rPr>
        <w:footnoteRef/>
      </w:r>
      <w:r>
        <w:t xml:space="preserve"> </w:t>
      </w:r>
      <w:r w:rsidRPr="00836AF5">
        <w:rPr>
          <w:i/>
        </w:rPr>
        <w:t>Argentina Civil and Commercial Code</w:t>
      </w:r>
      <w:r>
        <w:rPr>
          <w:i/>
        </w:rPr>
        <w:t xml:space="preserve">, supra </w:t>
      </w:r>
      <w:r>
        <w:t xml:space="preserve">note </w:t>
      </w:r>
      <w:r>
        <w:fldChar w:fldCharType="begin"/>
      </w:r>
      <w:r>
        <w:instrText xml:space="preserve"> NOTEREF _Ref15297830 \h </w:instrText>
      </w:r>
      <w:r>
        <w:fldChar w:fldCharType="separate"/>
      </w:r>
      <w:r>
        <w:t>118</w:t>
      </w:r>
      <w:r>
        <w:fldChar w:fldCharType="end"/>
      </w:r>
      <w:r>
        <w:t>, art 32.</w:t>
      </w:r>
    </w:p>
  </w:footnote>
  <w:footnote w:id="128">
    <w:p w14:paraId="4AE631CC" w14:textId="5D0B74D2" w:rsidR="002774A4" w:rsidRPr="001327A5" w:rsidRDefault="002774A4" w:rsidP="005520E9">
      <w:pPr>
        <w:pStyle w:val="FootnoteText"/>
      </w:pPr>
      <w:r>
        <w:rPr>
          <w:rStyle w:val="FootnoteReference"/>
        </w:rPr>
        <w:footnoteRef/>
      </w:r>
      <w:r>
        <w:t xml:space="preserve"> </w:t>
      </w:r>
      <w:r>
        <w:rPr>
          <w:i/>
        </w:rPr>
        <w:t xml:space="preserve">Ibid, </w:t>
      </w:r>
      <w:r>
        <w:t xml:space="preserve">art </w:t>
      </w:r>
      <w:proofErr w:type="gramStart"/>
      <w:r>
        <w:t>43.</w:t>
      </w:r>
      <w:proofErr w:type="gramEnd"/>
    </w:p>
  </w:footnote>
  <w:footnote w:id="129">
    <w:p w14:paraId="7C114084" w14:textId="6DDE9C9C" w:rsidR="002774A4" w:rsidRPr="00204C84" w:rsidRDefault="002774A4" w:rsidP="005520E9">
      <w:pPr>
        <w:pStyle w:val="FootnoteText"/>
      </w:pPr>
      <w:r>
        <w:rPr>
          <w:rStyle w:val="FootnoteReference"/>
        </w:rPr>
        <w:footnoteRef/>
      </w:r>
      <w:r>
        <w:t xml:space="preserve"> </w:t>
      </w:r>
      <w:r>
        <w:rPr>
          <w:i/>
        </w:rPr>
        <w:t>Ibid.</w:t>
      </w:r>
    </w:p>
  </w:footnote>
  <w:footnote w:id="130">
    <w:p w14:paraId="386F2781" w14:textId="7D103FB1" w:rsidR="002774A4" w:rsidRPr="00C80096" w:rsidRDefault="002774A4" w:rsidP="00C80096">
      <w:pPr>
        <w:pStyle w:val="FootnoteText"/>
      </w:pPr>
      <w:r>
        <w:rPr>
          <w:rStyle w:val="FootnoteReference"/>
        </w:rPr>
        <w:footnoteRef/>
      </w:r>
      <w:r>
        <w:t xml:space="preserve"> </w:t>
      </w:r>
      <w:r>
        <w:rPr>
          <w:i/>
        </w:rPr>
        <w:t>Ibid</w:t>
      </w:r>
      <w:r>
        <w:t xml:space="preserve">, art </w:t>
      </w:r>
      <w:proofErr w:type="gramStart"/>
      <w:r>
        <w:t>32.</w:t>
      </w:r>
      <w:proofErr w:type="gramEnd"/>
    </w:p>
  </w:footnote>
  <w:footnote w:id="131">
    <w:p w14:paraId="3CE4FDE4" w14:textId="234ACDB8" w:rsidR="002774A4" w:rsidRPr="00D5134C" w:rsidRDefault="002774A4" w:rsidP="005520E9">
      <w:pPr>
        <w:pStyle w:val="FootnoteText"/>
      </w:pPr>
      <w:r>
        <w:rPr>
          <w:rStyle w:val="FootnoteReference"/>
        </w:rPr>
        <w:footnoteRef/>
      </w:r>
      <w:r>
        <w:rPr>
          <w:i/>
        </w:rPr>
        <w:t xml:space="preserve"> </w:t>
      </w:r>
      <w:proofErr w:type="gramStart"/>
      <w:r>
        <w:rPr>
          <w:i/>
        </w:rPr>
        <w:t>Ibid;</w:t>
      </w:r>
      <w:proofErr w:type="gramEnd"/>
      <w:r>
        <w:t xml:space="preserve"> Martinez-</w:t>
      </w:r>
      <w:proofErr w:type="spellStart"/>
      <w:r>
        <w:t>Pujalte</w:t>
      </w:r>
      <w:proofErr w:type="spellEnd"/>
      <w:r>
        <w:t xml:space="preserve"> </w:t>
      </w:r>
      <w:r>
        <w:rPr>
          <w:i/>
        </w:rPr>
        <w:t xml:space="preserve">supra </w:t>
      </w:r>
      <w:r>
        <w:t xml:space="preserve">note </w:t>
      </w:r>
      <w:r>
        <w:fldChar w:fldCharType="begin"/>
      </w:r>
      <w:r>
        <w:instrText xml:space="preserve"> NOTEREF _Ref15295460 \h </w:instrText>
      </w:r>
      <w:r>
        <w:fldChar w:fldCharType="separate"/>
      </w:r>
      <w:r>
        <w:t>47</w:t>
      </w:r>
      <w:r>
        <w:fldChar w:fldCharType="end"/>
      </w:r>
      <w:r>
        <w:t xml:space="preserve"> at 7.</w:t>
      </w:r>
    </w:p>
  </w:footnote>
  <w:footnote w:id="132">
    <w:p w14:paraId="37ECEA12" w14:textId="02F3405B" w:rsidR="002774A4" w:rsidRPr="00C60F1F" w:rsidRDefault="002774A4" w:rsidP="005520E9">
      <w:pPr>
        <w:pStyle w:val="FootnoteText"/>
      </w:pPr>
      <w:r>
        <w:rPr>
          <w:rStyle w:val="FootnoteReference"/>
        </w:rPr>
        <w:footnoteRef/>
      </w:r>
      <w:r>
        <w:t xml:space="preserve"> Martinez-</w:t>
      </w:r>
      <w:proofErr w:type="spellStart"/>
      <w:r>
        <w:t>Pujalte</w:t>
      </w:r>
      <w:proofErr w:type="spellEnd"/>
      <w:r>
        <w:t xml:space="preserve"> </w:t>
      </w:r>
      <w:r>
        <w:rPr>
          <w:i/>
        </w:rPr>
        <w:t xml:space="preserve">supra </w:t>
      </w:r>
      <w:r>
        <w:t xml:space="preserve">note </w:t>
      </w:r>
      <w:r>
        <w:fldChar w:fldCharType="begin"/>
      </w:r>
      <w:r>
        <w:instrText xml:space="preserve"> NOTEREF _Ref15295460 \h </w:instrText>
      </w:r>
      <w:r>
        <w:fldChar w:fldCharType="separate"/>
      </w:r>
      <w:r>
        <w:t>47</w:t>
      </w:r>
      <w:r>
        <w:fldChar w:fldCharType="end"/>
      </w:r>
      <w:r>
        <w:t xml:space="preserve"> at </w:t>
      </w:r>
      <w:proofErr w:type="gramStart"/>
      <w:r>
        <w:t>8</w:t>
      </w:r>
      <w:proofErr w:type="gramEnd"/>
      <w:r>
        <w:t>.</w:t>
      </w:r>
    </w:p>
  </w:footnote>
  <w:footnote w:id="133">
    <w:p w14:paraId="44653DBF" w14:textId="05F87D53" w:rsidR="002774A4" w:rsidRPr="00E11177" w:rsidRDefault="002774A4">
      <w:pPr>
        <w:pStyle w:val="FootnoteText"/>
      </w:pPr>
      <w:r>
        <w:rPr>
          <w:rStyle w:val="FootnoteReference"/>
        </w:rPr>
        <w:footnoteRef/>
      </w:r>
      <w:r>
        <w:t xml:space="preserve"> </w:t>
      </w:r>
      <w:r w:rsidRPr="00836AF5">
        <w:rPr>
          <w:i/>
        </w:rPr>
        <w:t>Argentina Civil and Commercial Code</w:t>
      </w:r>
      <w:r>
        <w:rPr>
          <w:i/>
        </w:rPr>
        <w:t xml:space="preserve">, supra </w:t>
      </w:r>
      <w:r>
        <w:t xml:space="preserve">note </w:t>
      </w:r>
      <w:r>
        <w:fldChar w:fldCharType="begin"/>
      </w:r>
      <w:r>
        <w:instrText xml:space="preserve"> NOTEREF _Ref15297830 \h </w:instrText>
      </w:r>
      <w:r>
        <w:fldChar w:fldCharType="separate"/>
      </w:r>
      <w:r>
        <w:t>118</w:t>
      </w:r>
      <w:r>
        <w:fldChar w:fldCharType="end"/>
      </w:r>
      <w:r>
        <w:t>, art 38.</w:t>
      </w:r>
    </w:p>
  </w:footnote>
  <w:footnote w:id="134">
    <w:p w14:paraId="3361EF29" w14:textId="295EE730" w:rsidR="002774A4" w:rsidRDefault="002774A4">
      <w:pPr>
        <w:pStyle w:val="FootnoteText"/>
      </w:pPr>
      <w:r>
        <w:rPr>
          <w:rStyle w:val="FootnoteReference"/>
        </w:rPr>
        <w:footnoteRef/>
      </w:r>
      <w:r>
        <w:t xml:space="preserve"> Martinez-</w:t>
      </w:r>
      <w:proofErr w:type="spellStart"/>
      <w:r>
        <w:t>Pujalte</w:t>
      </w:r>
      <w:proofErr w:type="spellEnd"/>
      <w:r>
        <w:t xml:space="preserve"> </w:t>
      </w:r>
      <w:r>
        <w:rPr>
          <w:i/>
        </w:rPr>
        <w:t xml:space="preserve">supra </w:t>
      </w:r>
      <w:r>
        <w:t xml:space="preserve">note </w:t>
      </w:r>
      <w:r>
        <w:fldChar w:fldCharType="begin"/>
      </w:r>
      <w:r>
        <w:instrText xml:space="preserve"> NOTEREF _Ref15295460 \h </w:instrText>
      </w:r>
      <w:r>
        <w:fldChar w:fldCharType="separate"/>
      </w:r>
      <w:r>
        <w:t>47</w:t>
      </w:r>
      <w:r>
        <w:fldChar w:fldCharType="end"/>
      </w:r>
      <w:r>
        <w:t xml:space="preserve"> at </w:t>
      </w:r>
      <w:proofErr w:type="gramStart"/>
      <w:r>
        <w:t>8</w:t>
      </w:r>
      <w:proofErr w:type="gramEnd"/>
      <w:r>
        <w:t xml:space="preserve">, </w:t>
      </w:r>
      <w:r w:rsidRPr="00836AF5">
        <w:rPr>
          <w:i/>
        </w:rPr>
        <w:t>Argentina Civil and Commercial Code</w:t>
      </w:r>
      <w:r>
        <w:rPr>
          <w:i/>
        </w:rPr>
        <w:t xml:space="preserve">, supra </w:t>
      </w:r>
      <w:r>
        <w:t xml:space="preserve">note </w:t>
      </w:r>
      <w:r>
        <w:fldChar w:fldCharType="begin"/>
      </w:r>
      <w:r>
        <w:instrText xml:space="preserve"> NOTEREF _Ref15297830 \h </w:instrText>
      </w:r>
      <w:r>
        <w:fldChar w:fldCharType="separate"/>
      </w:r>
      <w:r>
        <w:t>118</w:t>
      </w:r>
      <w:r>
        <w:fldChar w:fldCharType="end"/>
      </w:r>
      <w:r>
        <w:t>, art 101(c).</w:t>
      </w:r>
    </w:p>
  </w:footnote>
  <w:footnote w:id="135">
    <w:p w14:paraId="12002135" w14:textId="6A97D3B7" w:rsidR="002774A4" w:rsidRPr="00B17FAE" w:rsidRDefault="002774A4">
      <w:pPr>
        <w:pStyle w:val="FootnoteText"/>
        <w:rPr>
          <w:i/>
        </w:rPr>
      </w:pPr>
      <w:r>
        <w:rPr>
          <w:rStyle w:val="FootnoteReference"/>
        </w:rPr>
        <w:footnoteRef/>
      </w:r>
      <w:r>
        <w:t xml:space="preserve"> </w:t>
      </w:r>
      <w:r>
        <w:rPr>
          <w:i/>
        </w:rPr>
        <w:t>Ibid.</w:t>
      </w:r>
    </w:p>
  </w:footnote>
  <w:footnote w:id="136">
    <w:p w14:paraId="16DC9101" w14:textId="4F497C63" w:rsidR="002774A4" w:rsidRPr="00E8124D" w:rsidRDefault="002774A4" w:rsidP="005520E9">
      <w:pPr>
        <w:pStyle w:val="FootnoteText"/>
      </w:pPr>
      <w:r>
        <w:rPr>
          <w:rStyle w:val="FootnoteReference"/>
        </w:rPr>
        <w:footnoteRef/>
      </w:r>
      <w:r>
        <w:t xml:space="preserve"> </w:t>
      </w:r>
      <w:r w:rsidRPr="00836AF5">
        <w:rPr>
          <w:i/>
        </w:rPr>
        <w:t>Argentina Civil and Commercial Code</w:t>
      </w:r>
      <w:r>
        <w:rPr>
          <w:i/>
        </w:rPr>
        <w:t xml:space="preserve">, supra </w:t>
      </w:r>
      <w:r>
        <w:t xml:space="preserve">note </w:t>
      </w:r>
      <w:r>
        <w:fldChar w:fldCharType="begin"/>
      </w:r>
      <w:r>
        <w:instrText xml:space="preserve"> NOTEREF _Ref15297830 \h </w:instrText>
      </w:r>
      <w:r>
        <w:fldChar w:fldCharType="separate"/>
      </w:r>
      <w:r>
        <w:t>118</w:t>
      </w:r>
      <w:r>
        <w:fldChar w:fldCharType="end"/>
      </w:r>
      <w:r>
        <w:t>, art 43.</w:t>
      </w:r>
    </w:p>
  </w:footnote>
  <w:footnote w:id="137">
    <w:p w14:paraId="26B38C63" w14:textId="5FCBB73E" w:rsidR="002774A4" w:rsidRPr="00696340" w:rsidRDefault="002774A4" w:rsidP="005520E9">
      <w:pPr>
        <w:pStyle w:val="FootnoteText"/>
      </w:pPr>
      <w:r>
        <w:rPr>
          <w:rStyle w:val="FootnoteReference"/>
        </w:rPr>
        <w:footnoteRef/>
      </w:r>
      <w:r>
        <w:t xml:space="preserve"> </w:t>
      </w:r>
      <w:r>
        <w:rPr>
          <w:i/>
        </w:rPr>
        <w:t>Ibid.</w:t>
      </w:r>
    </w:p>
  </w:footnote>
  <w:footnote w:id="138">
    <w:p w14:paraId="511D6E35" w14:textId="31E65A97" w:rsidR="002774A4" w:rsidRPr="003A4EA9" w:rsidRDefault="002774A4" w:rsidP="005520E9">
      <w:pPr>
        <w:pStyle w:val="FootnoteText"/>
      </w:pPr>
      <w:r>
        <w:rPr>
          <w:rStyle w:val="FootnoteReference"/>
        </w:rPr>
        <w:footnoteRef/>
      </w:r>
      <w:r>
        <w:t xml:space="preserve"> </w:t>
      </w:r>
      <w:r>
        <w:rPr>
          <w:i/>
        </w:rPr>
        <w:t xml:space="preserve">Ibid, </w:t>
      </w:r>
      <w:r w:rsidRPr="00412390">
        <w:t>art</w:t>
      </w:r>
      <w:r>
        <w:rPr>
          <w:i/>
        </w:rPr>
        <w:t xml:space="preserve"> </w:t>
      </w:r>
      <w:proofErr w:type="gramStart"/>
      <w:r>
        <w:t>32.</w:t>
      </w:r>
      <w:proofErr w:type="gramEnd"/>
    </w:p>
  </w:footnote>
  <w:footnote w:id="139">
    <w:p w14:paraId="7119C297" w14:textId="634984CA" w:rsidR="002774A4" w:rsidRPr="00AE1049" w:rsidRDefault="002774A4" w:rsidP="005520E9">
      <w:pPr>
        <w:pStyle w:val="FootnoteText"/>
      </w:pPr>
      <w:r>
        <w:rPr>
          <w:rStyle w:val="FootnoteReference"/>
        </w:rPr>
        <w:footnoteRef/>
      </w:r>
      <w:r>
        <w:t xml:space="preserve"> </w:t>
      </w:r>
      <w:r>
        <w:rPr>
          <w:i/>
        </w:rPr>
        <w:t xml:space="preserve">Ibid. </w:t>
      </w:r>
    </w:p>
  </w:footnote>
  <w:footnote w:id="140">
    <w:p w14:paraId="044B04CF" w14:textId="0A593209" w:rsidR="002774A4" w:rsidRPr="00A766CC" w:rsidRDefault="002774A4" w:rsidP="005520E9">
      <w:pPr>
        <w:pStyle w:val="FootnoteText"/>
      </w:pPr>
      <w:r>
        <w:rPr>
          <w:rStyle w:val="FootnoteReference"/>
        </w:rPr>
        <w:footnoteRef/>
      </w:r>
      <w:r>
        <w:t xml:space="preserve"> </w:t>
      </w:r>
      <w:r>
        <w:rPr>
          <w:i/>
        </w:rPr>
        <w:t xml:space="preserve">Ibid, </w:t>
      </w:r>
      <w:r w:rsidRPr="00412390">
        <w:t>art</w:t>
      </w:r>
      <w:r>
        <w:rPr>
          <w:i/>
        </w:rPr>
        <w:t xml:space="preserve"> </w:t>
      </w:r>
      <w:proofErr w:type="gramStart"/>
      <w:r>
        <w:t>117.</w:t>
      </w:r>
      <w:proofErr w:type="gramEnd"/>
    </w:p>
  </w:footnote>
  <w:footnote w:id="141">
    <w:p w14:paraId="4D0426AE" w14:textId="17BFE500" w:rsidR="002774A4" w:rsidRPr="00A766CC" w:rsidRDefault="002774A4" w:rsidP="005520E9">
      <w:pPr>
        <w:pStyle w:val="FootnoteText"/>
      </w:pPr>
      <w:r>
        <w:rPr>
          <w:rStyle w:val="FootnoteReference"/>
        </w:rPr>
        <w:footnoteRef/>
      </w:r>
      <w:r>
        <w:t xml:space="preserve"> </w:t>
      </w:r>
      <w:r>
        <w:rPr>
          <w:i/>
        </w:rPr>
        <w:t xml:space="preserve">Ibid, </w:t>
      </w:r>
      <w:r>
        <w:t>arts 1201-27; Martinez-</w:t>
      </w:r>
      <w:proofErr w:type="spellStart"/>
      <w:r>
        <w:t>Pujalte</w:t>
      </w:r>
      <w:proofErr w:type="spellEnd"/>
      <w:r>
        <w:t xml:space="preserve"> </w:t>
      </w:r>
      <w:r>
        <w:rPr>
          <w:i/>
        </w:rPr>
        <w:t xml:space="preserve">supra </w:t>
      </w:r>
      <w:r>
        <w:t xml:space="preserve">note </w:t>
      </w:r>
      <w:r>
        <w:fldChar w:fldCharType="begin"/>
      </w:r>
      <w:r>
        <w:instrText xml:space="preserve"> NOTEREF _Ref15295460 \h </w:instrText>
      </w:r>
      <w:r>
        <w:fldChar w:fldCharType="separate"/>
      </w:r>
      <w:r>
        <w:t>47</w:t>
      </w:r>
      <w:r>
        <w:fldChar w:fldCharType="end"/>
      </w:r>
      <w:r>
        <w:t xml:space="preserve"> at </w:t>
      </w:r>
      <w:proofErr w:type="gramStart"/>
      <w:r>
        <w:t>9</w:t>
      </w:r>
      <w:proofErr w:type="gramEnd"/>
      <w:r>
        <w:t>.</w:t>
      </w:r>
    </w:p>
  </w:footnote>
  <w:footnote w:id="142">
    <w:p w14:paraId="65A974A6" w14:textId="7DD91030" w:rsidR="002774A4" w:rsidRPr="00817FB9" w:rsidRDefault="002774A4" w:rsidP="005520E9">
      <w:pPr>
        <w:pStyle w:val="FootnoteText"/>
      </w:pPr>
      <w:r>
        <w:rPr>
          <w:rStyle w:val="FootnoteReference"/>
        </w:rPr>
        <w:footnoteRef/>
      </w:r>
      <w:r>
        <w:t xml:space="preserve"> Martinez-</w:t>
      </w:r>
      <w:proofErr w:type="spellStart"/>
      <w:r>
        <w:t>Pujalte</w:t>
      </w:r>
      <w:proofErr w:type="spellEnd"/>
      <w:r>
        <w:t xml:space="preserve"> </w:t>
      </w:r>
      <w:r>
        <w:rPr>
          <w:i/>
        </w:rPr>
        <w:t xml:space="preserve">supra </w:t>
      </w:r>
      <w:r>
        <w:t xml:space="preserve">note </w:t>
      </w:r>
      <w:r>
        <w:fldChar w:fldCharType="begin"/>
      </w:r>
      <w:r>
        <w:instrText xml:space="preserve"> NOTEREF _Ref15295460 \h </w:instrText>
      </w:r>
      <w:r>
        <w:fldChar w:fldCharType="separate"/>
      </w:r>
      <w:r>
        <w:t>47</w:t>
      </w:r>
      <w:r>
        <w:fldChar w:fldCharType="end"/>
      </w:r>
      <w:r>
        <w:t xml:space="preserve"> at 10.</w:t>
      </w:r>
    </w:p>
  </w:footnote>
  <w:footnote w:id="143">
    <w:p w14:paraId="66119F19" w14:textId="6FEDAE89" w:rsidR="002774A4" w:rsidRPr="00AF70F2" w:rsidRDefault="002774A4">
      <w:pPr>
        <w:pStyle w:val="FootnoteText"/>
      </w:pPr>
      <w:r>
        <w:rPr>
          <w:rStyle w:val="FootnoteReference"/>
        </w:rPr>
        <w:footnoteRef/>
      </w:r>
      <w:r>
        <w:t xml:space="preserve"> See Committee on the Rights of Persons with Disabilities, ““General comment No.1,” </w:t>
      </w:r>
      <w:r>
        <w:rPr>
          <w:i/>
        </w:rPr>
        <w:t xml:space="preserve">supra </w:t>
      </w:r>
      <w:r>
        <w:t xml:space="preserve">note </w:t>
      </w:r>
      <w:r>
        <w:fldChar w:fldCharType="begin"/>
      </w:r>
      <w:r>
        <w:instrText xml:space="preserve"> NOTEREF _Ref15295251 \h </w:instrText>
      </w:r>
      <w:r>
        <w:fldChar w:fldCharType="separate"/>
      </w:r>
      <w:r>
        <w:t>7</w:t>
      </w:r>
      <w:r>
        <w:fldChar w:fldCharType="end"/>
      </w:r>
      <w:r>
        <w:t xml:space="preserve"> at para 15.</w:t>
      </w:r>
    </w:p>
  </w:footnote>
  <w:footnote w:id="144">
    <w:p w14:paraId="5B933A0A" w14:textId="54ACFF78" w:rsidR="002774A4" w:rsidRPr="00160BE9" w:rsidRDefault="002774A4">
      <w:pPr>
        <w:pStyle w:val="FootnoteText"/>
      </w:pPr>
      <w:r>
        <w:rPr>
          <w:rStyle w:val="FootnoteReference"/>
        </w:rPr>
        <w:footnoteRef/>
      </w:r>
      <w:r>
        <w:t xml:space="preserve"> </w:t>
      </w:r>
      <w:r w:rsidRPr="00855D70">
        <w:rPr>
          <w:i/>
        </w:rPr>
        <w:t>Ibid</w:t>
      </w:r>
      <w:r>
        <w:t>.</w:t>
      </w:r>
    </w:p>
  </w:footnote>
  <w:footnote w:id="145">
    <w:p w14:paraId="0D62FCF7" w14:textId="0D9EB974" w:rsidR="002774A4" w:rsidRPr="002F3C21" w:rsidRDefault="002774A4" w:rsidP="005520E9">
      <w:pPr>
        <w:pStyle w:val="FootnoteText"/>
      </w:pPr>
      <w:r w:rsidRPr="002F3C21">
        <w:rPr>
          <w:rStyle w:val="FootnoteReference"/>
        </w:rPr>
        <w:footnoteRef/>
      </w:r>
      <w:r w:rsidRPr="002F3C21">
        <w:t xml:space="preserve"> Martinez-</w:t>
      </w:r>
      <w:proofErr w:type="spellStart"/>
      <w:r w:rsidRPr="002F3C21">
        <w:t>Pujalte</w:t>
      </w:r>
      <w:proofErr w:type="spellEnd"/>
      <w:r w:rsidRPr="002F3C21">
        <w:t xml:space="preserve"> </w:t>
      </w:r>
      <w:r w:rsidRPr="002F3C21">
        <w:rPr>
          <w:i/>
        </w:rPr>
        <w:t xml:space="preserve">supra </w:t>
      </w:r>
      <w:r w:rsidRPr="002F3C21">
        <w:t xml:space="preserve">note </w:t>
      </w:r>
      <w:r w:rsidRPr="002F3C21">
        <w:fldChar w:fldCharType="begin"/>
      </w:r>
      <w:r w:rsidRPr="002F3C21">
        <w:instrText xml:space="preserve"> NOTEREF _Ref15295460 \h </w:instrText>
      </w:r>
      <w:r>
        <w:instrText xml:space="preserve"> \* MERGEFORMAT </w:instrText>
      </w:r>
      <w:r w:rsidRPr="002F3C21">
        <w:fldChar w:fldCharType="separate"/>
      </w:r>
      <w:r w:rsidRPr="002F3C21">
        <w:t>47</w:t>
      </w:r>
      <w:r w:rsidRPr="002F3C21">
        <w:fldChar w:fldCharType="end"/>
      </w:r>
      <w:r w:rsidRPr="002F3C21">
        <w:t xml:space="preserve"> at 10.</w:t>
      </w:r>
    </w:p>
  </w:footnote>
  <w:footnote w:id="146">
    <w:p w14:paraId="298F4EAC" w14:textId="41492BF8" w:rsidR="002774A4" w:rsidRPr="002F3C21" w:rsidRDefault="002774A4" w:rsidP="005520E9">
      <w:pPr>
        <w:pStyle w:val="FootnoteText"/>
      </w:pPr>
      <w:r w:rsidRPr="002F3C21">
        <w:rPr>
          <w:rStyle w:val="FootnoteReference"/>
        </w:rPr>
        <w:footnoteRef/>
      </w:r>
      <w:r w:rsidRPr="002F3C21">
        <w:t xml:space="preserve"> </w:t>
      </w:r>
      <w:r w:rsidRPr="002F3C21">
        <w:rPr>
          <w:i/>
        </w:rPr>
        <w:t xml:space="preserve">Ibid. </w:t>
      </w:r>
    </w:p>
  </w:footnote>
  <w:footnote w:id="147">
    <w:p w14:paraId="518EBBC2" w14:textId="1D3D5735" w:rsidR="002774A4" w:rsidRPr="002F3C21" w:rsidRDefault="002774A4" w:rsidP="005520E9">
      <w:pPr>
        <w:pStyle w:val="FootnoteText"/>
      </w:pPr>
      <w:r w:rsidRPr="002F3C21">
        <w:rPr>
          <w:rStyle w:val="FootnoteReference"/>
        </w:rPr>
        <w:footnoteRef/>
      </w:r>
      <w:r w:rsidRPr="002F3C21">
        <w:t xml:space="preserve"> </w:t>
      </w:r>
      <w:r w:rsidRPr="002F3C21">
        <w:rPr>
          <w:i/>
        </w:rPr>
        <w:t xml:space="preserve">Argentina Civil and Commercial Code, supra </w:t>
      </w:r>
      <w:r w:rsidRPr="002F3C21">
        <w:t xml:space="preserve">note </w:t>
      </w:r>
      <w:r w:rsidRPr="002F3C21">
        <w:fldChar w:fldCharType="begin"/>
      </w:r>
      <w:r w:rsidRPr="002F3C21">
        <w:instrText xml:space="preserve"> NOTEREF _Ref15297830 \h </w:instrText>
      </w:r>
      <w:r>
        <w:instrText xml:space="preserve"> \* MERGEFORMAT </w:instrText>
      </w:r>
      <w:r w:rsidRPr="002F3C21">
        <w:fldChar w:fldCharType="separate"/>
      </w:r>
      <w:r w:rsidRPr="002F3C21">
        <w:t>118</w:t>
      </w:r>
      <w:r w:rsidRPr="002F3C21">
        <w:fldChar w:fldCharType="end"/>
      </w:r>
      <w:r w:rsidRPr="002F3C21">
        <w:t>,</w:t>
      </w:r>
      <w:r w:rsidRPr="002F3C21">
        <w:rPr>
          <w:i/>
        </w:rPr>
        <w:t xml:space="preserve"> </w:t>
      </w:r>
      <w:r w:rsidRPr="002F3C21">
        <w:t>art 40.</w:t>
      </w:r>
    </w:p>
  </w:footnote>
  <w:footnote w:id="148">
    <w:p w14:paraId="467C7EB6" w14:textId="77777777" w:rsidR="002774A4" w:rsidRPr="00EF5A2A" w:rsidRDefault="002774A4" w:rsidP="00C740FC">
      <w:pPr>
        <w:pStyle w:val="FootnoteText"/>
      </w:pPr>
      <w:r w:rsidRPr="002F3C21">
        <w:rPr>
          <w:rStyle w:val="FootnoteReference"/>
        </w:rPr>
        <w:footnoteRef/>
      </w:r>
      <w:r w:rsidRPr="002F3C21">
        <w:t xml:space="preserve"> </w:t>
      </w:r>
      <w:r w:rsidRPr="002F3C21">
        <w:rPr>
          <w:i/>
        </w:rPr>
        <w:t xml:space="preserve">Ibid, </w:t>
      </w:r>
      <w:r w:rsidRPr="002F3C21">
        <w:t xml:space="preserve">art </w:t>
      </w:r>
      <w:proofErr w:type="gramStart"/>
      <w:r w:rsidRPr="002F3C21">
        <w:t>32.</w:t>
      </w:r>
      <w:proofErr w:type="gramEnd"/>
    </w:p>
  </w:footnote>
  <w:footnote w:id="149">
    <w:p w14:paraId="5D2AAADE" w14:textId="715D6EE6" w:rsidR="002774A4" w:rsidRPr="00CB7C4F" w:rsidRDefault="002774A4" w:rsidP="00B94879">
      <w:pPr>
        <w:pStyle w:val="FootnoteText"/>
      </w:pPr>
      <w:r>
        <w:rPr>
          <w:rStyle w:val="FootnoteReference"/>
        </w:rPr>
        <w:footnoteRef/>
      </w:r>
      <w:r>
        <w:t xml:space="preserve"> </w:t>
      </w:r>
      <w:r>
        <w:rPr>
          <w:i/>
        </w:rPr>
        <w:t xml:space="preserve">Ibid, </w:t>
      </w:r>
      <w:r>
        <w:t>art 32</w:t>
      </w:r>
      <w:proofErr w:type="gramStart"/>
      <w:r>
        <w:t>;</w:t>
      </w:r>
      <w:proofErr w:type="gramEnd"/>
      <w:r>
        <w:t xml:space="preserve"> Martinez-</w:t>
      </w:r>
      <w:proofErr w:type="spellStart"/>
      <w:r>
        <w:t>Pujalte</w:t>
      </w:r>
      <w:proofErr w:type="spellEnd"/>
      <w:r>
        <w:t xml:space="preserve">, </w:t>
      </w:r>
      <w:r>
        <w:rPr>
          <w:i/>
        </w:rPr>
        <w:t xml:space="preserve">supra </w:t>
      </w:r>
      <w:r>
        <w:t xml:space="preserve">note </w:t>
      </w:r>
      <w:r>
        <w:fldChar w:fldCharType="begin"/>
      </w:r>
      <w:r>
        <w:instrText xml:space="preserve"> NOTEREF _Ref15295460 \h </w:instrText>
      </w:r>
      <w:r>
        <w:fldChar w:fldCharType="separate"/>
      </w:r>
      <w:r>
        <w:t>47</w:t>
      </w:r>
      <w:r>
        <w:fldChar w:fldCharType="end"/>
      </w:r>
      <w:r>
        <w:t xml:space="preserve"> at 10.</w:t>
      </w:r>
    </w:p>
  </w:footnote>
  <w:footnote w:id="150">
    <w:p w14:paraId="5120E0AC" w14:textId="15545947" w:rsidR="002774A4" w:rsidRPr="002862FB" w:rsidRDefault="002774A4" w:rsidP="00791114">
      <w:pPr>
        <w:pStyle w:val="FootnoteText"/>
      </w:pPr>
      <w:r>
        <w:rPr>
          <w:rStyle w:val="FootnoteReference"/>
        </w:rPr>
        <w:footnoteRef/>
      </w:r>
      <w:r>
        <w:t xml:space="preserve"> See </w:t>
      </w:r>
      <w:proofErr w:type="spellStart"/>
      <w:r>
        <w:t>Congreso</w:t>
      </w:r>
      <w:proofErr w:type="spellEnd"/>
      <w:r>
        <w:t xml:space="preserve"> de la </w:t>
      </w:r>
      <w:proofErr w:type="spellStart"/>
      <w:r>
        <w:t>Republica</w:t>
      </w:r>
      <w:proofErr w:type="spellEnd"/>
      <w:r>
        <w:t xml:space="preserve"> de Colombia, </w:t>
      </w:r>
      <w:r>
        <w:rPr>
          <w:i/>
        </w:rPr>
        <w:t xml:space="preserve">supra </w:t>
      </w:r>
      <w:r>
        <w:t xml:space="preserve">note </w:t>
      </w:r>
      <w:r>
        <w:fldChar w:fldCharType="begin"/>
      </w:r>
      <w:r>
        <w:instrText xml:space="preserve"> NOTEREF _Ref15651291 \h </w:instrText>
      </w:r>
      <w:r>
        <w:fldChar w:fldCharType="separate"/>
      </w:r>
      <w:r>
        <w:t>17</w:t>
      </w:r>
      <w:r>
        <w:fldChar w:fldCharType="end"/>
      </w:r>
      <w:r>
        <w:t xml:space="preserve">; </w:t>
      </w:r>
      <w:r w:rsidRPr="00DF46F2">
        <w:rPr>
          <w:i/>
        </w:rPr>
        <w:t>Bill</w:t>
      </w:r>
      <w:r>
        <w:rPr>
          <w:i/>
        </w:rPr>
        <w:t xml:space="preserve"> 236/19</w:t>
      </w:r>
      <w:r w:rsidRPr="00DF46F2">
        <w:rPr>
          <w:i/>
        </w:rPr>
        <w:t>, By means of which the regime for the exercise of the legal capacity of persons with disabilities of legal age is established</w:t>
      </w:r>
      <w:r>
        <w:t>, Colombia 18 June 2019, online (in Spanish): &lt;</w:t>
      </w:r>
      <w:r w:rsidRPr="001A420A">
        <w:t xml:space="preserve"> http://www.camara.gov.co/sites/default/files/2017-08/PLCAPA~1.PDF</w:t>
      </w:r>
      <w:r>
        <w:t xml:space="preserve">&gt;. </w:t>
      </w:r>
    </w:p>
  </w:footnote>
  <w:footnote w:id="151">
    <w:p w14:paraId="75580FDE" w14:textId="05484A82" w:rsidR="002774A4" w:rsidRPr="00D108FC" w:rsidRDefault="002774A4" w:rsidP="00EC7058">
      <w:pPr>
        <w:pStyle w:val="FootnoteText"/>
        <w:contextualSpacing/>
        <w:rPr>
          <w:color w:val="000000" w:themeColor="text1"/>
        </w:rPr>
      </w:pPr>
      <w:r>
        <w:rPr>
          <w:rStyle w:val="FootnoteReference"/>
        </w:rPr>
        <w:footnoteRef/>
      </w:r>
      <w:r>
        <w:t xml:space="preserve"> “Convention on </w:t>
      </w:r>
      <w:r w:rsidRPr="00D108FC">
        <w:rPr>
          <w:color w:val="000000" w:themeColor="text1"/>
        </w:rPr>
        <w:t xml:space="preserve">the Rights of Persons with Disabilities,” </w:t>
      </w:r>
      <w:r w:rsidRPr="00D108FC">
        <w:rPr>
          <w:i/>
          <w:color w:val="000000" w:themeColor="text1"/>
        </w:rPr>
        <w:t xml:space="preserve">supra </w:t>
      </w:r>
      <w:r w:rsidRPr="00D108FC">
        <w:rPr>
          <w:color w:val="000000" w:themeColor="text1"/>
        </w:rPr>
        <w:t xml:space="preserve">note </w:t>
      </w:r>
      <w:r w:rsidRPr="00D108FC">
        <w:rPr>
          <w:color w:val="000000" w:themeColor="text1"/>
        </w:rPr>
        <w:fldChar w:fldCharType="begin"/>
      </w:r>
      <w:r w:rsidRPr="00D108FC">
        <w:rPr>
          <w:color w:val="000000" w:themeColor="text1"/>
        </w:rPr>
        <w:instrText xml:space="preserve"> NOTEREF _Ref15297432 \h  \* MERGEFORMAT </w:instrText>
      </w:r>
      <w:r w:rsidRPr="00D108FC">
        <w:rPr>
          <w:color w:val="000000" w:themeColor="text1"/>
        </w:rPr>
      </w:r>
      <w:r w:rsidRPr="00D108FC">
        <w:rPr>
          <w:color w:val="000000" w:themeColor="text1"/>
        </w:rPr>
        <w:fldChar w:fldCharType="separate"/>
      </w:r>
      <w:r w:rsidRPr="00D108FC">
        <w:rPr>
          <w:color w:val="000000" w:themeColor="text1"/>
        </w:rPr>
        <w:t>20</w:t>
      </w:r>
      <w:r w:rsidRPr="00D108FC">
        <w:rPr>
          <w:color w:val="000000" w:themeColor="text1"/>
        </w:rPr>
        <w:fldChar w:fldCharType="end"/>
      </w:r>
      <w:r w:rsidRPr="00D108FC">
        <w:rPr>
          <w:color w:val="000000" w:themeColor="text1"/>
        </w:rPr>
        <w:t>.</w:t>
      </w:r>
    </w:p>
  </w:footnote>
  <w:footnote w:id="152">
    <w:p w14:paraId="4E65B707" w14:textId="76B9E217" w:rsidR="002774A4" w:rsidRPr="00A83FD7" w:rsidRDefault="002774A4" w:rsidP="00EC7058">
      <w:pPr>
        <w:pStyle w:val="Heading3"/>
        <w:spacing w:before="0"/>
        <w:contextualSpacing/>
        <w:textAlignment w:val="baseline"/>
        <w:rPr>
          <w:rFonts w:ascii="Times New Roman" w:hAnsi="Times New Roman" w:cs="Times New Roman"/>
          <w:color w:val="000000" w:themeColor="text1"/>
          <w:spacing w:val="10"/>
          <w:sz w:val="20"/>
          <w:szCs w:val="20"/>
          <w:lang w:val="es-419"/>
        </w:rPr>
      </w:pPr>
      <w:r w:rsidRPr="00D108FC">
        <w:rPr>
          <w:rStyle w:val="FootnoteReference"/>
          <w:rFonts w:ascii="Times New Roman" w:hAnsi="Times New Roman" w:cs="Times New Roman"/>
          <w:color w:val="000000" w:themeColor="text1"/>
          <w:sz w:val="20"/>
          <w:szCs w:val="20"/>
        </w:rPr>
        <w:footnoteRef/>
      </w:r>
      <w:r w:rsidRPr="00A83FD7">
        <w:rPr>
          <w:rFonts w:ascii="Times New Roman" w:hAnsi="Times New Roman" w:cs="Times New Roman"/>
          <w:color w:val="000000" w:themeColor="text1"/>
          <w:sz w:val="20"/>
          <w:szCs w:val="20"/>
          <w:lang w:val="es-419"/>
        </w:rPr>
        <w:t xml:space="preserve"> Andrea Lili Cortés, “Nuevo </w:t>
      </w:r>
      <w:proofErr w:type="spellStart"/>
      <w:r w:rsidRPr="00A83FD7">
        <w:rPr>
          <w:rFonts w:ascii="Times New Roman" w:hAnsi="Times New Roman" w:cs="Times New Roman"/>
          <w:color w:val="000000" w:themeColor="text1"/>
          <w:sz w:val="20"/>
          <w:szCs w:val="20"/>
          <w:lang w:val="es-419"/>
        </w:rPr>
        <w:t>regimen</w:t>
      </w:r>
      <w:proofErr w:type="spellEnd"/>
      <w:r w:rsidRPr="00A83FD7">
        <w:rPr>
          <w:rFonts w:ascii="Times New Roman" w:hAnsi="Times New Roman" w:cs="Times New Roman"/>
          <w:color w:val="000000" w:themeColor="text1"/>
          <w:sz w:val="20"/>
          <w:szCs w:val="20"/>
          <w:lang w:val="es-419"/>
        </w:rPr>
        <w:t xml:space="preserve"> de capacidad jurídica en Colombia: La lucha no ha terminado” (9 </w:t>
      </w:r>
      <w:proofErr w:type="spellStart"/>
      <w:r w:rsidRPr="00A83FD7">
        <w:rPr>
          <w:rFonts w:ascii="Times New Roman" w:hAnsi="Times New Roman" w:cs="Times New Roman"/>
          <w:color w:val="000000" w:themeColor="text1"/>
          <w:sz w:val="20"/>
          <w:szCs w:val="20"/>
          <w:lang w:val="es-419"/>
        </w:rPr>
        <w:t>July</w:t>
      </w:r>
      <w:proofErr w:type="spellEnd"/>
      <w:r w:rsidRPr="00A83FD7">
        <w:rPr>
          <w:rFonts w:ascii="Times New Roman" w:hAnsi="Times New Roman" w:cs="Times New Roman"/>
          <w:color w:val="000000" w:themeColor="text1"/>
          <w:sz w:val="20"/>
          <w:szCs w:val="20"/>
          <w:lang w:val="es-419"/>
        </w:rPr>
        <w:t xml:space="preserve"> 2019), online: </w:t>
      </w:r>
      <w:r w:rsidRPr="00A83FD7">
        <w:rPr>
          <w:rFonts w:ascii="Times New Roman" w:hAnsi="Times New Roman" w:cs="Times New Roman"/>
          <w:i/>
          <w:color w:val="000000" w:themeColor="text1"/>
          <w:sz w:val="20"/>
          <w:szCs w:val="20"/>
          <w:lang w:val="es-419"/>
        </w:rPr>
        <w:t>Documenta</w:t>
      </w:r>
      <w:r w:rsidRPr="00A83FD7">
        <w:rPr>
          <w:rFonts w:ascii="Times New Roman" w:hAnsi="Times New Roman" w:cs="Times New Roman"/>
          <w:color w:val="000000" w:themeColor="text1"/>
          <w:sz w:val="20"/>
          <w:szCs w:val="20"/>
          <w:lang w:val="es-419"/>
        </w:rPr>
        <w:t xml:space="preserve"> &lt;https://documenta.org.mx/blog-documenta/2019/07/09/nuevo-regimen-de-capacidad-juridica-en-colombia-la-lucha-no-ha-terminado/&gt;.</w:t>
      </w:r>
    </w:p>
  </w:footnote>
  <w:footnote w:id="153">
    <w:p w14:paraId="2F2B594B" w14:textId="289DBC5B" w:rsidR="002774A4" w:rsidRPr="00D108FC" w:rsidRDefault="002774A4" w:rsidP="00EC7058">
      <w:pPr>
        <w:pStyle w:val="FootnoteText"/>
        <w:contextualSpacing/>
        <w:rPr>
          <w:color w:val="000000" w:themeColor="text1"/>
        </w:rPr>
      </w:pPr>
      <w:r w:rsidRPr="00D108FC">
        <w:rPr>
          <w:rStyle w:val="FootnoteReference"/>
          <w:color w:val="000000" w:themeColor="text1"/>
        </w:rPr>
        <w:footnoteRef/>
      </w:r>
      <w:r w:rsidRPr="00D108FC">
        <w:rPr>
          <w:color w:val="000000" w:themeColor="text1"/>
        </w:rPr>
        <w:t xml:space="preserve"> </w:t>
      </w:r>
      <w:r>
        <w:rPr>
          <w:i/>
          <w:color w:val="000000" w:themeColor="text1"/>
        </w:rPr>
        <w:t>Ibid.</w:t>
      </w:r>
    </w:p>
  </w:footnote>
  <w:footnote w:id="154">
    <w:p w14:paraId="2D0D4C3E" w14:textId="0AA494B4" w:rsidR="002774A4" w:rsidRPr="001757C0" w:rsidRDefault="002774A4" w:rsidP="00791114">
      <w:pPr>
        <w:pStyle w:val="FootnoteText"/>
      </w:pPr>
      <w:r w:rsidRPr="00D108FC">
        <w:rPr>
          <w:rStyle w:val="FootnoteReference"/>
          <w:color w:val="000000" w:themeColor="text1"/>
        </w:rPr>
        <w:footnoteRef/>
      </w:r>
      <w:r w:rsidRPr="00D108FC">
        <w:rPr>
          <w:color w:val="000000" w:themeColor="text1"/>
        </w:rPr>
        <w:t xml:space="preserve"> </w:t>
      </w:r>
      <w:r>
        <w:rPr>
          <w:i/>
          <w:color w:val="000000" w:themeColor="text1"/>
        </w:rPr>
        <w:t>Ibid.</w:t>
      </w:r>
    </w:p>
  </w:footnote>
  <w:footnote w:id="155">
    <w:p w14:paraId="7232B0A0" w14:textId="40DFD556" w:rsidR="002774A4" w:rsidRPr="005D7217" w:rsidRDefault="002774A4" w:rsidP="00791114">
      <w:pPr>
        <w:pStyle w:val="FootnoteText"/>
      </w:pPr>
      <w:r>
        <w:rPr>
          <w:rStyle w:val="FootnoteReference"/>
        </w:rPr>
        <w:footnoteRef/>
      </w:r>
      <w:r>
        <w:t xml:space="preserve"> </w:t>
      </w:r>
      <w:r>
        <w:rPr>
          <w:i/>
        </w:rPr>
        <w:t xml:space="preserve">Bill 236/19, supra </w:t>
      </w:r>
      <w:r>
        <w:t xml:space="preserve">note </w:t>
      </w:r>
      <w:r>
        <w:fldChar w:fldCharType="begin"/>
      </w:r>
      <w:r>
        <w:instrText xml:space="preserve"> NOTEREF _Ref15651965 \h </w:instrText>
      </w:r>
      <w:r>
        <w:fldChar w:fldCharType="separate"/>
      </w:r>
      <w:r>
        <w:t>150</w:t>
      </w:r>
      <w:r>
        <w:fldChar w:fldCharType="end"/>
      </w:r>
      <w:r>
        <w:t>, art 5.</w:t>
      </w:r>
    </w:p>
  </w:footnote>
  <w:footnote w:id="156">
    <w:p w14:paraId="1DAEDC9E" w14:textId="77777777" w:rsidR="002774A4" w:rsidRPr="00BE0EB2" w:rsidRDefault="002774A4" w:rsidP="00791114">
      <w:pPr>
        <w:pStyle w:val="FootnoteText"/>
        <w:rPr>
          <w:i/>
        </w:rPr>
      </w:pPr>
      <w:r>
        <w:rPr>
          <w:rStyle w:val="FootnoteReference"/>
        </w:rPr>
        <w:footnoteRef/>
      </w:r>
      <w:r>
        <w:t xml:space="preserve"> </w:t>
      </w:r>
      <w:r>
        <w:rPr>
          <w:i/>
        </w:rPr>
        <w:t>Ibid.</w:t>
      </w:r>
    </w:p>
  </w:footnote>
  <w:footnote w:id="157">
    <w:p w14:paraId="585261DA" w14:textId="3B5E1B12" w:rsidR="002774A4" w:rsidRPr="00314FA4" w:rsidRDefault="002774A4" w:rsidP="00791114">
      <w:pPr>
        <w:pStyle w:val="FootnoteText"/>
      </w:pPr>
      <w:r>
        <w:rPr>
          <w:rStyle w:val="FootnoteReference"/>
        </w:rPr>
        <w:footnoteRef/>
      </w:r>
      <w:r>
        <w:t xml:space="preserve"> </w:t>
      </w:r>
      <w:r>
        <w:rPr>
          <w:i/>
        </w:rPr>
        <w:t xml:space="preserve">Ibid, </w:t>
      </w:r>
      <w:r>
        <w:t xml:space="preserve">art </w:t>
      </w:r>
      <w:proofErr w:type="gramStart"/>
      <w:r>
        <w:t>11.</w:t>
      </w:r>
      <w:proofErr w:type="gramEnd"/>
    </w:p>
  </w:footnote>
  <w:footnote w:id="158">
    <w:p w14:paraId="6B80DAD5" w14:textId="22F3096E" w:rsidR="002774A4" w:rsidRPr="00BC6565" w:rsidRDefault="002774A4" w:rsidP="00791114">
      <w:pPr>
        <w:pStyle w:val="FootnoteText"/>
      </w:pPr>
      <w:r>
        <w:rPr>
          <w:rStyle w:val="FootnoteReference"/>
        </w:rPr>
        <w:footnoteRef/>
      </w:r>
      <w:r>
        <w:t xml:space="preserve"> </w:t>
      </w:r>
      <w:r>
        <w:rPr>
          <w:i/>
        </w:rPr>
        <w:t xml:space="preserve">Ibid, </w:t>
      </w:r>
      <w:r>
        <w:t xml:space="preserve">art </w:t>
      </w:r>
      <w:proofErr w:type="gramStart"/>
      <w:r>
        <w:t>12.</w:t>
      </w:r>
      <w:proofErr w:type="gramEnd"/>
    </w:p>
  </w:footnote>
  <w:footnote w:id="159">
    <w:p w14:paraId="49581A22" w14:textId="58B1F213" w:rsidR="002774A4" w:rsidRPr="002C2AAB" w:rsidRDefault="002774A4" w:rsidP="00791114">
      <w:pPr>
        <w:pStyle w:val="FootnoteText"/>
      </w:pPr>
      <w:r>
        <w:rPr>
          <w:rStyle w:val="FootnoteReference"/>
        </w:rPr>
        <w:footnoteRef/>
      </w:r>
      <w:r>
        <w:t xml:space="preserve"> </w:t>
      </w:r>
      <w:r>
        <w:rPr>
          <w:i/>
        </w:rPr>
        <w:t>Ibid</w:t>
      </w:r>
      <w:r>
        <w:t>.</w:t>
      </w:r>
    </w:p>
  </w:footnote>
  <w:footnote w:id="160">
    <w:p w14:paraId="53EF74D3" w14:textId="6EE9A89A" w:rsidR="002774A4" w:rsidRPr="001936E2" w:rsidRDefault="002774A4" w:rsidP="00791114">
      <w:pPr>
        <w:pStyle w:val="FootnoteText"/>
      </w:pPr>
      <w:r>
        <w:rPr>
          <w:rStyle w:val="FootnoteReference"/>
        </w:rPr>
        <w:footnoteRef/>
      </w:r>
      <w:r>
        <w:t xml:space="preserve"> </w:t>
      </w:r>
      <w:r>
        <w:rPr>
          <w:i/>
        </w:rPr>
        <w:t xml:space="preserve">Ibid, </w:t>
      </w:r>
      <w:r>
        <w:t>art 13(2).</w:t>
      </w:r>
    </w:p>
  </w:footnote>
  <w:footnote w:id="161">
    <w:p w14:paraId="2461A0C4" w14:textId="30185A25" w:rsidR="002774A4" w:rsidRPr="00651DA2" w:rsidRDefault="002774A4" w:rsidP="00791114">
      <w:pPr>
        <w:pStyle w:val="FootnoteText"/>
      </w:pPr>
      <w:r>
        <w:rPr>
          <w:rStyle w:val="FootnoteReference"/>
        </w:rPr>
        <w:footnoteRef/>
      </w:r>
      <w:r>
        <w:t xml:space="preserve"> </w:t>
      </w:r>
      <w:r>
        <w:rPr>
          <w:i/>
        </w:rPr>
        <w:t xml:space="preserve">Ibid, </w:t>
      </w:r>
      <w:r>
        <w:t xml:space="preserve">art </w:t>
      </w:r>
      <w:proofErr w:type="gramStart"/>
      <w:r>
        <w:t>14.</w:t>
      </w:r>
      <w:proofErr w:type="gramEnd"/>
    </w:p>
  </w:footnote>
  <w:footnote w:id="162">
    <w:p w14:paraId="50613813" w14:textId="33C1902C" w:rsidR="002774A4" w:rsidRPr="00905AF4" w:rsidRDefault="002774A4" w:rsidP="00791114">
      <w:pPr>
        <w:pStyle w:val="FootnoteText"/>
      </w:pPr>
      <w:r>
        <w:rPr>
          <w:rStyle w:val="FootnoteReference"/>
        </w:rPr>
        <w:footnoteRef/>
      </w:r>
      <w:r>
        <w:t xml:space="preserve"> </w:t>
      </w:r>
      <w:r>
        <w:rPr>
          <w:i/>
        </w:rPr>
        <w:t xml:space="preserve">Ibid, </w:t>
      </w:r>
      <w:r>
        <w:t xml:space="preserve">art </w:t>
      </w:r>
      <w:proofErr w:type="gramStart"/>
      <w:r>
        <w:t>15.</w:t>
      </w:r>
      <w:proofErr w:type="gramEnd"/>
    </w:p>
  </w:footnote>
  <w:footnote w:id="163">
    <w:p w14:paraId="3CB10592" w14:textId="77777777" w:rsidR="002774A4" w:rsidRPr="00200331" w:rsidRDefault="002774A4" w:rsidP="00791114">
      <w:pPr>
        <w:pStyle w:val="FootnoteText"/>
        <w:rPr>
          <w:i/>
        </w:rPr>
      </w:pPr>
      <w:r>
        <w:rPr>
          <w:rStyle w:val="FootnoteReference"/>
        </w:rPr>
        <w:footnoteRef/>
      </w:r>
      <w:r>
        <w:t xml:space="preserve"> </w:t>
      </w:r>
      <w:r>
        <w:rPr>
          <w:i/>
        </w:rPr>
        <w:t>Ibid.</w:t>
      </w:r>
    </w:p>
  </w:footnote>
  <w:footnote w:id="164">
    <w:p w14:paraId="6E2F959E" w14:textId="15024BFC" w:rsidR="002774A4" w:rsidRPr="00AB55EE" w:rsidRDefault="002774A4" w:rsidP="00791114">
      <w:pPr>
        <w:pStyle w:val="FootnoteText"/>
      </w:pPr>
      <w:r>
        <w:rPr>
          <w:rStyle w:val="FootnoteReference"/>
        </w:rPr>
        <w:footnoteRef/>
      </w:r>
      <w:r>
        <w:t xml:space="preserve"> </w:t>
      </w:r>
      <w:r>
        <w:rPr>
          <w:i/>
        </w:rPr>
        <w:t xml:space="preserve">Ibid, </w:t>
      </w:r>
      <w:r>
        <w:t>arts 17-18.</w:t>
      </w:r>
    </w:p>
  </w:footnote>
  <w:footnote w:id="165">
    <w:p w14:paraId="328BB799" w14:textId="22E0A6B4" w:rsidR="002774A4" w:rsidRPr="009901E9" w:rsidRDefault="002774A4" w:rsidP="00791114">
      <w:pPr>
        <w:pStyle w:val="FootnoteText"/>
      </w:pPr>
      <w:r>
        <w:rPr>
          <w:rStyle w:val="FootnoteReference"/>
        </w:rPr>
        <w:footnoteRef/>
      </w:r>
      <w:r>
        <w:t xml:space="preserve"> </w:t>
      </w:r>
      <w:r>
        <w:rPr>
          <w:i/>
        </w:rPr>
        <w:t>Ibid.</w:t>
      </w:r>
    </w:p>
  </w:footnote>
  <w:footnote w:id="166">
    <w:p w14:paraId="350F4352" w14:textId="77777777" w:rsidR="002774A4" w:rsidRPr="008C54DC" w:rsidRDefault="002774A4" w:rsidP="00791114">
      <w:pPr>
        <w:pStyle w:val="FootnoteText"/>
        <w:rPr>
          <w:i/>
        </w:rPr>
      </w:pPr>
      <w:r>
        <w:rPr>
          <w:rStyle w:val="FootnoteReference"/>
        </w:rPr>
        <w:footnoteRef/>
      </w:r>
      <w:r>
        <w:t xml:space="preserve"> </w:t>
      </w:r>
      <w:r>
        <w:rPr>
          <w:i/>
        </w:rPr>
        <w:t>Ibid.</w:t>
      </w:r>
    </w:p>
  </w:footnote>
  <w:footnote w:id="167">
    <w:p w14:paraId="2596795B" w14:textId="7AF272E2" w:rsidR="002774A4" w:rsidRPr="006E6122" w:rsidRDefault="002774A4" w:rsidP="00791114">
      <w:pPr>
        <w:pStyle w:val="FootnoteText"/>
      </w:pPr>
      <w:r>
        <w:rPr>
          <w:rStyle w:val="FootnoteReference"/>
        </w:rPr>
        <w:footnoteRef/>
      </w:r>
      <w:r>
        <w:t xml:space="preserve"> </w:t>
      </w:r>
      <w:r>
        <w:rPr>
          <w:i/>
        </w:rPr>
        <w:t xml:space="preserve">Ibid, </w:t>
      </w:r>
      <w:r>
        <w:t xml:space="preserve">art </w:t>
      </w:r>
      <w:proofErr w:type="gramStart"/>
      <w:r>
        <w:t>21.</w:t>
      </w:r>
      <w:proofErr w:type="gramEnd"/>
    </w:p>
  </w:footnote>
  <w:footnote w:id="168">
    <w:p w14:paraId="18BA665D" w14:textId="6ACC1902" w:rsidR="002774A4" w:rsidRPr="003F0073" w:rsidRDefault="002774A4" w:rsidP="00791114">
      <w:pPr>
        <w:pStyle w:val="FootnoteText"/>
      </w:pPr>
      <w:r>
        <w:rPr>
          <w:rStyle w:val="FootnoteReference"/>
        </w:rPr>
        <w:footnoteRef/>
      </w:r>
      <w:r>
        <w:t xml:space="preserve"> </w:t>
      </w:r>
      <w:r>
        <w:rPr>
          <w:i/>
        </w:rPr>
        <w:t xml:space="preserve">Ibid, </w:t>
      </w:r>
      <w:r>
        <w:t xml:space="preserve">art </w:t>
      </w:r>
      <w:proofErr w:type="gramStart"/>
      <w:r>
        <w:t>23.</w:t>
      </w:r>
      <w:proofErr w:type="gramEnd"/>
    </w:p>
  </w:footnote>
  <w:footnote w:id="169">
    <w:p w14:paraId="41F5AA25" w14:textId="6249C65C" w:rsidR="002774A4" w:rsidRPr="002C70F3" w:rsidRDefault="002774A4" w:rsidP="00791114">
      <w:pPr>
        <w:pStyle w:val="FootnoteText"/>
      </w:pPr>
      <w:r>
        <w:rPr>
          <w:rStyle w:val="FootnoteReference"/>
        </w:rPr>
        <w:footnoteRef/>
      </w:r>
      <w:r>
        <w:t xml:space="preserve"> </w:t>
      </w:r>
      <w:r>
        <w:rPr>
          <w:i/>
        </w:rPr>
        <w:t xml:space="preserve">Ibid, </w:t>
      </w:r>
      <w:r>
        <w:t xml:space="preserve">art </w:t>
      </w:r>
      <w:proofErr w:type="gramStart"/>
      <w:r>
        <w:t>43.</w:t>
      </w:r>
      <w:proofErr w:type="gramEnd"/>
    </w:p>
  </w:footnote>
  <w:footnote w:id="170">
    <w:p w14:paraId="088D154D" w14:textId="370EF807" w:rsidR="002774A4" w:rsidRPr="00E014C6" w:rsidRDefault="002774A4" w:rsidP="00791114">
      <w:pPr>
        <w:pStyle w:val="FootnoteText"/>
      </w:pPr>
      <w:r>
        <w:rPr>
          <w:rStyle w:val="FootnoteReference"/>
        </w:rPr>
        <w:footnoteRef/>
      </w:r>
      <w:r>
        <w:t xml:space="preserve"> </w:t>
      </w:r>
      <w:r>
        <w:rPr>
          <w:i/>
        </w:rPr>
        <w:t>Ibid.</w:t>
      </w:r>
    </w:p>
  </w:footnote>
  <w:footnote w:id="171">
    <w:p w14:paraId="2776E5DE" w14:textId="45456FF1" w:rsidR="002774A4" w:rsidRPr="00485806" w:rsidRDefault="002774A4" w:rsidP="00791114">
      <w:pPr>
        <w:pStyle w:val="FootnoteText"/>
      </w:pPr>
      <w:r>
        <w:rPr>
          <w:rStyle w:val="FootnoteReference"/>
        </w:rPr>
        <w:footnoteRef/>
      </w:r>
      <w:r>
        <w:t xml:space="preserve"> </w:t>
      </w:r>
      <w:r>
        <w:rPr>
          <w:i/>
        </w:rPr>
        <w:t xml:space="preserve">Ibid, </w:t>
      </w:r>
      <w:r>
        <w:t xml:space="preserve">art </w:t>
      </w:r>
      <w:proofErr w:type="gramStart"/>
      <w:r>
        <w:t>42.</w:t>
      </w:r>
      <w:proofErr w:type="gramEnd"/>
    </w:p>
  </w:footnote>
  <w:footnote w:id="172">
    <w:p w14:paraId="175D46A6" w14:textId="3B6C7719" w:rsidR="002774A4" w:rsidRPr="00AD5417" w:rsidRDefault="002774A4" w:rsidP="00791114">
      <w:pPr>
        <w:pStyle w:val="FootnoteText"/>
      </w:pPr>
      <w:r>
        <w:rPr>
          <w:rStyle w:val="FootnoteReference"/>
        </w:rPr>
        <w:footnoteRef/>
      </w:r>
      <w:r>
        <w:t xml:space="preserve"> </w:t>
      </w:r>
      <w:r>
        <w:rPr>
          <w:i/>
        </w:rPr>
        <w:t xml:space="preserve">Ibid, </w:t>
      </w:r>
      <w:r>
        <w:t xml:space="preserve">arts 15 &amp; 24. </w:t>
      </w:r>
    </w:p>
  </w:footnote>
  <w:footnote w:id="173">
    <w:p w14:paraId="706C0F57" w14:textId="1629DE6D" w:rsidR="002774A4" w:rsidRPr="00135821" w:rsidRDefault="002774A4" w:rsidP="00791114">
      <w:pPr>
        <w:pStyle w:val="FootnoteText"/>
      </w:pPr>
      <w:r>
        <w:rPr>
          <w:rStyle w:val="FootnoteReference"/>
        </w:rPr>
        <w:footnoteRef/>
      </w:r>
      <w:r>
        <w:t xml:space="preserve"> </w:t>
      </w:r>
      <w:r>
        <w:rPr>
          <w:i/>
        </w:rPr>
        <w:t xml:space="preserve">Ibid, </w:t>
      </w:r>
      <w:r>
        <w:t xml:space="preserve">art </w:t>
      </w:r>
      <w:proofErr w:type="gramStart"/>
      <w:r>
        <w:t>24.</w:t>
      </w:r>
      <w:proofErr w:type="gramEnd"/>
    </w:p>
  </w:footnote>
  <w:footnote w:id="174">
    <w:p w14:paraId="7C956FEB" w14:textId="13E68B2E" w:rsidR="002774A4" w:rsidRPr="00B46CA9" w:rsidRDefault="002774A4" w:rsidP="00791114">
      <w:pPr>
        <w:pStyle w:val="FootnoteText"/>
      </w:pPr>
      <w:r>
        <w:rPr>
          <w:rStyle w:val="FootnoteReference"/>
        </w:rPr>
        <w:footnoteRef/>
      </w:r>
      <w:r>
        <w:t xml:space="preserve"> </w:t>
      </w:r>
      <w:r>
        <w:rPr>
          <w:i/>
        </w:rPr>
        <w:t xml:space="preserve">Ibid, </w:t>
      </w:r>
      <w:r>
        <w:t xml:space="preserve">art </w:t>
      </w:r>
      <w:proofErr w:type="gramStart"/>
      <w:r>
        <w:t>15.</w:t>
      </w:r>
      <w:proofErr w:type="gramEnd"/>
    </w:p>
  </w:footnote>
  <w:footnote w:id="175">
    <w:p w14:paraId="0BF37932" w14:textId="3517487F" w:rsidR="002774A4" w:rsidRPr="00135B67" w:rsidRDefault="002774A4" w:rsidP="00791114">
      <w:pPr>
        <w:pStyle w:val="FootnoteText"/>
      </w:pPr>
      <w:r>
        <w:rPr>
          <w:rStyle w:val="FootnoteReference"/>
        </w:rPr>
        <w:footnoteRef/>
      </w:r>
      <w:r>
        <w:t xml:space="preserve"> See </w:t>
      </w:r>
      <w:proofErr w:type="gramStart"/>
      <w:r>
        <w:rPr>
          <w:i/>
        </w:rPr>
        <w:t>Ibid</w:t>
      </w:r>
      <w:proofErr w:type="gramEnd"/>
      <w:r>
        <w:rPr>
          <w:i/>
        </w:rPr>
        <w:t xml:space="preserve">, </w:t>
      </w:r>
      <w:r>
        <w:t>arts 42-43.</w:t>
      </w:r>
    </w:p>
  </w:footnote>
  <w:footnote w:id="176">
    <w:p w14:paraId="167D1928" w14:textId="763EA2A1" w:rsidR="002774A4" w:rsidRPr="00D94297" w:rsidRDefault="002774A4" w:rsidP="00791114">
      <w:pPr>
        <w:pStyle w:val="FootnoteText"/>
      </w:pPr>
      <w:r>
        <w:rPr>
          <w:rStyle w:val="FootnoteReference"/>
        </w:rPr>
        <w:footnoteRef/>
      </w:r>
      <w:r>
        <w:t xml:space="preserve"> </w:t>
      </w:r>
      <w:r>
        <w:rPr>
          <w:i/>
        </w:rPr>
        <w:t xml:space="preserve">Ibid, </w:t>
      </w:r>
      <w:r>
        <w:t xml:space="preserve">art </w:t>
      </w:r>
      <w:proofErr w:type="gramStart"/>
      <w:r>
        <w:t>44.</w:t>
      </w:r>
      <w:proofErr w:type="gramEnd"/>
    </w:p>
  </w:footnote>
  <w:footnote w:id="177">
    <w:p w14:paraId="583ACA87" w14:textId="0D83FE72" w:rsidR="002774A4" w:rsidRPr="00011C02" w:rsidRDefault="002774A4" w:rsidP="00791114">
      <w:pPr>
        <w:pStyle w:val="FootnoteText"/>
      </w:pPr>
      <w:r>
        <w:rPr>
          <w:rStyle w:val="FootnoteReference"/>
        </w:rPr>
        <w:footnoteRef/>
      </w:r>
      <w:r>
        <w:t xml:space="preserve"> </w:t>
      </w:r>
      <w:r>
        <w:rPr>
          <w:i/>
        </w:rPr>
        <w:t xml:space="preserve">Ibid, </w:t>
      </w:r>
      <w:r>
        <w:t xml:space="preserve">art </w:t>
      </w:r>
      <w:proofErr w:type="gramStart"/>
      <w:r>
        <w:t>25.</w:t>
      </w:r>
      <w:proofErr w:type="gramEnd"/>
    </w:p>
  </w:footnote>
  <w:footnote w:id="178">
    <w:p w14:paraId="62788351" w14:textId="77777777" w:rsidR="002774A4" w:rsidRPr="00550813" w:rsidRDefault="002774A4" w:rsidP="00791114">
      <w:pPr>
        <w:pStyle w:val="FootnoteText"/>
        <w:rPr>
          <w:i/>
        </w:rPr>
      </w:pPr>
      <w:r>
        <w:rPr>
          <w:rStyle w:val="FootnoteReference"/>
        </w:rPr>
        <w:footnoteRef/>
      </w:r>
      <w:r>
        <w:t xml:space="preserve"> </w:t>
      </w:r>
      <w:r>
        <w:rPr>
          <w:i/>
        </w:rPr>
        <w:t>Ibid.</w:t>
      </w:r>
    </w:p>
  </w:footnote>
  <w:footnote w:id="179">
    <w:p w14:paraId="4452B84E" w14:textId="39D149EA" w:rsidR="002774A4" w:rsidRPr="00671BA6" w:rsidRDefault="002774A4" w:rsidP="00791114">
      <w:pPr>
        <w:pStyle w:val="FootnoteText"/>
      </w:pPr>
      <w:r>
        <w:rPr>
          <w:rStyle w:val="FootnoteReference"/>
        </w:rPr>
        <w:footnoteRef/>
      </w:r>
      <w:r>
        <w:t xml:space="preserve"> </w:t>
      </w:r>
      <w:r>
        <w:rPr>
          <w:i/>
        </w:rPr>
        <w:t xml:space="preserve">Ibid, </w:t>
      </w:r>
      <w:r>
        <w:t xml:space="preserve">art </w:t>
      </w:r>
      <w:proofErr w:type="gramStart"/>
      <w:r>
        <w:t>26.</w:t>
      </w:r>
      <w:proofErr w:type="gramEnd"/>
    </w:p>
  </w:footnote>
  <w:footnote w:id="180">
    <w:p w14:paraId="3475682C" w14:textId="1FBB065B" w:rsidR="002774A4" w:rsidRPr="007E5640" w:rsidRDefault="002774A4" w:rsidP="00791114">
      <w:pPr>
        <w:pStyle w:val="FootnoteText"/>
      </w:pPr>
      <w:r>
        <w:rPr>
          <w:rStyle w:val="FootnoteReference"/>
        </w:rPr>
        <w:footnoteRef/>
      </w:r>
      <w:r>
        <w:t xml:space="preserve"> </w:t>
      </w:r>
      <w:r>
        <w:rPr>
          <w:i/>
        </w:rPr>
        <w:t xml:space="preserve">Ibid, </w:t>
      </w:r>
      <w:r>
        <w:t>art 28(a)</w:t>
      </w:r>
      <w:proofErr w:type="gramStart"/>
      <w:r>
        <w:t>.</w:t>
      </w:r>
      <w:proofErr w:type="gramEnd"/>
    </w:p>
  </w:footnote>
  <w:footnote w:id="181">
    <w:p w14:paraId="172A1FAD" w14:textId="63D84A1D" w:rsidR="002774A4" w:rsidRPr="009564EE" w:rsidRDefault="002774A4" w:rsidP="00791114">
      <w:pPr>
        <w:pStyle w:val="FootnoteText"/>
      </w:pPr>
      <w:r>
        <w:rPr>
          <w:rStyle w:val="FootnoteReference"/>
        </w:rPr>
        <w:footnoteRef/>
      </w:r>
      <w:r>
        <w:t xml:space="preserve"> </w:t>
      </w:r>
      <w:r>
        <w:rPr>
          <w:i/>
        </w:rPr>
        <w:t xml:space="preserve">Ibid, </w:t>
      </w:r>
      <w:r>
        <w:t xml:space="preserve">art </w:t>
      </w:r>
      <w:proofErr w:type="gramStart"/>
      <w:r>
        <w:t>16.</w:t>
      </w:r>
      <w:proofErr w:type="gramEnd"/>
    </w:p>
  </w:footnote>
  <w:footnote w:id="182">
    <w:p w14:paraId="460DF275" w14:textId="13A31939" w:rsidR="002774A4" w:rsidRPr="00E3003C" w:rsidRDefault="002774A4" w:rsidP="00791114">
      <w:pPr>
        <w:pStyle w:val="FootnoteText"/>
      </w:pPr>
      <w:r>
        <w:rPr>
          <w:rStyle w:val="FootnoteReference"/>
        </w:rPr>
        <w:footnoteRef/>
      </w:r>
      <w:r>
        <w:t xml:space="preserve"> </w:t>
      </w:r>
      <w:r>
        <w:rPr>
          <w:i/>
        </w:rPr>
        <w:t xml:space="preserve">Ibid, </w:t>
      </w:r>
      <w:r>
        <w:t xml:space="preserve">art </w:t>
      </w:r>
      <w:proofErr w:type="gramStart"/>
      <w:r>
        <w:t>27.</w:t>
      </w:r>
      <w:proofErr w:type="gramEnd"/>
    </w:p>
  </w:footnote>
  <w:footnote w:id="183">
    <w:p w14:paraId="201B5EB4" w14:textId="4D9BED0D" w:rsidR="002774A4" w:rsidRPr="00BB3965" w:rsidRDefault="002774A4" w:rsidP="00791114">
      <w:pPr>
        <w:pStyle w:val="FootnoteText"/>
      </w:pPr>
      <w:r>
        <w:rPr>
          <w:rStyle w:val="FootnoteReference"/>
        </w:rPr>
        <w:footnoteRef/>
      </w:r>
      <w:r>
        <w:t xml:space="preserve"> </w:t>
      </w:r>
      <w:r>
        <w:rPr>
          <w:i/>
        </w:rPr>
        <w:t xml:space="preserve">Ibid, </w:t>
      </w:r>
      <w:r>
        <w:t xml:space="preserve">art </w:t>
      </w:r>
      <w:proofErr w:type="gramStart"/>
      <w:r>
        <w:t>29.</w:t>
      </w:r>
      <w:proofErr w:type="gramEnd"/>
    </w:p>
  </w:footnote>
  <w:footnote w:id="184">
    <w:p w14:paraId="550CDDF4" w14:textId="36DF5018" w:rsidR="002774A4" w:rsidRPr="004C2E13" w:rsidRDefault="002774A4" w:rsidP="00791114">
      <w:pPr>
        <w:pStyle w:val="FootnoteText"/>
      </w:pPr>
      <w:r>
        <w:rPr>
          <w:rStyle w:val="FootnoteReference"/>
        </w:rPr>
        <w:footnoteRef/>
      </w:r>
      <w:r>
        <w:t xml:space="preserve"> </w:t>
      </w:r>
      <w:r>
        <w:rPr>
          <w:i/>
        </w:rPr>
        <w:t xml:space="preserve">Ibid, </w:t>
      </w:r>
      <w:r>
        <w:t>art 30(a)</w:t>
      </w:r>
      <w:proofErr w:type="gramStart"/>
      <w:r>
        <w:t>.</w:t>
      </w:r>
      <w:proofErr w:type="gramEnd"/>
    </w:p>
  </w:footnote>
  <w:footnote w:id="185">
    <w:p w14:paraId="69ABCD2E" w14:textId="42C47473" w:rsidR="002774A4" w:rsidRPr="00BD220F" w:rsidRDefault="002774A4" w:rsidP="00791114">
      <w:pPr>
        <w:pStyle w:val="FootnoteText"/>
      </w:pPr>
      <w:r>
        <w:rPr>
          <w:rStyle w:val="FootnoteReference"/>
        </w:rPr>
        <w:footnoteRef/>
      </w:r>
      <w:r>
        <w:t xml:space="preserve"> </w:t>
      </w:r>
      <w:r>
        <w:rPr>
          <w:i/>
        </w:rPr>
        <w:t xml:space="preserve">Ibid, </w:t>
      </w:r>
      <w:r>
        <w:t xml:space="preserve">art </w:t>
      </w:r>
      <w:proofErr w:type="gramStart"/>
      <w:r>
        <w:t>32.</w:t>
      </w:r>
      <w:proofErr w:type="gramEnd"/>
    </w:p>
  </w:footnote>
  <w:footnote w:id="186">
    <w:p w14:paraId="7EEB3AFE" w14:textId="77777777" w:rsidR="002774A4" w:rsidRPr="00EB47EB" w:rsidRDefault="002774A4" w:rsidP="00791114">
      <w:pPr>
        <w:pStyle w:val="FootnoteText"/>
        <w:rPr>
          <w:i/>
        </w:rPr>
      </w:pPr>
      <w:r>
        <w:rPr>
          <w:rStyle w:val="FootnoteReference"/>
        </w:rPr>
        <w:footnoteRef/>
      </w:r>
      <w:r>
        <w:t xml:space="preserve"> </w:t>
      </w:r>
      <w:r>
        <w:rPr>
          <w:i/>
        </w:rPr>
        <w:t>Ibid.</w:t>
      </w:r>
    </w:p>
  </w:footnote>
  <w:footnote w:id="187">
    <w:p w14:paraId="214327F3" w14:textId="40540B41" w:rsidR="002774A4" w:rsidRPr="00085C8B" w:rsidRDefault="002774A4" w:rsidP="00791114">
      <w:pPr>
        <w:pStyle w:val="FootnoteText"/>
        <w:rPr>
          <w:i/>
        </w:rPr>
      </w:pPr>
      <w:r>
        <w:rPr>
          <w:rStyle w:val="FootnoteReference"/>
        </w:rPr>
        <w:footnoteRef/>
      </w:r>
      <w:r>
        <w:t xml:space="preserve"> </w:t>
      </w:r>
      <w:r>
        <w:rPr>
          <w:i/>
        </w:rPr>
        <w:t xml:space="preserve">Ibid, </w:t>
      </w:r>
      <w:r>
        <w:t xml:space="preserve">art </w:t>
      </w:r>
      <w:proofErr w:type="gramStart"/>
      <w:r>
        <w:t>33.</w:t>
      </w:r>
      <w:proofErr w:type="gramEnd"/>
    </w:p>
  </w:footnote>
  <w:footnote w:id="188">
    <w:p w14:paraId="28604A8E" w14:textId="76B3FDA0" w:rsidR="002774A4" w:rsidRPr="008F5734" w:rsidRDefault="002774A4" w:rsidP="00791114">
      <w:pPr>
        <w:pStyle w:val="FootnoteText"/>
      </w:pPr>
      <w:r>
        <w:rPr>
          <w:rStyle w:val="FootnoteReference"/>
        </w:rPr>
        <w:footnoteRef/>
      </w:r>
      <w:r>
        <w:t xml:space="preserve"> </w:t>
      </w:r>
      <w:r>
        <w:rPr>
          <w:i/>
        </w:rPr>
        <w:t>Ibid</w:t>
      </w:r>
      <w:r>
        <w:t>.</w:t>
      </w:r>
    </w:p>
  </w:footnote>
  <w:footnote w:id="189">
    <w:p w14:paraId="1118E2AF" w14:textId="77777777" w:rsidR="002774A4" w:rsidRPr="007C2FAB" w:rsidRDefault="002774A4" w:rsidP="00791114">
      <w:pPr>
        <w:pStyle w:val="FootnoteText"/>
        <w:rPr>
          <w:i/>
        </w:rPr>
      </w:pPr>
      <w:r>
        <w:rPr>
          <w:rStyle w:val="FootnoteReference"/>
        </w:rPr>
        <w:footnoteRef/>
      </w:r>
      <w:r>
        <w:t xml:space="preserve"> </w:t>
      </w:r>
      <w:r>
        <w:rPr>
          <w:i/>
        </w:rPr>
        <w:t>Ibid.</w:t>
      </w:r>
    </w:p>
  </w:footnote>
  <w:footnote w:id="190">
    <w:p w14:paraId="02BD16CA" w14:textId="04F06526" w:rsidR="002774A4" w:rsidRPr="00E833A3" w:rsidRDefault="002774A4" w:rsidP="00791114">
      <w:pPr>
        <w:pStyle w:val="FootnoteText"/>
      </w:pPr>
      <w:r>
        <w:rPr>
          <w:rStyle w:val="FootnoteReference"/>
        </w:rPr>
        <w:footnoteRef/>
      </w:r>
      <w:r>
        <w:t xml:space="preserve"> </w:t>
      </w:r>
      <w:r>
        <w:rPr>
          <w:i/>
        </w:rPr>
        <w:t xml:space="preserve">Ibid, </w:t>
      </w:r>
      <w:r>
        <w:t>art 3(9).</w:t>
      </w:r>
    </w:p>
  </w:footnote>
  <w:footnote w:id="191">
    <w:p w14:paraId="2B1FF43D" w14:textId="6162F939" w:rsidR="002774A4" w:rsidRPr="00400757" w:rsidRDefault="002774A4" w:rsidP="00791114">
      <w:pPr>
        <w:pStyle w:val="FootnoteText"/>
      </w:pPr>
      <w:r>
        <w:rPr>
          <w:rStyle w:val="FootnoteReference"/>
        </w:rPr>
        <w:footnoteRef/>
      </w:r>
      <w:r>
        <w:t xml:space="preserve"> </w:t>
      </w:r>
      <w:r>
        <w:rPr>
          <w:i/>
        </w:rPr>
        <w:t xml:space="preserve">Ibid, </w:t>
      </w:r>
      <w:r>
        <w:t xml:space="preserve">art </w:t>
      </w:r>
      <w:proofErr w:type="gramStart"/>
      <w:r>
        <w:t>33.</w:t>
      </w:r>
      <w:proofErr w:type="gramEnd"/>
    </w:p>
  </w:footnote>
  <w:footnote w:id="192">
    <w:p w14:paraId="03E98C20" w14:textId="62B0167D" w:rsidR="002774A4" w:rsidRPr="00796632" w:rsidRDefault="002774A4" w:rsidP="00791114">
      <w:pPr>
        <w:pStyle w:val="FootnoteText"/>
      </w:pPr>
      <w:r w:rsidRPr="00796632">
        <w:rPr>
          <w:rStyle w:val="FootnoteReference"/>
        </w:rPr>
        <w:footnoteRef/>
      </w:r>
      <w:r w:rsidRPr="00796632">
        <w:t xml:space="preserve"> </w:t>
      </w:r>
      <w:r w:rsidRPr="00796632">
        <w:rPr>
          <w:i/>
        </w:rPr>
        <w:t xml:space="preserve">Ibid, </w:t>
      </w:r>
      <w:r w:rsidRPr="00796632">
        <w:t xml:space="preserve">art </w:t>
      </w:r>
      <w:proofErr w:type="gramStart"/>
      <w:r w:rsidRPr="00796632">
        <w:t>36.</w:t>
      </w:r>
      <w:proofErr w:type="gramEnd"/>
    </w:p>
  </w:footnote>
  <w:footnote w:id="193">
    <w:p w14:paraId="31B16870" w14:textId="238DB86B" w:rsidR="002774A4" w:rsidRPr="00796632" w:rsidRDefault="002774A4" w:rsidP="00791114">
      <w:pPr>
        <w:pStyle w:val="FootnoteText"/>
      </w:pPr>
      <w:r w:rsidRPr="00796632">
        <w:rPr>
          <w:rStyle w:val="FootnoteReference"/>
        </w:rPr>
        <w:footnoteRef/>
      </w:r>
      <w:r w:rsidRPr="00796632">
        <w:t xml:space="preserve"> </w:t>
      </w:r>
      <w:r w:rsidRPr="00796632">
        <w:rPr>
          <w:i/>
        </w:rPr>
        <w:t xml:space="preserve">Ibid, </w:t>
      </w:r>
      <w:r w:rsidRPr="00796632">
        <w:t xml:space="preserve">art </w:t>
      </w:r>
      <w:proofErr w:type="gramStart"/>
      <w:r w:rsidRPr="00796632">
        <w:t>5</w:t>
      </w:r>
      <w:proofErr w:type="gramEnd"/>
      <w:r w:rsidRPr="00796632">
        <w:t>.</w:t>
      </w:r>
    </w:p>
  </w:footnote>
  <w:footnote w:id="194">
    <w:p w14:paraId="7E006F18" w14:textId="17125033" w:rsidR="002774A4" w:rsidRPr="00B85D44" w:rsidRDefault="002774A4" w:rsidP="00791114">
      <w:pPr>
        <w:pStyle w:val="FootnoteText"/>
      </w:pPr>
      <w:r w:rsidRPr="00796632">
        <w:rPr>
          <w:rStyle w:val="FootnoteReference"/>
        </w:rPr>
        <w:footnoteRef/>
      </w:r>
      <w:r w:rsidRPr="00796632">
        <w:t xml:space="preserve"> </w:t>
      </w:r>
      <w:r w:rsidRPr="00796632">
        <w:rPr>
          <w:i/>
        </w:rPr>
        <w:t xml:space="preserve">Alternate Report from the Colombian Coalition for the Implementation of the Convention on the Rights of People with Disability </w:t>
      </w:r>
      <w:r w:rsidRPr="00796632">
        <w:t>(3 April 2016) at para 70, online: &lt; https://tbinternet.ohchr.org/Treaties/CRPD/Shared%20Documents</w:t>
      </w:r>
      <w:r w:rsidRPr="003A4290">
        <w:t>/COL/INT_CRPD_CSS_COL_24626_E.doc</w:t>
      </w:r>
      <w:r>
        <w:t>&gt;.</w:t>
      </w:r>
    </w:p>
  </w:footnote>
  <w:footnote w:id="195">
    <w:p w14:paraId="71B2E6D3" w14:textId="0C5BF1E3" w:rsidR="002774A4" w:rsidRPr="00221DA7" w:rsidRDefault="002774A4" w:rsidP="00791114">
      <w:pPr>
        <w:pStyle w:val="FootnoteText"/>
      </w:pPr>
      <w:r>
        <w:rPr>
          <w:rStyle w:val="FootnoteReference"/>
        </w:rPr>
        <w:footnoteRef/>
      </w:r>
      <w:r>
        <w:t xml:space="preserve"> </w:t>
      </w:r>
      <w:r>
        <w:rPr>
          <w:i/>
        </w:rPr>
        <w:t xml:space="preserve">Bill 236/19, supra </w:t>
      </w:r>
      <w:r>
        <w:t xml:space="preserve">note </w:t>
      </w:r>
      <w:r>
        <w:fldChar w:fldCharType="begin"/>
      </w:r>
      <w:r>
        <w:instrText xml:space="preserve"> NOTEREF _Ref15651965 \h </w:instrText>
      </w:r>
      <w:r>
        <w:fldChar w:fldCharType="separate"/>
      </w:r>
      <w:r>
        <w:t>150</w:t>
      </w:r>
      <w:r>
        <w:fldChar w:fldCharType="end"/>
      </w:r>
      <w:r>
        <w:t>,</w:t>
      </w:r>
      <w:r>
        <w:rPr>
          <w:i/>
        </w:rPr>
        <w:t xml:space="preserve"> </w:t>
      </w:r>
      <w:r>
        <w:t>art 51.</w:t>
      </w:r>
    </w:p>
  </w:footnote>
  <w:footnote w:id="196">
    <w:p w14:paraId="774E1746" w14:textId="0CC12660" w:rsidR="002774A4" w:rsidRPr="00061C70" w:rsidRDefault="002774A4" w:rsidP="00791114">
      <w:pPr>
        <w:pStyle w:val="FootnoteText"/>
      </w:pPr>
      <w:r>
        <w:rPr>
          <w:rStyle w:val="FootnoteReference"/>
        </w:rPr>
        <w:footnoteRef/>
      </w:r>
      <w:r>
        <w:t xml:space="preserve"> </w:t>
      </w:r>
      <w:r>
        <w:rPr>
          <w:i/>
        </w:rPr>
        <w:t xml:space="preserve">Ibid, </w:t>
      </w:r>
      <w:r>
        <w:t>art 13(2).</w:t>
      </w:r>
    </w:p>
  </w:footnote>
  <w:footnote w:id="197">
    <w:p w14:paraId="09DFC48E" w14:textId="0224F9D5" w:rsidR="002774A4" w:rsidRPr="00FF2451" w:rsidRDefault="002774A4" w:rsidP="00791114">
      <w:pPr>
        <w:pStyle w:val="FootnoteText"/>
      </w:pPr>
      <w:r>
        <w:rPr>
          <w:rStyle w:val="FootnoteReference"/>
        </w:rPr>
        <w:footnoteRef/>
      </w:r>
      <w:r>
        <w:t xml:space="preserve"> </w:t>
      </w:r>
      <w:r>
        <w:rPr>
          <w:i/>
        </w:rPr>
        <w:t xml:space="preserve">Ibid, </w:t>
      </w:r>
      <w:r>
        <w:t xml:space="preserve">art 3(9); see Committee on the Rights of Persons with Disabilities, “General comment No.1,” </w:t>
      </w:r>
      <w:r>
        <w:rPr>
          <w:i/>
        </w:rPr>
        <w:t xml:space="preserve">supra </w:t>
      </w:r>
      <w:r>
        <w:t xml:space="preserve">note </w:t>
      </w:r>
      <w:r>
        <w:fldChar w:fldCharType="begin"/>
      </w:r>
      <w:r>
        <w:instrText xml:space="preserve"> NOTEREF _Ref15295251 \h </w:instrText>
      </w:r>
      <w:r>
        <w:fldChar w:fldCharType="separate"/>
      </w:r>
      <w:proofErr w:type="gramStart"/>
      <w:r>
        <w:t>7</w:t>
      </w:r>
      <w:proofErr w:type="gramEnd"/>
      <w:r>
        <w:fldChar w:fldCharType="end"/>
      </w:r>
      <w:r>
        <w:t xml:space="preserve"> at para 17.</w:t>
      </w:r>
    </w:p>
  </w:footnote>
  <w:footnote w:id="198">
    <w:p w14:paraId="68843341" w14:textId="2BB0772E" w:rsidR="002774A4" w:rsidRPr="00E52A22" w:rsidRDefault="002774A4" w:rsidP="00791114">
      <w:pPr>
        <w:pStyle w:val="FootnoteText"/>
      </w:pPr>
      <w:r>
        <w:rPr>
          <w:rStyle w:val="FootnoteReference"/>
        </w:rPr>
        <w:footnoteRef/>
      </w:r>
      <w:r>
        <w:t xml:space="preserve"> Committee on the Rights of Persons with Disabilities, “General comment No.1,” </w:t>
      </w:r>
      <w:r>
        <w:rPr>
          <w:i/>
        </w:rPr>
        <w:t xml:space="preserve">supra </w:t>
      </w:r>
      <w:r>
        <w:t xml:space="preserve">note </w:t>
      </w:r>
      <w:r>
        <w:fldChar w:fldCharType="begin"/>
      </w:r>
      <w:r>
        <w:instrText xml:space="preserve"> NOTEREF _Ref15295251 \h </w:instrText>
      </w:r>
      <w:r>
        <w:fldChar w:fldCharType="separate"/>
      </w:r>
      <w:proofErr w:type="gramStart"/>
      <w:r>
        <w:t>7</w:t>
      </w:r>
      <w:proofErr w:type="gramEnd"/>
      <w:r>
        <w:fldChar w:fldCharType="end"/>
      </w:r>
      <w:r>
        <w:t xml:space="preserve"> at para 21.</w:t>
      </w:r>
    </w:p>
  </w:footnote>
  <w:footnote w:id="199">
    <w:p w14:paraId="32AF433E" w14:textId="0D2DED69" w:rsidR="002774A4" w:rsidRPr="005E2F39" w:rsidRDefault="002774A4" w:rsidP="00791114">
      <w:pPr>
        <w:pStyle w:val="FootnoteText"/>
      </w:pPr>
      <w:r>
        <w:rPr>
          <w:rStyle w:val="FootnoteReference"/>
        </w:rPr>
        <w:footnoteRef/>
      </w:r>
      <w:r>
        <w:t xml:space="preserve"> </w:t>
      </w:r>
      <w:r w:rsidRPr="00DF46F2">
        <w:rPr>
          <w:i/>
        </w:rPr>
        <w:t>Bill</w:t>
      </w:r>
      <w:r>
        <w:rPr>
          <w:i/>
        </w:rPr>
        <w:t xml:space="preserve"> 236/19, supra </w:t>
      </w:r>
      <w:r>
        <w:t xml:space="preserve">note </w:t>
      </w:r>
      <w:r>
        <w:fldChar w:fldCharType="begin"/>
      </w:r>
      <w:r>
        <w:instrText xml:space="preserve"> NOTEREF _Ref15651965 \h </w:instrText>
      </w:r>
      <w:r>
        <w:fldChar w:fldCharType="separate"/>
      </w:r>
      <w:r>
        <w:t>150</w:t>
      </w:r>
      <w:r>
        <w:fldChar w:fldCharType="end"/>
      </w:r>
      <w:r>
        <w:t>, art 12.</w:t>
      </w:r>
    </w:p>
  </w:footnote>
  <w:footnote w:id="200">
    <w:p w14:paraId="08B37A51" w14:textId="55530A66" w:rsidR="002774A4" w:rsidRPr="00972B80" w:rsidRDefault="002774A4" w:rsidP="00791114">
      <w:pPr>
        <w:pStyle w:val="FootnoteText"/>
      </w:pPr>
      <w:r>
        <w:rPr>
          <w:rStyle w:val="FootnoteReference"/>
        </w:rPr>
        <w:footnoteRef/>
      </w:r>
      <w:r>
        <w:t xml:space="preserve"> </w:t>
      </w:r>
      <w:r>
        <w:rPr>
          <w:i/>
        </w:rPr>
        <w:t xml:space="preserve">Ibid, </w:t>
      </w:r>
      <w:r>
        <w:t xml:space="preserve">art </w:t>
      </w:r>
      <w:proofErr w:type="gramStart"/>
      <w:r>
        <w:t>29.</w:t>
      </w:r>
      <w:proofErr w:type="gramEnd"/>
    </w:p>
  </w:footnote>
  <w:footnote w:id="201">
    <w:p w14:paraId="68683244" w14:textId="5C290B6F" w:rsidR="002774A4" w:rsidRPr="00CA0D3B" w:rsidRDefault="002774A4" w:rsidP="00791114">
      <w:pPr>
        <w:pStyle w:val="FootnoteText"/>
      </w:pPr>
      <w:r>
        <w:rPr>
          <w:rStyle w:val="FootnoteReference"/>
        </w:rPr>
        <w:footnoteRef/>
      </w:r>
      <w:r>
        <w:t xml:space="preserve"> </w:t>
      </w:r>
      <w:r>
        <w:rPr>
          <w:i/>
        </w:rPr>
        <w:t xml:space="preserve">Ibid, </w:t>
      </w:r>
      <w:r>
        <w:t xml:space="preserve">art </w:t>
      </w:r>
      <w:proofErr w:type="gramStart"/>
      <w:r>
        <w:t>41.</w:t>
      </w:r>
      <w:proofErr w:type="gramEnd"/>
    </w:p>
  </w:footnote>
  <w:footnote w:id="202">
    <w:p w14:paraId="005D476E" w14:textId="16969855" w:rsidR="002774A4" w:rsidRPr="00091785" w:rsidRDefault="002774A4" w:rsidP="00791114">
      <w:pPr>
        <w:pStyle w:val="FootnoteText"/>
      </w:pPr>
      <w:r>
        <w:rPr>
          <w:rStyle w:val="FootnoteReference"/>
        </w:rPr>
        <w:footnoteRef/>
      </w:r>
      <w:r>
        <w:t xml:space="preserve"> </w:t>
      </w:r>
      <w:r>
        <w:rPr>
          <w:i/>
        </w:rPr>
        <w:t xml:space="preserve">Ibid, </w:t>
      </w:r>
      <w:r>
        <w:t xml:space="preserve">art </w:t>
      </w:r>
      <w:proofErr w:type="gramStart"/>
      <w:r>
        <w:t>30.</w:t>
      </w:r>
      <w:proofErr w:type="gramEnd"/>
    </w:p>
  </w:footnote>
  <w:footnote w:id="203">
    <w:p w14:paraId="1589E995" w14:textId="56D796A8" w:rsidR="002774A4" w:rsidRPr="008F6FC9" w:rsidRDefault="002774A4" w:rsidP="00791114">
      <w:pPr>
        <w:pStyle w:val="FootnoteText"/>
      </w:pPr>
      <w:r>
        <w:rPr>
          <w:rStyle w:val="FootnoteReference"/>
        </w:rPr>
        <w:footnoteRef/>
      </w:r>
      <w:r>
        <w:t xml:space="preserve"> </w:t>
      </w:r>
      <w:r>
        <w:rPr>
          <w:i/>
        </w:rPr>
        <w:t xml:space="preserve">Ibid, </w:t>
      </w:r>
      <w:r>
        <w:t>arts 21 &amp; 36.</w:t>
      </w:r>
    </w:p>
  </w:footnote>
  <w:footnote w:id="204">
    <w:p w14:paraId="66D2A975" w14:textId="01E1C714" w:rsidR="002774A4" w:rsidRPr="00984049" w:rsidRDefault="002774A4" w:rsidP="00791114">
      <w:pPr>
        <w:pStyle w:val="FootnoteText"/>
      </w:pPr>
      <w:r>
        <w:rPr>
          <w:rStyle w:val="FootnoteReference"/>
        </w:rPr>
        <w:footnoteRef/>
      </w:r>
      <w:r>
        <w:t xml:space="preserve"> </w:t>
      </w:r>
      <w:r>
        <w:rPr>
          <w:i/>
        </w:rPr>
        <w:t xml:space="preserve">Ibid, </w:t>
      </w:r>
      <w:r>
        <w:t xml:space="preserve">art </w:t>
      </w:r>
      <w:proofErr w:type="gramStart"/>
      <w:r>
        <w:t>26.</w:t>
      </w:r>
      <w:proofErr w:type="gramEnd"/>
    </w:p>
  </w:footnote>
  <w:footnote w:id="205">
    <w:p w14:paraId="3ABBDBC8" w14:textId="6E4A2157" w:rsidR="002774A4" w:rsidRPr="00726767" w:rsidRDefault="002774A4" w:rsidP="00791114">
      <w:pPr>
        <w:pStyle w:val="FootnoteText"/>
      </w:pPr>
      <w:r>
        <w:rPr>
          <w:rStyle w:val="FootnoteReference"/>
        </w:rPr>
        <w:footnoteRef/>
      </w:r>
      <w:r>
        <w:t xml:space="preserve"> </w:t>
      </w:r>
      <w:r>
        <w:rPr>
          <w:i/>
        </w:rPr>
        <w:t xml:space="preserve">Ibid, </w:t>
      </w:r>
      <w:r>
        <w:t xml:space="preserve">art </w:t>
      </w:r>
      <w:proofErr w:type="gramStart"/>
      <w:r>
        <w:t>25.</w:t>
      </w:r>
      <w:proofErr w:type="gramEnd"/>
    </w:p>
  </w:footnote>
  <w:footnote w:id="206">
    <w:p w14:paraId="53EB5163" w14:textId="1665B7AF" w:rsidR="002774A4" w:rsidRPr="00683F16" w:rsidRDefault="002774A4" w:rsidP="00791114">
      <w:pPr>
        <w:pStyle w:val="FootnoteText"/>
      </w:pPr>
      <w:r>
        <w:rPr>
          <w:rStyle w:val="FootnoteReference"/>
        </w:rPr>
        <w:footnoteRef/>
      </w:r>
      <w:r>
        <w:t xml:space="preserve"> </w:t>
      </w:r>
      <w:r>
        <w:rPr>
          <w:i/>
        </w:rPr>
        <w:t xml:space="preserve">Ibid, </w:t>
      </w:r>
      <w:r>
        <w:t xml:space="preserve">art </w:t>
      </w:r>
      <w:proofErr w:type="gramStart"/>
      <w:r>
        <w:t>32.</w:t>
      </w:r>
      <w:proofErr w:type="gramEnd"/>
    </w:p>
  </w:footnote>
  <w:footnote w:id="207">
    <w:p w14:paraId="059E129E" w14:textId="7FADA6CB" w:rsidR="002774A4" w:rsidRPr="0043599B" w:rsidRDefault="002774A4" w:rsidP="00791114">
      <w:pPr>
        <w:pStyle w:val="FootnoteText"/>
      </w:pPr>
      <w:r>
        <w:rPr>
          <w:rStyle w:val="FootnoteReference"/>
        </w:rPr>
        <w:footnoteRef/>
      </w:r>
      <w:r>
        <w:t xml:space="preserve"> See Committee on the Rights of Persons with Disabilities, “General comment No.1,” </w:t>
      </w:r>
      <w:r>
        <w:rPr>
          <w:i/>
        </w:rPr>
        <w:t xml:space="preserve">supra </w:t>
      </w:r>
      <w:r>
        <w:t xml:space="preserve">note </w:t>
      </w:r>
      <w:r>
        <w:fldChar w:fldCharType="begin"/>
      </w:r>
      <w:r>
        <w:instrText xml:space="preserve"> NOTEREF _Ref15295251 \h </w:instrText>
      </w:r>
      <w:r>
        <w:fldChar w:fldCharType="separate"/>
      </w:r>
      <w:proofErr w:type="gramStart"/>
      <w:r>
        <w:t>7</w:t>
      </w:r>
      <w:proofErr w:type="gramEnd"/>
      <w:r>
        <w:fldChar w:fldCharType="end"/>
      </w:r>
      <w:r>
        <w:t xml:space="preserve"> at para 29(d).  </w:t>
      </w:r>
    </w:p>
  </w:footnote>
  <w:footnote w:id="208">
    <w:p w14:paraId="32C1776E" w14:textId="20A000C5" w:rsidR="002774A4" w:rsidRDefault="002774A4">
      <w:pPr>
        <w:pStyle w:val="FootnoteText"/>
      </w:pPr>
      <w:r>
        <w:rPr>
          <w:rStyle w:val="FootnoteReference"/>
        </w:rPr>
        <w:footnoteRef/>
      </w:r>
      <w:r>
        <w:t xml:space="preserve"> </w:t>
      </w:r>
      <w:r>
        <w:rPr>
          <w:color w:val="000000" w:themeColor="text1"/>
        </w:rPr>
        <w:t xml:space="preserve">Cortés, </w:t>
      </w:r>
      <w:r>
        <w:rPr>
          <w:i/>
          <w:color w:val="000000" w:themeColor="text1"/>
        </w:rPr>
        <w:t xml:space="preserve">supra </w:t>
      </w:r>
      <w:r>
        <w:rPr>
          <w:color w:val="000000" w:themeColor="text1"/>
        </w:rPr>
        <w:t xml:space="preserve">note </w:t>
      </w:r>
      <w:r>
        <w:rPr>
          <w:color w:val="000000" w:themeColor="text1"/>
        </w:rPr>
        <w:fldChar w:fldCharType="begin"/>
      </w:r>
      <w:r>
        <w:rPr>
          <w:color w:val="000000" w:themeColor="text1"/>
        </w:rPr>
        <w:instrText xml:space="preserve"> NOTEREF _Ref15652424 \h </w:instrText>
      </w:r>
      <w:r>
        <w:rPr>
          <w:color w:val="000000" w:themeColor="text1"/>
        </w:rPr>
      </w:r>
      <w:r>
        <w:rPr>
          <w:color w:val="000000" w:themeColor="text1"/>
        </w:rPr>
        <w:fldChar w:fldCharType="separate"/>
      </w:r>
      <w:r>
        <w:rPr>
          <w:color w:val="000000" w:themeColor="text1"/>
        </w:rPr>
        <w:t>152</w:t>
      </w:r>
      <w:r>
        <w:rPr>
          <w:color w:val="000000" w:themeColor="text1"/>
        </w:rPr>
        <w:fldChar w:fldCharType="end"/>
      </w:r>
      <w:r>
        <w:rPr>
          <w:color w:val="000000" w:themeColor="text1"/>
        </w:rPr>
        <w:t>.</w:t>
      </w:r>
    </w:p>
  </w:footnote>
  <w:footnote w:id="209">
    <w:p w14:paraId="1C3CEE19" w14:textId="35EAE9D6" w:rsidR="002774A4" w:rsidRPr="00BB4A93" w:rsidRDefault="002774A4" w:rsidP="00791114">
      <w:pPr>
        <w:pStyle w:val="FootnoteText"/>
        <w:rPr>
          <w:i/>
        </w:rPr>
      </w:pPr>
      <w:r>
        <w:rPr>
          <w:rStyle w:val="FootnoteReference"/>
        </w:rPr>
        <w:footnoteRef/>
      </w:r>
      <w:r>
        <w:t xml:space="preserve"> </w:t>
      </w:r>
      <w:r>
        <w:rPr>
          <w:i/>
        </w:rPr>
        <w:t>Ibid.</w:t>
      </w:r>
    </w:p>
  </w:footnote>
  <w:footnote w:id="210">
    <w:p w14:paraId="2B58130A" w14:textId="1550210D" w:rsidR="002774A4" w:rsidRPr="00241CCC" w:rsidRDefault="002774A4" w:rsidP="0079310E">
      <w:pPr>
        <w:pStyle w:val="FootnoteText"/>
      </w:pPr>
      <w:r>
        <w:rPr>
          <w:rStyle w:val="FootnoteReference"/>
        </w:rPr>
        <w:footnoteRef/>
      </w:r>
      <w:r>
        <w:t xml:space="preserve"> “Convention on the Rights of Persons with Disabilities,” </w:t>
      </w:r>
      <w:r>
        <w:rPr>
          <w:i/>
        </w:rPr>
        <w:t xml:space="preserve">supra </w:t>
      </w:r>
      <w:r>
        <w:t xml:space="preserve">note </w:t>
      </w:r>
      <w:r>
        <w:fldChar w:fldCharType="begin"/>
      </w:r>
      <w:r>
        <w:instrText xml:space="preserve"> NOTEREF _Ref15297432 \h </w:instrText>
      </w:r>
      <w:r>
        <w:fldChar w:fldCharType="separate"/>
      </w:r>
      <w:r>
        <w:t>20</w:t>
      </w:r>
      <w:r>
        <w:fldChar w:fldCharType="end"/>
      </w:r>
      <w:r>
        <w:t>.</w:t>
      </w:r>
    </w:p>
  </w:footnote>
  <w:footnote w:id="211">
    <w:p w14:paraId="6CDF23B2" w14:textId="68D98E04" w:rsidR="002774A4" w:rsidRPr="003639F2" w:rsidRDefault="002774A4" w:rsidP="0079310E">
      <w:pPr>
        <w:pStyle w:val="FootnoteText"/>
      </w:pPr>
      <w:r>
        <w:rPr>
          <w:rStyle w:val="FootnoteReference"/>
        </w:rPr>
        <w:footnoteRef/>
      </w:r>
      <w:r>
        <w:t xml:space="preserve"> </w:t>
      </w:r>
      <w:r>
        <w:rPr>
          <w:i/>
        </w:rPr>
        <w:t xml:space="preserve">The Rights of Persons with Disabilities Act, 2016, </w:t>
      </w:r>
      <w:r>
        <w:t>India, 27 December 2016, online: &lt;</w:t>
      </w:r>
      <w:r w:rsidRPr="003639F2">
        <w:t>http://www.disabilityaffairs.gov.in/upload/uploadfiles/files/RPWD%20ACT%202016.pdf</w:t>
      </w:r>
      <w:r>
        <w:t xml:space="preserve">&gt;. </w:t>
      </w:r>
    </w:p>
  </w:footnote>
  <w:footnote w:id="212">
    <w:p w14:paraId="4769654A" w14:textId="092A2336" w:rsidR="002774A4" w:rsidRPr="003D227D" w:rsidRDefault="002774A4" w:rsidP="0079310E">
      <w:pPr>
        <w:pStyle w:val="FootnoteText"/>
      </w:pPr>
      <w:r>
        <w:rPr>
          <w:rStyle w:val="FootnoteReference"/>
        </w:rPr>
        <w:footnoteRef/>
      </w:r>
      <w:r>
        <w:t xml:space="preserve"> </w:t>
      </w:r>
      <w:r>
        <w:rPr>
          <w:i/>
        </w:rPr>
        <w:t xml:space="preserve">Ibid </w:t>
      </w:r>
      <w:r>
        <w:t xml:space="preserve">at </w:t>
      </w:r>
      <w:proofErr w:type="gramStart"/>
      <w:r>
        <w:t>1</w:t>
      </w:r>
      <w:proofErr w:type="gramEnd"/>
      <w:r>
        <w:t>.</w:t>
      </w:r>
    </w:p>
  </w:footnote>
  <w:footnote w:id="213">
    <w:p w14:paraId="1937AC79" w14:textId="6BEB8B1A" w:rsidR="002774A4" w:rsidRDefault="002774A4">
      <w:pPr>
        <w:pStyle w:val="FootnoteText"/>
      </w:pPr>
      <w:r>
        <w:rPr>
          <w:rStyle w:val="FootnoteReference"/>
        </w:rPr>
        <w:footnoteRef/>
      </w:r>
      <w:r>
        <w:t xml:space="preserve"> Equals Centre for Promotion of Social Justice, India, </w:t>
      </w:r>
      <w:r w:rsidRPr="00634F9A">
        <w:rPr>
          <w:i/>
        </w:rPr>
        <w:t>Information for Committee on the Rights of Persons with Disabilities</w:t>
      </w:r>
      <w:r>
        <w:t xml:space="preserve"> (</w:t>
      </w:r>
      <w:proofErr w:type="spellStart"/>
      <w:r>
        <w:t>n.d.</w:t>
      </w:r>
      <w:proofErr w:type="spellEnd"/>
      <w:r>
        <w:t>) at 11, online: &lt;</w:t>
      </w:r>
      <w:r w:rsidRPr="00634F9A">
        <w:t xml:space="preserve"> </w:t>
      </w:r>
      <w:hyperlink r:id="rId7" w:history="1">
        <w:r w:rsidRPr="00CA63FA">
          <w:rPr>
            <w:rStyle w:val="Hyperlink"/>
          </w:rPr>
          <w:t>https://www.google.com/url?sa=t&amp;rct=j&amp;q=&amp;esrc=s&amp;source=web&amp;cd=1&amp;ved=2ahUKEwihjfCH1MjjAhVQ1qYKHXXdA1MQFjAAegQIARAC&amp;url=https%3A%2F%2Fwww.ohchr.org%2FDocuments%2FIssues%2FDisability%2FDecisionMaking%2FCSOs_DPOs%2FCSOs%2520-%2520EQUALS_India_ENG.docx&amp;usg=AOvVaw1RCHWNYsE62xvK3GPwZZMo</w:t>
        </w:r>
      </w:hyperlink>
      <w:r>
        <w:t>&gt;.</w:t>
      </w:r>
    </w:p>
  </w:footnote>
  <w:footnote w:id="214">
    <w:p w14:paraId="7AE42ED2" w14:textId="78A72B91" w:rsidR="002774A4" w:rsidRPr="00AC3FF9" w:rsidRDefault="002774A4">
      <w:pPr>
        <w:pStyle w:val="FootnoteText"/>
        <w:rPr>
          <w:i/>
        </w:rPr>
      </w:pPr>
      <w:r>
        <w:rPr>
          <w:rStyle w:val="FootnoteReference"/>
        </w:rPr>
        <w:footnoteRef/>
      </w:r>
      <w:r>
        <w:t xml:space="preserve"> </w:t>
      </w:r>
      <w:r>
        <w:rPr>
          <w:i/>
        </w:rPr>
        <w:t>Ibid.</w:t>
      </w:r>
    </w:p>
  </w:footnote>
  <w:footnote w:id="215">
    <w:p w14:paraId="315FAB04" w14:textId="003B64DF" w:rsidR="002774A4" w:rsidRPr="00B342CB" w:rsidRDefault="002774A4" w:rsidP="0079310E">
      <w:pPr>
        <w:pStyle w:val="FootnoteText"/>
        <w:rPr>
          <w:i/>
        </w:rPr>
      </w:pPr>
      <w:r>
        <w:rPr>
          <w:rStyle w:val="FootnoteReference"/>
        </w:rPr>
        <w:footnoteRef/>
      </w:r>
      <w:r>
        <w:t xml:space="preserve"> </w:t>
      </w:r>
      <w:r>
        <w:rPr>
          <w:i/>
        </w:rPr>
        <w:t>Ibid.</w:t>
      </w:r>
    </w:p>
  </w:footnote>
  <w:footnote w:id="216">
    <w:p w14:paraId="3E3077D8" w14:textId="68F43D50" w:rsidR="002774A4" w:rsidRPr="006417EB" w:rsidRDefault="002774A4" w:rsidP="0079310E">
      <w:pPr>
        <w:pStyle w:val="FootnoteText"/>
      </w:pPr>
      <w:r>
        <w:rPr>
          <w:rStyle w:val="FootnoteReference"/>
        </w:rPr>
        <w:footnoteRef/>
      </w:r>
      <w:r>
        <w:t xml:space="preserve"> </w:t>
      </w:r>
      <w:proofErr w:type="spellStart"/>
      <w:r>
        <w:t>Zubeda</w:t>
      </w:r>
      <w:proofErr w:type="spellEnd"/>
      <w:r>
        <w:t xml:space="preserve"> Hamid, “Disabilities Rights Bill: Activists worried over guardianship” (17 June 2015), online: </w:t>
      </w:r>
      <w:r>
        <w:rPr>
          <w:i/>
        </w:rPr>
        <w:t xml:space="preserve">The Hindu </w:t>
      </w:r>
      <w:r>
        <w:t>&lt;</w:t>
      </w:r>
      <w:r w:rsidRPr="006417EB">
        <w:t>https://www.thehindu.com/news/cities/chennai/disabilities-rights-bill-activists-worried-over-guardianship/article7322999.ece</w:t>
      </w:r>
      <w:r>
        <w:t>&gt;.</w:t>
      </w:r>
    </w:p>
  </w:footnote>
  <w:footnote w:id="217">
    <w:p w14:paraId="64726691" w14:textId="4BBF77BE" w:rsidR="002774A4" w:rsidRPr="00394A98" w:rsidRDefault="002774A4" w:rsidP="0079310E">
      <w:pPr>
        <w:pStyle w:val="FootnoteText"/>
      </w:pPr>
      <w:r>
        <w:rPr>
          <w:rStyle w:val="FootnoteReference"/>
        </w:rPr>
        <w:footnoteRef/>
      </w:r>
      <w:r>
        <w:t xml:space="preserve"> </w:t>
      </w:r>
      <w:r>
        <w:rPr>
          <w:i/>
        </w:rPr>
        <w:t xml:space="preserve">The Rights of Persons with Disabilities </w:t>
      </w:r>
      <w:proofErr w:type="gramStart"/>
      <w:r>
        <w:rPr>
          <w:i/>
        </w:rPr>
        <w:t>Act,</w:t>
      </w:r>
      <w:proofErr w:type="gramEnd"/>
      <w:r>
        <w:rPr>
          <w:i/>
        </w:rPr>
        <w:t xml:space="preserve"> </w:t>
      </w:r>
      <w:r w:rsidRPr="007150E0">
        <w:rPr>
          <w:i/>
        </w:rPr>
        <w:t>supra</w:t>
      </w:r>
      <w:r>
        <w:t xml:space="preserve"> note </w:t>
      </w:r>
      <w:r>
        <w:fldChar w:fldCharType="begin"/>
      </w:r>
      <w:r>
        <w:instrText xml:space="preserve"> NOTEREF _Ref15298320 \h </w:instrText>
      </w:r>
      <w:r>
        <w:fldChar w:fldCharType="separate"/>
      </w:r>
      <w:r>
        <w:t>211</w:t>
      </w:r>
      <w:r>
        <w:fldChar w:fldCharType="end"/>
      </w:r>
      <w:r>
        <w:t>, art 13(2).</w:t>
      </w:r>
    </w:p>
  </w:footnote>
  <w:footnote w:id="218">
    <w:p w14:paraId="13D5C55C" w14:textId="6BFDF83A" w:rsidR="002774A4" w:rsidRPr="007F3EF0" w:rsidRDefault="002774A4" w:rsidP="0079310E">
      <w:pPr>
        <w:pStyle w:val="FootnoteText"/>
      </w:pPr>
      <w:r>
        <w:rPr>
          <w:rStyle w:val="FootnoteReference"/>
        </w:rPr>
        <w:footnoteRef/>
      </w:r>
      <w:r>
        <w:t xml:space="preserve"> </w:t>
      </w:r>
      <w:r>
        <w:rPr>
          <w:i/>
        </w:rPr>
        <w:t xml:space="preserve">Ibid, </w:t>
      </w:r>
      <w:r>
        <w:t>art 13(1).</w:t>
      </w:r>
    </w:p>
  </w:footnote>
  <w:footnote w:id="219">
    <w:p w14:paraId="15CF5904" w14:textId="6CBD8C2A" w:rsidR="002774A4" w:rsidRPr="00DE6F2B" w:rsidRDefault="002774A4">
      <w:pPr>
        <w:pStyle w:val="FootnoteText"/>
      </w:pPr>
      <w:r>
        <w:rPr>
          <w:rStyle w:val="FootnoteReference"/>
        </w:rPr>
        <w:footnoteRef/>
      </w:r>
      <w:r>
        <w:t xml:space="preserve"> See </w:t>
      </w:r>
      <w:r>
        <w:rPr>
          <w:i/>
        </w:rPr>
        <w:t xml:space="preserve">Ibid, </w:t>
      </w:r>
      <w:r>
        <w:t>arts 13(3)-(5), 14, 15.</w:t>
      </w:r>
    </w:p>
  </w:footnote>
  <w:footnote w:id="220">
    <w:p w14:paraId="0B01177E" w14:textId="39EC8424" w:rsidR="002774A4" w:rsidRPr="003A0BFB" w:rsidRDefault="002774A4" w:rsidP="0079310E">
      <w:pPr>
        <w:pStyle w:val="FootnoteText"/>
      </w:pPr>
      <w:r>
        <w:rPr>
          <w:rStyle w:val="FootnoteReference"/>
        </w:rPr>
        <w:footnoteRef/>
      </w:r>
      <w:r>
        <w:t xml:space="preserve"> </w:t>
      </w:r>
      <w:r>
        <w:rPr>
          <w:i/>
        </w:rPr>
        <w:t xml:space="preserve">Ibid, </w:t>
      </w:r>
      <w:r>
        <w:t>art 14(5).</w:t>
      </w:r>
    </w:p>
  </w:footnote>
  <w:footnote w:id="221">
    <w:p w14:paraId="43EEF1AC" w14:textId="0FAE8FB7" w:rsidR="002774A4" w:rsidRPr="003E612F" w:rsidRDefault="002774A4" w:rsidP="0079310E">
      <w:pPr>
        <w:pStyle w:val="FootnoteText"/>
      </w:pPr>
      <w:r>
        <w:rPr>
          <w:rStyle w:val="FootnoteReference"/>
        </w:rPr>
        <w:footnoteRef/>
      </w:r>
      <w:r>
        <w:t xml:space="preserve"> </w:t>
      </w:r>
      <w:r>
        <w:rPr>
          <w:i/>
        </w:rPr>
        <w:t xml:space="preserve">Ibid, </w:t>
      </w:r>
      <w:r>
        <w:t>art 14(3).</w:t>
      </w:r>
    </w:p>
  </w:footnote>
  <w:footnote w:id="222">
    <w:p w14:paraId="40BA3677" w14:textId="7212795B" w:rsidR="002774A4" w:rsidRPr="005D1364" w:rsidRDefault="002774A4" w:rsidP="0079310E">
      <w:pPr>
        <w:pStyle w:val="FootnoteText"/>
      </w:pPr>
      <w:r>
        <w:rPr>
          <w:rStyle w:val="FootnoteReference"/>
        </w:rPr>
        <w:footnoteRef/>
      </w:r>
      <w:r>
        <w:t xml:space="preserve"> </w:t>
      </w:r>
      <w:r>
        <w:rPr>
          <w:i/>
        </w:rPr>
        <w:t xml:space="preserve">Ibid, </w:t>
      </w:r>
      <w:r>
        <w:t>art 14(5).</w:t>
      </w:r>
    </w:p>
  </w:footnote>
  <w:footnote w:id="223">
    <w:p w14:paraId="42C84B0C" w14:textId="20F3A7DA" w:rsidR="002774A4" w:rsidRPr="0003682F" w:rsidRDefault="002774A4" w:rsidP="0079310E">
      <w:pPr>
        <w:pStyle w:val="FootnoteText"/>
      </w:pPr>
      <w:r>
        <w:rPr>
          <w:rStyle w:val="FootnoteReference"/>
        </w:rPr>
        <w:footnoteRef/>
      </w:r>
      <w:r>
        <w:t xml:space="preserve"> </w:t>
      </w:r>
      <w:r>
        <w:rPr>
          <w:i/>
        </w:rPr>
        <w:t xml:space="preserve">Ibid, </w:t>
      </w:r>
      <w:r>
        <w:t>art 15(1).</w:t>
      </w:r>
    </w:p>
  </w:footnote>
  <w:footnote w:id="224">
    <w:p w14:paraId="5162CF6E" w14:textId="7FE03501" w:rsidR="002774A4" w:rsidRPr="000C0BD9" w:rsidRDefault="002774A4">
      <w:pPr>
        <w:pStyle w:val="FootnoteText"/>
      </w:pPr>
      <w:r>
        <w:rPr>
          <w:rStyle w:val="FootnoteReference"/>
        </w:rPr>
        <w:footnoteRef/>
      </w:r>
      <w:r>
        <w:t xml:space="preserve"> </w:t>
      </w:r>
      <w:r>
        <w:rPr>
          <w:i/>
        </w:rPr>
        <w:t xml:space="preserve">Ibid, </w:t>
      </w:r>
      <w:r>
        <w:t>art 15(2).</w:t>
      </w:r>
    </w:p>
  </w:footnote>
  <w:footnote w:id="225">
    <w:p w14:paraId="32A0F769" w14:textId="7078F563" w:rsidR="002774A4" w:rsidRPr="005B7A13" w:rsidRDefault="002774A4">
      <w:pPr>
        <w:pStyle w:val="FootnoteText"/>
      </w:pPr>
      <w:r>
        <w:rPr>
          <w:rStyle w:val="FootnoteReference"/>
        </w:rPr>
        <w:footnoteRef/>
      </w:r>
      <w:r>
        <w:t xml:space="preserve"> </w:t>
      </w:r>
      <w:r>
        <w:rPr>
          <w:i/>
        </w:rPr>
        <w:t xml:space="preserve">Ibid, </w:t>
      </w:r>
      <w:r>
        <w:t>art 14(1).</w:t>
      </w:r>
    </w:p>
  </w:footnote>
  <w:footnote w:id="226">
    <w:p w14:paraId="7EBD9143" w14:textId="4EC41775" w:rsidR="002774A4" w:rsidRPr="00E16800" w:rsidRDefault="002774A4">
      <w:pPr>
        <w:pStyle w:val="FootnoteText"/>
        <w:rPr>
          <w:i/>
        </w:rPr>
      </w:pPr>
      <w:r>
        <w:rPr>
          <w:rStyle w:val="FootnoteReference"/>
        </w:rPr>
        <w:footnoteRef/>
      </w:r>
      <w:r>
        <w:t xml:space="preserve"> </w:t>
      </w:r>
      <w:r>
        <w:rPr>
          <w:i/>
        </w:rPr>
        <w:t>Ibid.</w:t>
      </w:r>
    </w:p>
  </w:footnote>
  <w:footnote w:id="227">
    <w:p w14:paraId="18F3E0B5" w14:textId="0D43CC81" w:rsidR="002774A4" w:rsidRPr="00A24FAC" w:rsidRDefault="002774A4" w:rsidP="0079310E">
      <w:pPr>
        <w:pStyle w:val="FootnoteText"/>
      </w:pPr>
      <w:r>
        <w:rPr>
          <w:rStyle w:val="FootnoteReference"/>
        </w:rPr>
        <w:footnoteRef/>
      </w:r>
      <w:r>
        <w:t xml:space="preserve"> </w:t>
      </w:r>
      <w:r>
        <w:rPr>
          <w:i/>
        </w:rPr>
        <w:t>Ibid.</w:t>
      </w:r>
    </w:p>
  </w:footnote>
  <w:footnote w:id="228">
    <w:p w14:paraId="5F002EF5" w14:textId="569276AF" w:rsidR="002774A4" w:rsidRPr="0035658E" w:rsidRDefault="002774A4" w:rsidP="0079310E">
      <w:pPr>
        <w:pStyle w:val="FootnoteText"/>
      </w:pPr>
      <w:r>
        <w:rPr>
          <w:rStyle w:val="FootnoteReference"/>
        </w:rPr>
        <w:footnoteRef/>
      </w:r>
      <w:r>
        <w:t xml:space="preserve"> </w:t>
      </w:r>
      <w:r>
        <w:rPr>
          <w:i/>
        </w:rPr>
        <w:t>Ibid.</w:t>
      </w:r>
    </w:p>
  </w:footnote>
  <w:footnote w:id="229">
    <w:p w14:paraId="2516577B" w14:textId="67EDA3C5" w:rsidR="002774A4" w:rsidRPr="00786B38" w:rsidRDefault="002774A4" w:rsidP="0079310E">
      <w:pPr>
        <w:pStyle w:val="FootnoteText"/>
      </w:pPr>
      <w:r>
        <w:rPr>
          <w:rStyle w:val="FootnoteReference"/>
        </w:rPr>
        <w:footnoteRef/>
      </w:r>
      <w:r>
        <w:t xml:space="preserve"> </w:t>
      </w:r>
      <w:r>
        <w:rPr>
          <w:i/>
        </w:rPr>
        <w:t>Ibid.</w:t>
      </w:r>
    </w:p>
  </w:footnote>
  <w:footnote w:id="230">
    <w:p w14:paraId="6526C16E" w14:textId="465BB67F" w:rsidR="002774A4" w:rsidRPr="00F321E4" w:rsidRDefault="002774A4" w:rsidP="0079310E">
      <w:pPr>
        <w:pStyle w:val="FootnoteText"/>
      </w:pPr>
      <w:r>
        <w:rPr>
          <w:rStyle w:val="FootnoteReference"/>
        </w:rPr>
        <w:footnoteRef/>
      </w:r>
      <w:r>
        <w:t xml:space="preserve"> </w:t>
      </w:r>
      <w:r>
        <w:rPr>
          <w:i/>
        </w:rPr>
        <w:t xml:space="preserve">Ibid, </w:t>
      </w:r>
      <w:r>
        <w:t>art 14(3).</w:t>
      </w:r>
    </w:p>
  </w:footnote>
  <w:footnote w:id="231">
    <w:p w14:paraId="1AD77833" w14:textId="00B4893C" w:rsidR="002774A4" w:rsidRPr="00F676DC" w:rsidRDefault="002774A4" w:rsidP="0079310E">
      <w:pPr>
        <w:pStyle w:val="FootnoteText"/>
      </w:pPr>
      <w:r>
        <w:rPr>
          <w:rStyle w:val="FootnoteReference"/>
        </w:rPr>
        <w:footnoteRef/>
      </w:r>
      <w:r>
        <w:t xml:space="preserve"> </w:t>
      </w:r>
      <w:r>
        <w:rPr>
          <w:i/>
        </w:rPr>
        <w:t xml:space="preserve">Ibid, </w:t>
      </w:r>
      <w:r>
        <w:t>arts 13(1)-(2).</w:t>
      </w:r>
    </w:p>
  </w:footnote>
  <w:footnote w:id="232">
    <w:p w14:paraId="10EE9E9A" w14:textId="1CA046B0" w:rsidR="002774A4" w:rsidRPr="00EF5429" w:rsidRDefault="002774A4">
      <w:pPr>
        <w:pStyle w:val="FootnoteText"/>
      </w:pPr>
      <w:r>
        <w:rPr>
          <w:rStyle w:val="FootnoteReference"/>
        </w:rPr>
        <w:footnoteRef/>
      </w:r>
      <w:r>
        <w:t xml:space="preserve"> </w:t>
      </w:r>
      <w:r>
        <w:rPr>
          <w:i/>
        </w:rPr>
        <w:t xml:space="preserve">Ibid, </w:t>
      </w:r>
      <w:r>
        <w:t xml:space="preserve">art </w:t>
      </w:r>
      <w:proofErr w:type="gramStart"/>
      <w:r>
        <w:t>100.</w:t>
      </w:r>
      <w:proofErr w:type="gramEnd"/>
    </w:p>
  </w:footnote>
  <w:footnote w:id="233">
    <w:p w14:paraId="572AEAD5" w14:textId="441C987E" w:rsidR="002774A4" w:rsidRPr="002C43C9" w:rsidRDefault="002774A4" w:rsidP="0079310E">
      <w:pPr>
        <w:pStyle w:val="FootnoteText"/>
      </w:pPr>
      <w:r>
        <w:rPr>
          <w:rStyle w:val="FootnoteReference"/>
        </w:rPr>
        <w:footnoteRef/>
      </w:r>
      <w:r>
        <w:t xml:space="preserve"> A set of rules </w:t>
      </w:r>
      <w:proofErr w:type="gramStart"/>
      <w:r>
        <w:t>was issued</w:t>
      </w:r>
      <w:proofErr w:type="gramEnd"/>
      <w:r>
        <w:t xml:space="preserve"> in 2017, but it did not touch upon SDM. See </w:t>
      </w:r>
      <w:r>
        <w:rPr>
          <w:i/>
        </w:rPr>
        <w:t xml:space="preserve">The Rights of Persons with Disabilities Rules, 2017, </w:t>
      </w:r>
      <w:r>
        <w:t>India, 15 June 2017, online: &lt;</w:t>
      </w:r>
      <w:r w:rsidRPr="002C43C9">
        <w:t>https://upload.indiacode.nic.in/showfile?actid=AC_CEN_25_54_00002_201649_1517807328299&amp;type=rule&amp;filename=Rules_notified_15.06.pdf</w:t>
      </w:r>
      <w:r>
        <w:t>&gt;.</w:t>
      </w:r>
    </w:p>
  </w:footnote>
  <w:footnote w:id="234">
    <w:p w14:paraId="247FD0F6" w14:textId="5AC5198A" w:rsidR="002774A4" w:rsidRPr="002836E9" w:rsidRDefault="002774A4" w:rsidP="0079310E">
      <w:pPr>
        <w:rPr>
          <w:sz w:val="20"/>
          <w:szCs w:val="20"/>
        </w:rPr>
      </w:pPr>
      <w:r w:rsidRPr="002836E9">
        <w:rPr>
          <w:rStyle w:val="FootnoteReference"/>
          <w:sz w:val="20"/>
          <w:szCs w:val="20"/>
        </w:rPr>
        <w:footnoteRef/>
      </w:r>
      <w:r w:rsidRPr="002836E9">
        <w:rPr>
          <w:sz w:val="20"/>
          <w:szCs w:val="20"/>
        </w:rPr>
        <w:t xml:space="preserve"> National Disability Network (NDN) &amp; National Committee on the Rights of Persons with Disabilities (NCRPD), </w:t>
      </w:r>
      <w:r w:rsidRPr="002836E9">
        <w:rPr>
          <w:i/>
          <w:sz w:val="20"/>
          <w:szCs w:val="20"/>
        </w:rPr>
        <w:t xml:space="preserve">Parallel Report of India on the Convention on the Rights of Persons with Disabilities (CRPD), </w:t>
      </w:r>
      <w:r w:rsidRPr="002836E9">
        <w:rPr>
          <w:sz w:val="20"/>
          <w:szCs w:val="20"/>
        </w:rPr>
        <w:t xml:space="preserve">February 2019, at </w:t>
      </w:r>
      <w:r>
        <w:rPr>
          <w:sz w:val="20"/>
          <w:szCs w:val="20"/>
        </w:rPr>
        <w:t>para 17,</w:t>
      </w:r>
      <w:r w:rsidRPr="002836E9">
        <w:rPr>
          <w:sz w:val="20"/>
          <w:szCs w:val="20"/>
        </w:rPr>
        <w:t xml:space="preserve"> online: &lt; https://tbinternet.ohchr.org/Treaties/CRPD/Shared%20Documents/Ind/INT_CRPD_ICO_Ind_33881_E.docx&gt;.</w:t>
      </w:r>
    </w:p>
  </w:footnote>
  <w:footnote w:id="235">
    <w:p w14:paraId="46E9D116" w14:textId="3B2EE3ED" w:rsidR="002774A4" w:rsidRPr="00E63E6A" w:rsidRDefault="002774A4">
      <w:pPr>
        <w:pStyle w:val="FootnoteText"/>
      </w:pPr>
      <w:r>
        <w:rPr>
          <w:rStyle w:val="FootnoteReference"/>
        </w:rPr>
        <w:footnoteRef/>
      </w:r>
      <w:r>
        <w:t xml:space="preserve"> </w:t>
      </w:r>
      <w:r>
        <w:rPr>
          <w:i/>
        </w:rPr>
        <w:t xml:space="preserve">The Rights of Persons with Disabilities </w:t>
      </w:r>
      <w:proofErr w:type="gramStart"/>
      <w:r>
        <w:rPr>
          <w:i/>
        </w:rPr>
        <w:t>Act,</w:t>
      </w:r>
      <w:proofErr w:type="gramEnd"/>
      <w:r>
        <w:rPr>
          <w:i/>
        </w:rPr>
        <w:t xml:space="preserve"> </w:t>
      </w:r>
      <w:r w:rsidRPr="007150E0">
        <w:rPr>
          <w:i/>
        </w:rPr>
        <w:t>supra</w:t>
      </w:r>
      <w:r>
        <w:t xml:space="preserve"> note </w:t>
      </w:r>
      <w:r>
        <w:fldChar w:fldCharType="begin"/>
      </w:r>
      <w:r>
        <w:instrText xml:space="preserve"> NOTEREF _Ref15298320 \h </w:instrText>
      </w:r>
      <w:r>
        <w:fldChar w:fldCharType="separate"/>
      </w:r>
      <w:r>
        <w:t>211</w:t>
      </w:r>
      <w:r>
        <w:fldChar w:fldCharType="end"/>
      </w:r>
      <w:r>
        <w:t>, art 15(2).</w:t>
      </w:r>
    </w:p>
  </w:footnote>
  <w:footnote w:id="236">
    <w:p w14:paraId="56803034" w14:textId="5BF072CF" w:rsidR="002774A4" w:rsidRPr="00882C7A" w:rsidRDefault="002774A4" w:rsidP="0079310E">
      <w:pPr>
        <w:pStyle w:val="FootnoteText"/>
      </w:pPr>
      <w:r>
        <w:rPr>
          <w:rStyle w:val="FootnoteReference"/>
        </w:rPr>
        <w:footnoteRef/>
      </w:r>
      <w:r>
        <w:t xml:space="preserve"> </w:t>
      </w:r>
      <w:r>
        <w:rPr>
          <w:i/>
        </w:rPr>
        <w:t xml:space="preserve">Ibid, </w:t>
      </w:r>
      <w:r>
        <w:t>art 13(4).</w:t>
      </w:r>
    </w:p>
  </w:footnote>
  <w:footnote w:id="237">
    <w:p w14:paraId="0EC615A2" w14:textId="33B9048D" w:rsidR="002774A4" w:rsidRPr="005F70BA" w:rsidRDefault="002774A4" w:rsidP="005F70BA">
      <w:pPr>
        <w:rPr>
          <w:sz w:val="20"/>
          <w:szCs w:val="20"/>
        </w:rPr>
      </w:pPr>
      <w:r w:rsidRPr="005F70BA">
        <w:rPr>
          <w:rStyle w:val="FootnoteReference"/>
          <w:sz w:val="20"/>
          <w:szCs w:val="20"/>
        </w:rPr>
        <w:footnoteRef/>
      </w:r>
      <w:r w:rsidRPr="005F70BA">
        <w:rPr>
          <w:sz w:val="20"/>
          <w:szCs w:val="20"/>
        </w:rPr>
        <w:t xml:space="preserve"> NDN &amp; NCRPD, </w:t>
      </w:r>
      <w:r w:rsidRPr="005F70BA">
        <w:rPr>
          <w:i/>
          <w:sz w:val="20"/>
          <w:szCs w:val="20"/>
        </w:rPr>
        <w:t xml:space="preserve">supra </w:t>
      </w:r>
      <w:r w:rsidRPr="005F70BA">
        <w:rPr>
          <w:sz w:val="20"/>
          <w:szCs w:val="20"/>
        </w:rPr>
        <w:t xml:space="preserve">note </w:t>
      </w:r>
      <w:r>
        <w:rPr>
          <w:sz w:val="20"/>
          <w:szCs w:val="20"/>
        </w:rPr>
        <w:fldChar w:fldCharType="begin"/>
      </w:r>
      <w:r>
        <w:rPr>
          <w:sz w:val="20"/>
          <w:szCs w:val="20"/>
        </w:rPr>
        <w:instrText xml:space="preserve"> NOTEREF _Ref15298381 \h </w:instrText>
      </w:r>
      <w:r>
        <w:rPr>
          <w:sz w:val="20"/>
          <w:szCs w:val="20"/>
        </w:rPr>
      </w:r>
      <w:r>
        <w:rPr>
          <w:sz w:val="20"/>
          <w:szCs w:val="20"/>
        </w:rPr>
        <w:fldChar w:fldCharType="separate"/>
      </w:r>
      <w:r>
        <w:rPr>
          <w:sz w:val="20"/>
          <w:szCs w:val="20"/>
        </w:rPr>
        <w:t>234</w:t>
      </w:r>
      <w:r>
        <w:rPr>
          <w:sz w:val="20"/>
          <w:szCs w:val="20"/>
        </w:rPr>
        <w:fldChar w:fldCharType="end"/>
      </w:r>
      <w:r>
        <w:rPr>
          <w:sz w:val="20"/>
          <w:szCs w:val="20"/>
        </w:rPr>
        <w:t xml:space="preserve"> </w:t>
      </w:r>
      <w:r w:rsidRPr="005F70BA">
        <w:rPr>
          <w:sz w:val="20"/>
          <w:szCs w:val="20"/>
        </w:rPr>
        <w:t xml:space="preserve">at </w:t>
      </w:r>
      <w:r>
        <w:rPr>
          <w:sz w:val="20"/>
          <w:szCs w:val="20"/>
        </w:rPr>
        <w:t>paras 13 &amp; 47(1)</w:t>
      </w:r>
      <w:r w:rsidRPr="005F70BA">
        <w:rPr>
          <w:sz w:val="20"/>
          <w:szCs w:val="20"/>
        </w:rPr>
        <w:t>.</w:t>
      </w:r>
    </w:p>
  </w:footnote>
  <w:footnote w:id="238">
    <w:p w14:paraId="61F27DAF" w14:textId="3206C147" w:rsidR="002774A4" w:rsidRPr="009E66BC" w:rsidRDefault="002774A4" w:rsidP="009E66BC">
      <w:pPr>
        <w:pStyle w:val="HChG"/>
        <w:spacing w:before="0" w:after="0" w:line="240" w:lineRule="auto"/>
        <w:ind w:left="0" w:right="0" w:firstLine="0"/>
        <w:rPr>
          <w:b w:val="0"/>
          <w:sz w:val="20"/>
        </w:rPr>
      </w:pPr>
      <w:r w:rsidRPr="005F70BA">
        <w:rPr>
          <w:rStyle w:val="FootnoteReference"/>
          <w:b w:val="0"/>
          <w:sz w:val="20"/>
        </w:rPr>
        <w:footnoteRef/>
      </w:r>
      <w:r w:rsidRPr="005F70BA">
        <w:rPr>
          <w:b w:val="0"/>
          <w:sz w:val="20"/>
        </w:rPr>
        <w:t xml:space="preserve"> </w:t>
      </w:r>
      <w:r w:rsidRPr="00630678">
        <w:rPr>
          <w:b w:val="0"/>
          <w:i/>
          <w:sz w:val="20"/>
        </w:rPr>
        <w:t xml:space="preserve">List of issues in relation to the </w:t>
      </w:r>
      <w:r>
        <w:rPr>
          <w:b w:val="0"/>
          <w:i/>
          <w:sz w:val="20"/>
        </w:rPr>
        <w:t>initial report of India</w:t>
      </w:r>
      <w:r w:rsidRPr="00630678">
        <w:rPr>
          <w:b w:val="0"/>
          <w:i/>
          <w:sz w:val="20"/>
        </w:rPr>
        <w:t xml:space="preserve">– Addendum - Replies </w:t>
      </w:r>
      <w:r>
        <w:rPr>
          <w:b w:val="0"/>
          <w:i/>
          <w:sz w:val="20"/>
        </w:rPr>
        <w:t>of India</w:t>
      </w:r>
      <w:r w:rsidRPr="00630678">
        <w:rPr>
          <w:b w:val="0"/>
          <w:i/>
          <w:sz w:val="20"/>
        </w:rPr>
        <w:t xml:space="preserve"> to the list of issues</w:t>
      </w:r>
      <w:r>
        <w:rPr>
          <w:b w:val="0"/>
          <w:i/>
          <w:sz w:val="20"/>
        </w:rPr>
        <w:t xml:space="preserve"> </w:t>
      </w:r>
      <w:r>
        <w:rPr>
          <w:b w:val="0"/>
          <w:sz w:val="20"/>
        </w:rPr>
        <w:t>(7 June 2019)</w:t>
      </w:r>
      <w:r w:rsidRPr="00630678">
        <w:rPr>
          <w:b w:val="0"/>
          <w:i/>
          <w:sz w:val="20"/>
        </w:rPr>
        <w:t xml:space="preserve"> </w:t>
      </w:r>
      <w:r w:rsidRPr="00630678">
        <w:rPr>
          <w:b w:val="0"/>
          <w:sz w:val="20"/>
        </w:rPr>
        <w:t>at para 62, online</w:t>
      </w:r>
      <w:r>
        <w:rPr>
          <w:b w:val="0"/>
          <w:sz w:val="20"/>
        </w:rPr>
        <w:t>: &lt;</w:t>
      </w:r>
      <w:r w:rsidRPr="000726DF">
        <w:t xml:space="preserve"> </w:t>
      </w:r>
      <w:hyperlink r:id="rId8" w:history="1">
        <w:r w:rsidRPr="00CA63FA">
          <w:rPr>
            <w:rStyle w:val="Hyperlink"/>
            <w:b w:val="0"/>
            <w:sz w:val="20"/>
          </w:rPr>
          <w:t>http://docstore.ohchr.org/SelfServices/FilesHandler.ashx?enc=6QkG1d%2fPPRiCAqhKb7yhsmcRCScUCudOHc8Goa6B5KEkL6YUtTPLTOUD66rERh6KEGfKVWTxI5AfzkloITNfgT5HMb5VMk3dAc8OQXVFSy9OFbu57wXSawf15nY8EVQa%2bdZPt0VvYglHaZoMaUHyNQ%3d%3d</w:t>
        </w:r>
      </w:hyperlink>
      <w:r>
        <w:rPr>
          <w:b w:val="0"/>
          <w:sz w:val="20"/>
        </w:rPr>
        <w:t xml:space="preserve">&gt;. </w:t>
      </w:r>
    </w:p>
  </w:footnote>
  <w:footnote w:id="239">
    <w:p w14:paraId="2ECC90CC" w14:textId="26562892" w:rsidR="002774A4" w:rsidRPr="005F70BA" w:rsidRDefault="002774A4" w:rsidP="005F70BA">
      <w:pPr>
        <w:pStyle w:val="FootnoteText"/>
      </w:pPr>
      <w:r w:rsidRPr="005F70BA">
        <w:rPr>
          <w:rStyle w:val="FootnoteReference"/>
        </w:rPr>
        <w:footnoteRef/>
      </w:r>
      <w:r w:rsidRPr="005F70BA">
        <w:t xml:space="preserve"> </w:t>
      </w:r>
      <w:r>
        <w:rPr>
          <w:i/>
        </w:rPr>
        <w:t xml:space="preserve">The Rights of Persons with Disabilities </w:t>
      </w:r>
      <w:proofErr w:type="gramStart"/>
      <w:r>
        <w:rPr>
          <w:i/>
        </w:rPr>
        <w:t>Act,</w:t>
      </w:r>
      <w:proofErr w:type="gramEnd"/>
      <w:r>
        <w:rPr>
          <w:i/>
        </w:rPr>
        <w:t xml:space="preserve"> </w:t>
      </w:r>
      <w:r w:rsidRPr="007150E0">
        <w:rPr>
          <w:i/>
        </w:rPr>
        <w:t>supra</w:t>
      </w:r>
      <w:r>
        <w:t xml:space="preserve"> note </w:t>
      </w:r>
      <w:r>
        <w:fldChar w:fldCharType="begin"/>
      </w:r>
      <w:r>
        <w:instrText xml:space="preserve"> NOTEREF _Ref15298320 \h </w:instrText>
      </w:r>
      <w:r>
        <w:fldChar w:fldCharType="separate"/>
      </w:r>
      <w:r>
        <w:t>211</w:t>
      </w:r>
      <w:r>
        <w:fldChar w:fldCharType="end"/>
      </w:r>
      <w:r>
        <w:t xml:space="preserve">, art </w:t>
      </w:r>
      <w:r w:rsidRPr="005F70BA">
        <w:t>14(1)</w:t>
      </w:r>
      <w:r>
        <w:t>.</w:t>
      </w:r>
    </w:p>
  </w:footnote>
  <w:footnote w:id="240">
    <w:p w14:paraId="78DB9D00" w14:textId="357C2EF6" w:rsidR="002774A4" w:rsidRPr="0022034E" w:rsidRDefault="002774A4" w:rsidP="0079310E">
      <w:pPr>
        <w:pStyle w:val="FootnoteText"/>
        <w:rPr>
          <w:i/>
        </w:rPr>
      </w:pPr>
      <w:r>
        <w:rPr>
          <w:rStyle w:val="FootnoteReference"/>
        </w:rPr>
        <w:footnoteRef/>
      </w:r>
      <w:r>
        <w:t xml:space="preserve"> </w:t>
      </w:r>
      <w:r>
        <w:rPr>
          <w:i/>
        </w:rPr>
        <w:t>Ibid.</w:t>
      </w:r>
    </w:p>
  </w:footnote>
  <w:footnote w:id="241">
    <w:p w14:paraId="1C23005D" w14:textId="006780A8" w:rsidR="002774A4" w:rsidRPr="00A31C42" w:rsidRDefault="002774A4" w:rsidP="0079310E">
      <w:pPr>
        <w:pStyle w:val="FootnoteText"/>
      </w:pPr>
      <w:r>
        <w:rPr>
          <w:rStyle w:val="FootnoteReference"/>
        </w:rPr>
        <w:footnoteRef/>
      </w:r>
      <w:r>
        <w:t xml:space="preserve"> </w:t>
      </w:r>
      <w:r>
        <w:rPr>
          <w:i/>
        </w:rPr>
        <w:t>Ibid.</w:t>
      </w:r>
    </w:p>
  </w:footnote>
  <w:footnote w:id="242">
    <w:p w14:paraId="58DF69BC" w14:textId="637D0B24" w:rsidR="002774A4" w:rsidRPr="008B6D50" w:rsidRDefault="002774A4">
      <w:pPr>
        <w:pStyle w:val="FootnoteText"/>
        <w:rPr>
          <w:i/>
        </w:rPr>
      </w:pPr>
      <w:r>
        <w:rPr>
          <w:rStyle w:val="FootnoteReference"/>
        </w:rPr>
        <w:footnoteRef/>
      </w:r>
      <w:r>
        <w:t xml:space="preserve"> </w:t>
      </w:r>
      <w:r>
        <w:rPr>
          <w:i/>
        </w:rPr>
        <w:t>Ibid.</w:t>
      </w:r>
    </w:p>
  </w:footnote>
  <w:footnote w:id="243">
    <w:p w14:paraId="05D1B0E7" w14:textId="76F8CA69" w:rsidR="002774A4" w:rsidRPr="00BC23DB" w:rsidRDefault="002774A4" w:rsidP="004A15C8">
      <w:pPr>
        <w:pStyle w:val="FootnoteText"/>
        <w:adjustRightInd w:val="0"/>
        <w:snapToGrid w:val="0"/>
      </w:pPr>
      <w:r w:rsidRPr="00BC23DB">
        <w:rPr>
          <w:rStyle w:val="FootnoteReference"/>
        </w:rPr>
        <w:footnoteRef/>
      </w:r>
      <w:r w:rsidRPr="00BC23DB">
        <w:t xml:space="preserve"> </w:t>
      </w:r>
      <w:r>
        <w:t xml:space="preserve">Committee on the Rights of Persons with Disabilities, “General comment No.1,” </w:t>
      </w:r>
      <w:r>
        <w:rPr>
          <w:i/>
        </w:rPr>
        <w:t xml:space="preserve">supra </w:t>
      </w:r>
      <w:r>
        <w:t xml:space="preserve">note </w:t>
      </w:r>
      <w:r>
        <w:fldChar w:fldCharType="begin"/>
      </w:r>
      <w:r>
        <w:instrText xml:space="preserve"> NOTEREF _Ref15295251 \h </w:instrText>
      </w:r>
      <w:r>
        <w:fldChar w:fldCharType="separate"/>
      </w:r>
      <w:proofErr w:type="gramStart"/>
      <w:r>
        <w:t>7</w:t>
      </w:r>
      <w:proofErr w:type="gramEnd"/>
      <w:r>
        <w:fldChar w:fldCharType="end"/>
      </w:r>
      <w:r>
        <w:t xml:space="preserve"> at </w:t>
      </w:r>
      <w:r w:rsidRPr="00BC23DB">
        <w:t>para 29</w:t>
      </w:r>
      <w:r>
        <w:t>.</w:t>
      </w:r>
    </w:p>
  </w:footnote>
  <w:footnote w:id="244">
    <w:p w14:paraId="587C3B79" w14:textId="3B57422C" w:rsidR="002774A4" w:rsidRPr="00BC23DB" w:rsidRDefault="002774A4" w:rsidP="004A15C8">
      <w:pPr>
        <w:pStyle w:val="FootnoteText"/>
        <w:adjustRightInd w:val="0"/>
        <w:snapToGrid w:val="0"/>
      </w:pPr>
      <w:r w:rsidRPr="00BC23DB">
        <w:rPr>
          <w:rStyle w:val="FootnoteReference"/>
        </w:rPr>
        <w:footnoteRef/>
      </w:r>
      <w:r w:rsidRPr="00BC23DB">
        <w:t xml:space="preserve"> </w:t>
      </w:r>
      <w:r>
        <w:rPr>
          <w:i/>
        </w:rPr>
        <w:t xml:space="preserve">The Rights of Persons with Disabilities </w:t>
      </w:r>
      <w:proofErr w:type="gramStart"/>
      <w:r>
        <w:rPr>
          <w:i/>
        </w:rPr>
        <w:t>Act,</w:t>
      </w:r>
      <w:proofErr w:type="gramEnd"/>
      <w:r>
        <w:rPr>
          <w:i/>
        </w:rPr>
        <w:t xml:space="preserve"> </w:t>
      </w:r>
      <w:r w:rsidRPr="007150E0">
        <w:rPr>
          <w:i/>
        </w:rPr>
        <w:t>supra</w:t>
      </w:r>
      <w:r>
        <w:t xml:space="preserve"> note </w:t>
      </w:r>
      <w:r>
        <w:fldChar w:fldCharType="begin"/>
      </w:r>
      <w:r>
        <w:instrText xml:space="preserve"> NOTEREF _Ref15298320 \h </w:instrText>
      </w:r>
      <w:r>
        <w:fldChar w:fldCharType="separate"/>
      </w:r>
      <w:r>
        <w:t>211</w:t>
      </w:r>
      <w:r>
        <w:fldChar w:fldCharType="end"/>
      </w:r>
      <w:r>
        <w:t xml:space="preserve">, art </w:t>
      </w:r>
      <w:r w:rsidRPr="00BC23DB">
        <w:t>14(1)</w:t>
      </w:r>
      <w:r>
        <w:t>.</w:t>
      </w:r>
    </w:p>
  </w:footnote>
  <w:footnote w:id="245">
    <w:p w14:paraId="2649DE77" w14:textId="2F33A272" w:rsidR="002774A4" w:rsidRPr="008C52C7" w:rsidRDefault="002774A4">
      <w:pPr>
        <w:pStyle w:val="FootnoteText"/>
      </w:pPr>
      <w:r>
        <w:rPr>
          <w:rStyle w:val="FootnoteReference"/>
        </w:rPr>
        <w:footnoteRef/>
      </w:r>
      <w:r>
        <w:t xml:space="preserve"> </w:t>
      </w:r>
      <w:r>
        <w:rPr>
          <w:i/>
        </w:rPr>
        <w:t xml:space="preserve">The National Trust Act, 1999 (No. 4 of 1999), </w:t>
      </w:r>
      <w:r>
        <w:t>India, 30 December 1999, online: &lt;</w:t>
      </w:r>
      <w:r w:rsidRPr="008C52C7">
        <w:t xml:space="preserve"> http://thenationaltrust.gov.in/upload/uploadfiles/files/act-englsih.pdf</w:t>
      </w:r>
      <w:r>
        <w:t>&gt;.</w:t>
      </w:r>
    </w:p>
  </w:footnote>
  <w:footnote w:id="246">
    <w:p w14:paraId="4163AA8E" w14:textId="4D6282B3" w:rsidR="002774A4" w:rsidRPr="00BC23DB" w:rsidRDefault="002774A4" w:rsidP="004A15C8">
      <w:pPr>
        <w:pStyle w:val="NormalWeb"/>
        <w:adjustRightInd w:val="0"/>
        <w:snapToGrid w:val="0"/>
        <w:spacing w:before="0" w:beforeAutospacing="0" w:after="0" w:afterAutospacing="0"/>
        <w:jc w:val="both"/>
        <w:rPr>
          <w:sz w:val="20"/>
          <w:szCs w:val="20"/>
        </w:rPr>
      </w:pPr>
      <w:r w:rsidRPr="00BC23DB">
        <w:rPr>
          <w:rStyle w:val="FootnoteReference"/>
          <w:sz w:val="20"/>
          <w:szCs w:val="20"/>
        </w:rPr>
        <w:footnoteRef/>
      </w:r>
      <w:r w:rsidRPr="00BC23DB">
        <w:rPr>
          <w:sz w:val="20"/>
          <w:szCs w:val="20"/>
        </w:rPr>
        <w:t xml:space="preserve"> </w:t>
      </w:r>
      <w:r>
        <w:rPr>
          <w:sz w:val="20"/>
          <w:szCs w:val="20"/>
        </w:rPr>
        <w:t xml:space="preserve">National CRPD Coalition-India, </w:t>
      </w:r>
      <w:r>
        <w:rPr>
          <w:i/>
          <w:sz w:val="20"/>
          <w:szCs w:val="20"/>
        </w:rPr>
        <w:t xml:space="preserve">CRPD Alternate Report for India </w:t>
      </w:r>
      <w:r>
        <w:rPr>
          <w:sz w:val="20"/>
          <w:szCs w:val="20"/>
        </w:rPr>
        <w:t>(11 February 2019) at 22, online: &lt;</w:t>
      </w:r>
      <w:r w:rsidRPr="004A15C8">
        <w:t xml:space="preserve"> </w:t>
      </w:r>
      <w:r w:rsidRPr="004A15C8">
        <w:rPr>
          <w:sz w:val="20"/>
          <w:szCs w:val="20"/>
        </w:rPr>
        <w:t>https://tbinternet.ohchr.org/Treaties/CRPD/Shared%20Documents/Ind/INT_CRPD_ICO_Ind_33886_E.docx</w:t>
      </w:r>
      <w:r>
        <w:rPr>
          <w:sz w:val="20"/>
          <w:szCs w:val="20"/>
        </w:rPr>
        <w:t>&gt;.</w:t>
      </w:r>
    </w:p>
  </w:footnote>
  <w:footnote w:id="247">
    <w:p w14:paraId="2792DF02" w14:textId="3D6C5D25" w:rsidR="002774A4" w:rsidRPr="00BC23DB" w:rsidRDefault="002774A4" w:rsidP="0079310E">
      <w:pPr>
        <w:pStyle w:val="FootnoteText"/>
      </w:pPr>
      <w:r w:rsidRPr="00BC23DB">
        <w:rPr>
          <w:rStyle w:val="FootnoteReference"/>
        </w:rPr>
        <w:footnoteRef/>
      </w:r>
      <w:r w:rsidRPr="00BC23DB">
        <w:t xml:space="preserve"> </w:t>
      </w:r>
      <w:r>
        <w:rPr>
          <w:i/>
        </w:rPr>
        <w:t>The National Trust Act</w:t>
      </w:r>
      <w:r>
        <w:t xml:space="preserve">, </w:t>
      </w:r>
      <w:r>
        <w:rPr>
          <w:i/>
        </w:rPr>
        <w:t xml:space="preserve">supra </w:t>
      </w:r>
      <w:r>
        <w:t xml:space="preserve">note </w:t>
      </w:r>
      <w:r>
        <w:fldChar w:fldCharType="begin"/>
      </w:r>
      <w:r>
        <w:instrText xml:space="preserve"> NOTEREF _Ref15298452 \h </w:instrText>
      </w:r>
      <w:r>
        <w:fldChar w:fldCharType="separate"/>
      </w:r>
      <w:r>
        <w:t>245</w:t>
      </w:r>
      <w:r>
        <w:fldChar w:fldCharType="end"/>
      </w:r>
      <w:r>
        <w:t xml:space="preserve">, art </w:t>
      </w:r>
      <w:r w:rsidRPr="00BC23DB">
        <w:t>14(1</w:t>
      </w:r>
      <w:r>
        <w:t>).</w:t>
      </w:r>
    </w:p>
  </w:footnote>
  <w:footnote w:id="248">
    <w:p w14:paraId="488205E6" w14:textId="61496464" w:rsidR="002774A4" w:rsidRPr="00BC23DB" w:rsidRDefault="002774A4" w:rsidP="0079310E">
      <w:pPr>
        <w:pStyle w:val="FootnoteText"/>
      </w:pPr>
      <w:r w:rsidRPr="00BC23DB">
        <w:rPr>
          <w:rStyle w:val="FootnoteReference"/>
        </w:rPr>
        <w:footnoteRef/>
      </w:r>
      <w:r w:rsidRPr="00BC23DB">
        <w:t xml:space="preserve"> </w:t>
      </w:r>
      <w:r>
        <w:rPr>
          <w:i/>
        </w:rPr>
        <w:t>Ibid.</w:t>
      </w:r>
    </w:p>
  </w:footnote>
  <w:footnote w:id="249">
    <w:p w14:paraId="3F292EE8" w14:textId="22AFE8CD" w:rsidR="002774A4" w:rsidRPr="00BC23DB" w:rsidRDefault="002774A4" w:rsidP="0079310E">
      <w:pPr>
        <w:pStyle w:val="FootnoteText"/>
      </w:pPr>
      <w:r w:rsidRPr="00BC23DB">
        <w:rPr>
          <w:rStyle w:val="FootnoteReference"/>
        </w:rPr>
        <w:footnoteRef/>
      </w:r>
      <w:r w:rsidRPr="00BC23DB">
        <w:t xml:space="preserve"> </w:t>
      </w:r>
      <w:r>
        <w:rPr>
          <w:i/>
        </w:rPr>
        <w:t xml:space="preserve">Ibid, </w:t>
      </w:r>
      <w:r>
        <w:t xml:space="preserve">art </w:t>
      </w:r>
      <w:r w:rsidRPr="00BC23DB">
        <w:t>15</w:t>
      </w:r>
      <w:proofErr w:type="gramStart"/>
      <w:r>
        <w:t>;</w:t>
      </w:r>
      <w:proofErr w:type="gramEnd"/>
      <w:r w:rsidRPr="00BC23DB">
        <w:t xml:space="preserve"> see </w:t>
      </w:r>
      <w:r>
        <w:t>The National Trust, “Guardianship” (last updated: 3 July 2019), online: &lt;</w:t>
      </w:r>
      <w:r w:rsidRPr="00BC23DB">
        <w:t>http://www.thenationaltrust.gov.in/content/innerpage/guardianship.php</w:t>
      </w:r>
      <w:r>
        <w:t xml:space="preserve">&gt;. </w:t>
      </w:r>
    </w:p>
  </w:footnote>
  <w:footnote w:id="250">
    <w:p w14:paraId="5DCF32EA" w14:textId="556417D0" w:rsidR="002774A4" w:rsidRPr="00BC23DB" w:rsidRDefault="002774A4" w:rsidP="00AD239C">
      <w:pPr>
        <w:rPr>
          <w:sz w:val="20"/>
          <w:szCs w:val="20"/>
        </w:rPr>
      </w:pPr>
      <w:r w:rsidRPr="00BC23DB">
        <w:rPr>
          <w:rStyle w:val="FootnoteReference"/>
          <w:sz w:val="20"/>
          <w:szCs w:val="20"/>
        </w:rPr>
        <w:footnoteRef/>
      </w:r>
      <w:r w:rsidRPr="00BC23DB">
        <w:rPr>
          <w:sz w:val="20"/>
          <w:szCs w:val="20"/>
        </w:rPr>
        <w:t xml:space="preserve"> </w:t>
      </w:r>
      <w:r w:rsidRPr="005F70BA">
        <w:rPr>
          <w:sz w:val="20"/>
          <w:szCs w:val="20"/>
        </w:rPr>
        <w:t xml:space="preserve">NDN &amp; NCRPD, </w:t>
      </w:r>
      <w:r w:rsidRPr="005F70BA">
        <w:rPr>
          <w:i/>
          <w:sz w:val="20"/>
          <w:szCs w:val="20"/>
        </w:rPr>
        <w:t xml:space="preserve">supra </w:t>
      </w:r>
      <w:r w:rsidRPr="005F70BA">
        <w:rPr>
          <w:sz w:val="20"/>
          <w:szCs w:val="20"/>
        </w:rPr>
        <w:t xml:space="preserve">note </w:t>
      </w:r>
      <w:r>
        <w:rPr>
          <w:sz w:val="20"/>
          <w:szCs w:val="20"/>
        </w:rPr>
        <w:fldChar w:fldCharType="begin"/>
      </w:r>
      <w:r>
        <w:rPr>
          <w:sz w:val="20"/>
          <w:szCs w:val="20"/>
        </w:rPr>
        <w:instrText xml:space="preserve"> NOTEREF _Ref15298381 \h </w:instrText>
      </w:r>
      <w:r>
        <w:rPr>
          <w:sz w:val="20"/>
          <w:szCs w:val="20"/>
        </w:rPr>
      </w:r>
      <w:r>
        <w:rPr>
          <w:sz w:val="20"/>
          <w:szCs w:val="20"/>
        </w:rPr>
        <w:fldChar w:fldCharType="separate"/>
      </w:r>
      <w:r>
        <w:rPr>
          <w:sz w:val="20"/>
          <w:szCs w:val="20"/>
        </w:rPr>
        <w:t>234</w:t>
      </w:r>
      <w:r>
        <w:rPr>
          <w:sz w:val="20"/>
          <w:szCs w:val="20"/>
        </w:rPr>
        <w:fldChar w:fldCharType="end"/>
      </w:r>
      <w:r>
        <w:rPr>
          <w:sz w:val="20"/>
          <w:szCs w:val="20"/>
        </w:rPr>
        <w:t xml:space="preserve"> at</w:t>
      </w:r>
      <w:r w:rsidRPr="00BC23DB">
        <w:rPr>
          <w:sz w:val="20"/>
          <w:szCs w:val="20"/>
        </w:rPr>
        <w:t xml:space="preserve"> </w:t>
      </w:r>
      <w:r>
        <w:rPr>
          <w:sz w:val="20"/>
          <w:szCs w:val="20"/>
        </w:rPr>
        <w:t>para 17.</w:t>
      </w:r>
    </w:p>
  </w:footnote>
  <w:footnote w:id="251">
    <w:p w14:paraId="70E1216F" w14:textId="7D29A8E1" w:rsidR="002774A4" w:rsidRPr="00BC23DB" w:rsidRDefault="002774A4" w:rsidP="0079310E">
      <w:pPr>
        <w:pStyle w:val="FootnoteText"/>
      </w:pPr>
      <w:r w:rsidRPr="00BC23DB">
        <w:rPr>
          <w:rStyle w:val="FootnoteReference"/>
        </w:rPr>
        <w:footnoteRef/>
      </w:r>
      <w:r>
        <w:t xml:space="preserve"> National Trust, </w:t>
      </w:r>
      <w:r>
        <w:rPr>
          <w:i/>
        </w:rPr>
        <w:t xml:space="preserve">Empowering Abilities, </w:t>
      </w:r>
      <w:proofErr w:type="gramStart"/>
      <w:r>
        <w:rPr>
          <w:i/>
        </w:rPr>
        <w:t>Creating</w:t>
      </w:r>
      <w:proofErr w:type="gramEnd"/>
      <w:r>
        <w:rPr>
          <w:i/>
        </w:rPr>
        <w:t xml:space="preserve"> Trust: Annual Report 2017-18 </w:t>
      </w:r>
      <w:r>
        <w:t xml:space="preserve">at 20, online:  </w:t>
      </w:r>
      <w:r w:rsidRPr="00BC23DB">
        <w:t xml:space="preserve"> </w:t>
      </w:r>
      <w:r>
        <w:t>&lt;</w:t>
      </w:r>
      <w:r w:rsidRPr="00BC23DB">
        <w:t>http://www.thenationaltrust.gov.in/upload/uploadfiles/files/Annual_Report_2017-18_English.pdf</w:t>
      </w:r>
      <w:r>
        <w:t>&gt;.</w:t>
      </w:r>
    </w:p>
  </w:footnote>
  <w:footnote w:id="252">
    <w:p w14:paraId="4C0E9E09" w14:textId="500226B8" w:rsidR="002774A4" w:rsidRPr="001E0C34" w:rsidRDefault="002774A4" w:rsidP="0079310E">
      <w:pPr>
        <w:pStyle w:val="FootnoteText"/>
      </w:pPr>
      <w:r w:rsidRPr="00BC23DB">
        <w:rPr>
          <w:rStyle w:val="FootnoteReference"/>
        </w:rPr>
        <w:footnoteRef/>
      </w:r>
      <w:r w:rsidRPr="00BC23DB">
        <w:t xml:space="preserve"> See</w:t>
      </w:r>
      <w:r>
        <w:t xml:space="preserve"> Committee on the Rights of Persons with Disabilities, “General comment No.1,” </w:t>
      </w:r>
      <w:r>
        <w:rPr>
          <w:i/>
        </w:rPr>
        <w:t xml:space="preserve">supra </w:t>
      </w:r>
      <w:r>
        <w:t xml:space="preserve">note </w:t>
      </w:r>
      <w:r>
        <w:fldChar w:fldCharType="begin"/>
      </w:r>
      <w:r>
        <w:instrText xml:space="preserve"> NOTEREF _Ref15295251 \h </w:instrText>
      </w:r>
      <w:r>
        <w:fldChar w:fldCharType="separate"/>
      </w:r>
      <w:proofErr w:type="gramStart"/>
      <w:r>
        <w:t>7</w:t>
      </w:r>
      <w:proofErr w:type="gramEnd"/>
      <w:r>
        <w:fldChar w:fldCharType="end"/>
      </w:r>
      <w:r>
        <w:t xml:space="preserve"> at</w:t>
      </w:r>
      <w:r w:rsidRPr="00BC23DB">
        <w:t xml:space="preserve"> para 15</w:t>
      </w:r>
      <w:r>
        <w:t>.</w:t>
      </w:r>
    </w:p>
  </w:footnote>
  <w:footnote w:id="253">
    <w:p w14:paraId="67D18DA4" w14:textId="450669E3" w:rsidR="002774A4" w:rsidRPr="008B2DF8" w:rsidRDefault="002774A4" w:rsidP="0079310E">
      <w:pPr>
        <w:pStyle w:val="FootnoteText"/>
      </w:pPr>
      <w:r>
        <w:rPr>
          <w:rStyle w:val="FootnoteReference"/>
        </w:rPr>
        <w:footnoteRef/>
      </w:r>
      <w:r>
        <w:t xml:space="preserve"> </w:t>
      </w:r>
      <w:r w:rsidRPr="005F70BA">
        <w:t xml:space="preserve">NDN &amp; NCRPD, </w:t>
      </w:r>
      <w:r w:rsidRPr="005F70BA">
        <w:rPr>
          <w:i/>
        </w:rPr>
        <w:t xml:space="preserve">supra </w:t>
      </w:r>
      <w:r w:rsidRPr="005F70BA">
        <w:t xml:space="preserve">note </w:t>
      </w:r>
      <w:r>
        <w:fldChar w:fldCharType="begin"/>
      </w:r>
      <w:r>
        <w:instrText xml:space="preserve"> NOTEREF _Ref15298381 \h </w:instrText>
      </w:r>
      <w:r>
        <w:fldChar w:fldCharType="separate"/>
      </w:r>
      <w:r>
        <w:t>234</w:t>
      </w:r>
      <w:r>
        <w:fldChar w:fldCharType="end"/>
      </w:r>
      <w:r>
        <w:t xml:space="preserve"> at para 47(2).</w:t>
      </w:r>
    </w:p>
  </w:footnote>
  <w:footnote w:id="254">
    <w:p w14:paraId="4D9FB416" w14:textId="7800E479" w:rsidR="002774A4" w:rsidRPr="00D240B4" w:rsidRDefault="002774A4">
      <w:pPr>
        <w:pStyle w:val="FootnoteText"/>
      </w:pPr>
      <w:r>
        <w:rPr>
          <w:rStyle w:val="FootnoteReference"/>
        </w:rPr>
        <w:footnoteRef/>
      </w:r>
      <w:r>
        <w:t xml:space="preserve"> </w:t>
      </w:r>
      <w:r>
        <w:rPr>
          <w:i/>
        </w:rPr>
        <w:t xml:space="preserve">Capacity and Guardianship (Amendment No. 18) Law, 5776-2016, </w:t>
      </w:r>
      <w:r>
        <w:t>Israel, 29 March 2016, online: &lt;</w:t>
      </w:r>
      <w:r w:rsidRPr="008868A8">
        <w:t>https://www.google.com/url?sa=t&amp;rct=j&amp;q=&amp;esrc=s&amp;source=web&amp;cd=1&amp;ved=2ahUKEwiw8aTE753jAhVPcZoKHVhHCLgQFjAAegQIBhAC&amp;url=http%3A%2F%2Fwww.supporteddecisionmaking.org%2Fsites%2Fdefault%2Ffiles%2Fnew-Israeli-law-on-supported-decision-making.docx&amp;usg=AOvVaw2GHHKZxFP3lz3iNO-L7mkL</w:t>
      </w:r>
      <w:r>
        <w:t>&gt;. Full text of the law (in Hebrew</w:t>
      </w:r>
      <w:proofErr w:type="gramStart"/>
      <w:r>
        <w:t>):</w:t>
      </w:r>
      <w:proofErr w:type="gramEnd"/>
      <w:r>
        <w:t xml:space="preserve"> &lt;</w:t>
      </w:r>
      <w:r w:rsidRPr="00183838">
        <w:t>https://www.nevo.co.il/law_html/law01/192_001.htm</w:t>
      </w:r>
      <w:r>
        <w:t>&gt;.</w:t>
      </w:r>
    </w:p>
  </w:footnote>
  <w:footnote w:id="255">
    <w:p w14:paraId="2DBC4318" w14:textId="2555559F" w:rsidR="002774A4" w:rsidRPr="002A56F0" w:rsidRDefault="002774A4" w:rsidP="009158C8">
      <w:pPr>
        <w:pStyle w:val="FootnoteText"/>
      </w:pPr>
      <w:r>
        <w:rPr>
          <w:rStyle w:val="FootnoteReference"/>
        </w:rPr>
        <w:footnoteRef/>
      </w:r>
      <w:r>
        <w:t xml:space="preserve"> </w:t>
      </w:r>
      <w:r>
        <w:rPr>
          <w:i/>
        </w:rPr>
        <w:t xml:space="preserve">Initial report submitted by Israel under article 35 of the Convention, due in 2014 </w:t>
      </w:r>
      <w:r>
        <w:t>(8 March 2019) at para 91, online: &lt;</w:t>
      </w:r>
      <w:r w:rsidRPr="001C4879">
        <w:t xml:space="preserve"> http://docstore.ohchr.org/SelfServices/FilesHandler.ashx?enc=6QkG1d%2fPPRiCAqhKb7yhsmEWpNSvYdhzky41dt2u3U783dwysUXaXnVrhJif7y0NFg79ZX3ivJfoAFC6oIz7jUXf6N3Sq5wdFC6OPZEFfQWga5je%2bazE5L%2bIHvpbyUys</w:t>
      </w:r>
      <w:r>
        <w:t>&gt;.</w:t>
      </w:r>
    </w:p>
  </w:footnote>
  <w:footnote w:id="256">
    <w:p w14:paraId="2A66B5A1" w14:textId="4F40BB8F" w:rsidR="002774A4" w:rsidRPr="004C7B9B" w:rsidRDefault="002774A4" w:rsidP="009158C8">
      <w:pPr>
        <w:pStyle w:val="FootnoteText"/>
      </w:pPr>
      <w:r>
        <w:rPr>
          <w:rStyle w:val="FootnoteReference"/>
        </w:rPr>
        <w:footnoteRef/>
      </w:r>
      <w:r>
        <w:t xml:space="preserve"> Kanter &amp;</w:t>
      </w:r>
      <w:r w:rsidRPr="004C7B9B">
        <w:t xml:space="preserve"> </w:t>
      </w:r>
      <w:proofErr w:type="spellStart"/>
      <w:r w:rsidRPr="004C7B9B">
        <w:t>Tolub</w:t>
      </w:r>
      <w:proofErr w:type="spellEnd"/>
      <w:r>
        <w:t xml:space="preserve">, </w:t>
      </w:r>
      <w:r>
        <w:rPr>
          <w:i/>
        </w:rPr>
        <w:t xml:space="preserve">supra </w:t>
      </w:r>
      <w:r>
        <w:t xml:space="preserve">note </w:t>
      </w:r>
      <w:r>
        <w:fldChar w:fldCharType="begin"/>
      </w:r>
      <w:r>
        <w:instrText xml:space="preserve"> NOTEREF _Ref15298534 \h </w:instrText>
      </w:r>
      <w:r>
        <w:fldChar w:fldCharType="separate"/>
      </w:r>
      <w:r>
        <w:t>108</w:t>
      </w:r>
      <w:r>
        <w:fldChar w:fldCharType="end"/>
      </w:r>
      <w:r>
        <w:t xml:space="preserve"> at</w:t>
      </w:r>
      <w:r w:rsidRPr="004C7B9B">
        <w:t xml:space="preserve"> 559</w:t>
      </w:r>
      <w:r>
        <w:t>.</w:t>
      </w:r>
    </w:p>
  </w:footnote>
  <w:footnote w:id="257">
    <w:p w14:paraId="4152A706" w14:textId="245628C9" w:rsidR="002774A4" w:rsidRPr="004C7B9B" w:rsidRDefault="002774A4" w:rsidP="009158C8">
      <w:pPr>
        <w:rPr>
          <w:bCs/>
          <w:sz w:val="20"/>
          <w:szCs w:val="20"/>
        </w:rPr>
      </w:pPr>
      <w:r w:rsidRPr="004C7B9B">
        <w:rPr>
          <w:rStyle w:val="FootnoteReference"/>
          <w:sz w:val="20"/>
          <w:szCs w:val="20"/>
        </w:rPr>
        <w:footnoteRef/>
      </w:r>
      <w:r w:rsidRPr="004C7B9B">
        <w:rPr>
          <w:sz w:val="20"/>
          <w:szCs w:val="20"/>
        </w:rPr>
        <w:t xml:space="preserve"> </w:t>
      </w:r>
      <w:r w:rsidRPr="00C61DD5">
        <w:rPr>
          <w:i/>
          <w:sz w:val="20"/>
          <w:szCs w:val="20"/>
        </w:rPr>
        <w:t>Capacity and Guardianship (Amendment No. 18) Law</w:t>
      </w:r>
      <w:r>
        <w:rPr>
          <w:i/>
          <w:sz w:val="20"/>
          <w:szCs w:val="20"/>
        </w:rPr>
        <w:t xml:space="preserve">, supra </w:t>
      </w:r>
      <w:r>
        <w:rPr>
          <w:sz w:val="20"/>
          <w:szCs w:val="20"/>
        </w:rPr>
        <w:t xml:space="preserve">note </w:t>
      </w:r>
      <w:r>
        <w:rPr>
          <w:sz w:val="20"/>
          <w:szCs w:val="20"/>
        </w:rPr>
        <w:fldChar w:fldCharType="begin"/>
      </w:r>
      <w:r>
        <w:rPr>
          <w:sz w:val="20"/>
          <w:szCs w:val="20"/>
        </w:rPr>
        <w:instrText xml:space="preserve"> NOTEREF _Ref15298558 \h </w:instrText>
      </w:r>
      <w:r>
        <w:rPr>
          <w:sz w:val="20"/>
          <w:szCs w:val="20"/>
        </w:rPr>
      </w:r>
      <w:r>
        <w:rPr>
          <w:sz w:val="20"/>
          <w:szCs w:val="20"/>
        </w:rPr>
        <w:fldChar w:fldCharType="separate"/>
      </w:r>
      <w:r>
        <w:rPr>
          <w:sz w:val="20"/>
          <w:szCs w:val="20"/>
        </w:rPr>
        <w:t>254</w:t>
      </w:r>
      <w:r>
        <w:rPr>
          <w:sz w:val="20"/>
          <w:szCs w:val="20"/>
        </w:rPr>
        <w:fldChar w:fldCharType="end"/>
      </w:r>
      <w:r>
        <w:rPr>
          <w:sz w:val="20"/>
          <w:szCs w:val="20"/>
        </w:rPr>
        <w:t>,</w:t>
      </w:r>
      <w:r w:rsidRPr="00C61DD5">
        <w:rPr>
          <w:sz w:val="20"/>
          <w:szCs w:val="20"/>
        </w:rPr>
        <w:t xml:space="preserve"> s</w:t>
      </w:r>
      <w:r w:rsidRPr="004C7B9B">
        <w:rPr>
          <w:sz w:val="20"/>
          <w:szCs w:val="20"/>
        </w:rPr>
        <w:t xml:space="preserve"> 33</w:t>
      </w:r>
      <w:r>
        <w:rPr>
          <w:sz w:val="20"/>
          <w:szCs w:val="20"/>
        </w:rPr>
        <w:t>.</w:t>
      </w:r>
      <w:r w:rsidRPr="004C7B9B">
        <w:rPr>
          <w:sz w:val="20"/>
          <w:szCs w:val="20"/>
        </w:rPr>
        <w:t xml:space="preserve"> </w:t>
      </w:r>
    </w:p>
  </w:footnote>
  <w:footnote w:id="258">
    <w:p w14:paraId="1ADE5A3D" w14:textId="1BB04B27" w:rsidR="002774A4" w:rsidRPr="009D324C" w:rsidRDefault="002774A4" w:rsidP="009158C8">
      <w:pPr>
        <w:pStyle w:val="FootnoteText"/>
      </w:pPr>
      <w:r>
        <w:rPr>
          <w:rStyle w:val="FootnoteReference"/>
        </w:rPr>
        <w:footnoteRef/>
      </w:r>
      <w:r>
        <w:t xml:space="preserve"> “Convention on the Rights of Persons with Disabilities,” </w:t>
      </w:r>
      <w:r>
        <w:rPr>
          <w:i/>
        </w:rPr>
        <w:t xml:space="preserve">supra </w:t>
      </w:r>
      <w:r>
        <w:t xml:space="preserve">note </w:t>
      </w:r>
      <w:r>
        <w:fldChar w:fldCharType="begin"/>
      </w:r>
      <w:r>
        <w:instrText xml:space="preserve"> NOTEREF _Ref15297432 \h </w:instrText>
      </w:r>
      <w:r>
        <w:fldChar w:fldCharType="separate"/>
      </w:r>
      <w:r>
        <w:t>20</w:t>
      </w:r>
      <w:r>
        <w:fldChar w:fldCharType="end"/>
      </w:r>
      <w:r>
        <w:t>.</w:t>
      </w:r>
    </w:p>
  </w:footnote>
  <w:footnote w:id="259">
    <w:p w14:paraId="5F388D75" w14:textId="749FF4F4" w:rsidR="002774A4" w:rsidRPr="00967A00" w:rsidRDefault="002774A4" w:rsidP="009158C8">
      <w:pPr>
        <w:pStyle w:val="FootnoteText"/>
      </w:pPr>
      <w:r>
        <w:rPr>
          <w:rStyle w:val="FootnoteReference"/>
        </w:rPr>
        <w:footnoteRef/>
      </w:r>
      <w:r>
        <w:t xml:space="preserve"> </w:t>
      </w:r>
      <w:r>
        <w:rPr>
          <w:i/>
        </w:rPr>
        <w:t xml:space="preserve">Initial report submitted by Israel, supra </w:t>
      </w:r>
      <w:r>
        <w:t xml:space="preserve">note </w:t>
      </w:r>
      <w:r>
        <w:fldChar w:fldCharType="begin"/>
      </w:r>
      <w:r>
        <w:instrText xml:space="preserve"> NOTEREF _Ref15298587 \h </w:instrText>
      </w:r>
      <w:r>
        <w:fldChar w:fldCharType="separate"/>
      </w:r>
      <w:r>
        <w:t>255</w:t>
      </w:r>
      <w:r>
        <w:fldChar w:fldCharType="end"/>
      </w:r>
      <w:r>
        <w:t xml:space="preserve"> at para 90.</w:t>
      </w:r>
    </w:p>
  </w:footnote>
  <w:footnote w:id="260">
    <w:p w14:paraId="17979D4B" w14:textId="6ECAEA1C" w:rsidR="002774A4" w:rsidRPr="001F1973" w:rsidRDefault="002774A4" w:rsidP="009158C8">
      <w:pPr>
        <w:pStyle w:val="FootnoteText"/>
      </w:pPr>
      <w:r>
        <w:rPr>
          <w:rStyle w:val="FootnoteReference"/>
        </w:rPr>
        <w:footnoteRef/>
      </w:r>
      <w:r>
        <w:t xml:space="preserve"> Kanter &amp; </w:t>
      </w:r>
      <w:proofErr w:type="spellStart"/>
      <w:r>
        <w:t>Tolub</w:t>
      </w:r>
      <w:proofErr w:type="spellEnd"/>
      <w:r>
        <w:t xml:space="preserve">, </w:t>
      </w:r>
      <w:r>
        <w:rPr>
          <w:i/>
        </w:rPr>
        <w:t xml:space="preserve">supra </w:t>
      </w:r>
      <w:r>
        <w:t xml:space="preserve">note </w:t>
      </w:r>
      <w:r>
        <w:fldChar w:fldCharType="begin"/>
      </w:r>
      <w:r>
        <w:instrText xml:space="preserve"> NOTEREF _Ref15298534 \h </w:instrText>
      </w:r>
      <w:r>
        <w:fldChar w:fldCharType="separate"/>
      </w:r>
      <w:r>
        <w:t>108</w:t>
      </w:r>
      <w:r>
        <w:fldChar w:fldCharType="end"/>
      </w:r>
      <w:r>
        <w:t xml:space="preserve"> at 589-90.</w:t>
      </w:r>
    </w:p>
  </w:footnote>
  <w:footnote w:id="261">
    <w:p w14:paraId="2E7A0D48" w14:textId="19BB5E93" w:rsidR="002774A4" w:rsidRPr="003F28A9" w:rsidRDefault="002774A4" w:rsidP="009158C8">
      <w:pPr>
        <w:pStyle w:val="FootnoteText"/>
      </w:pPr>
      <w:r>
        <w:rPr>
          <w:rStyle w:val="FootnoteReference"/>
        </w:rPr>
        <w:footnoteRef/>
      </w:r>
      <w:r>
        <w:t xml:space="preserve"> </w:t>
      </w:r>
      <w:r>
        <w:rPr>
          <w:i/>
        </w:rPr>
        <w:t xml:space="preserve">Ibid </w:t>
      </w:r>
      <w:r>
        <w:t>at 590.</w:t>
      </w:r>
    </w:p>
  </w:footnote>
  <w:footnote w:id="262">
    <w:p w14:paraId="4CEDCE89" w14:textId="57A43A37" w:rsidR="002774A4" w:rsidRPr="00FC2ABD" w:rsidRDefault="002774A4">
      <w:pPr>
        <w:pStyle w:val="FootnoteText"/>
        <w:rPr>
          <w:i/>
        </w:rPr>
      </w:pPr>
      <w:r>
        <w:rPr>
          <w:rStyle w:val="FootnoteReference"/>
        </w:rPr>
        <w:footnoteRef/>
      </w:r>
      <w:r>
        <w:t xml:space="preserve"> </w:t>
      </w:r>
      <w:r>
        <w:rPr>
          <w:i/>
        </w:rPr>
        <w:t>Ibid.</w:t>
      </w:r>
    </w:p>
  </w:footnote>
  <w:footnote w:id="263">
    <w:p w14:paraId="75E653D5" w14:textId="2C5478C3" w:rsidR="002774A4" w:rsidRPr="00971E23" w:rsidRDefault="002774A4">
      <w:pPr>
        <w:pStyle w:val="FootnoteText"/>
        <w:rPr>
          <w:i/>
        </w:rPr>
      </w:pPr>
      <w:r>
        <w:rPr>
          <w:rStyle w:val="FootnoteReference"/>
        </w:rPr>
        <w:footnoteRef/>
      </w:r>
      <w:r>
        <w:t xml:space="preserve"> </w:t>
      </w:r>
      <w:r>
        <w:rPr>
          <w:i/>
        </w:rPr>
        <w:t>Ibid.</w:t>
      </w:r>
    </w:p>
  </w:footnote>
  <w:footnote w:id="264">
    <w:p w14:paraId="623CD9CC" w14:textId="174474BD" w:rsidR="002774A4" w:rsidRPr="00427D73" w:rsidRDefault="002774A4">
      <w:pPr>
        <w:pStyle w:val="FootnoteText"/>
        <w:rPr>
          <w:i/>
        </w:rPr>
      </w:pPr>
      <w:r>
        <w:rPr>
          <w:rStyle w:val="FootnoteReference"/>
        </w:rPr>
        <w:footnoteRef/>
      </w:r>
      <w:r>
        <w:t xml:space="preserve"> </w:t>
      </w:r>
      <w:r>
        <w:rPr>
          <w:i/>
        </w:rPr>
        <w:t>Ibid.</w:t>
      </w:r>
    </w:p>
  </w:footnote>
  <w:footnote w:id="265">
    <w:p w14:paraId="1B5C3E21" w14:textId="0A478799" w:rsidR="002774A4" w:rsidRPr="000017CB" w:rsidRDefault="002774A4" w:rsidP="009158C8">
      <w:pPr>
        <w:pStyle w:val="FootnoteText"/>
        <w:rPr>
          <w:i/>
        </w:rPr>
      </w:pPr>
      <w:r>
        <w:rPr>
          <w:rStyle w:val="FootnoteReference"/>
        </w:rPr>
        <w:footnoteRef/>
      </w:r>
      <w:r>
        <w:t xml:space="preserve"> </w:t>
      </w:r>
      <w:r>
        <w:rPr>
          <w:i/>
        </w:rPr>
        <w:t>Ibid.</w:t>
      </w:r>
    </w:p>
  </w:footnote>
  <w:footnote w:id="266">
    <w:p w14:paraId="3CC82997" w14:textId="67A16E2F" w:rsidR="002774A4" w:rsidRPr="008F6E89" w:rsidRDefault="002774A4" w:rsidP="009158C8">
      <w:pPr>
        <w:pStyle w:val="FootnoteText"/>
      </w:pPr>
      <w:r>
        <w:rPr>
          <w:rStyle w:val="FootnoteReference"/>
        </w:rPr>
        <w:footnoteRef/>
      </w:r>
      <w:r>
        <w:t xml:space="preserve"> </w:t>
      </w:r>
      <w:r w:rsidRPr="00C61DD5">
        <w:rPr>
          <w:i/>
        </w:rPr>
        <w:t>Capacity and Guardianship (Amendment No. 18) Law</w:t>
      </w:r>
      <w:r>
        <w:rPr>
          <w:i/>
        </w:rPr>
        <w:t xml:space="preserve">, supra </w:t>
      </w:r>
      <w:r>
        <w:t xml:space="preserve">note </w:t>
      </w:r>
      <w:r>
        <w:fldChar w:fldCharType="begin"/>
      </w:r>
      <w:r>
        <w:instrText xml:space="preserve"> NOTEREF _Ref15298558 \h </w:instrText>
      </w:r>
      <w:r>
        <w:fldChar w:fldCharType="separate"/>
      </w:r>
      <w:r>
        <w:t>254</w:t>
      </w:r>
      <w:r>
        <w:fldChar w:fldCharType="end"/>
      </w:r>
      <w:r>
        <w:t>,</w:t>
      </w:r>
      <w:r w:rsidRPr="00C61DD5">
        <w:t xml:space="preserve"> </w:t>
      </w:r>
      <w:r>
        <w:t xml:space="preserve">s </w:t>
      </w:r>
      <w:proofErr w:type="gramStart"/>
      <w:r>
        <w:t>67B(</w:t>
      </w:r>
      <w:proofErr w:type="gramEnd"/>
      <w:r>
        <w:t>d).</w:t>
      </w:r>
    </w:p>
  </w:footnote>
  <w:footnote w:id="267">
    <w:p w14:paraId="65F06922" w14:textId="024D6227" w:rsidR="002774A4" w:rsidRPr="00CA51D8" w:rsidRDefault="002774A4" w:rsidP="009158C8">
      <w:pPr>
        <w:pStyle w:val="FootnoteText"/>
      </w:pPr>
      <w:r>
        <w:rPr>
          <w:rStyle w:val="FootnoteReference"/>
        </w:rPr>
        <w:footnoteRef/>
      </w:r>
      <w:r>
        <w:t xml:space="preserve"> </w:t>
      </w:r>
      <w:r>
        <w:rPr>
          <w:i/>
        </w:rPr>
        <w:t xml:space="preserve">Ibid, </w:t>
      </w:r>
      <w:r>
        <w:t xml:space="preserve">s </w:t>
      </w:r>
      <w:proofErr w:type="gramStart"/>
      <w:r>
        <w:t>67B(</w:t>
      </w:r>
      <w:proofErr w:type="gramEnd"/>
      <w:r>
        <w:t>a)(1).</w:t>
      </w:r>
    </w:p>
  </w:footnote>
  <w:footnote w:id="268">
    <w:p w14:paraId="52FE310A" w14:textId="2ADFBB6F" w:rsidR="002774A4" w:rsidRPr="00861CD9" w:rsidRDefault="002774A4" w:rsidP="009158C8">
      <w:pPr>
        <w:pStyle w:val="FootnoteText"/>
      </w:pPr>
      <w:r>
        <w:rPr>
          <w:rStyle w:val="FootnoteReference"/>
        </w:rPr>
        <w:footnoteRef/>
      </w:r>
      <w:r>
        <w:t xml:space="preserve"> </w:t>
      </w:r>
      <w:r>
        <w:rPr>
          <w:i/>
        </w:rPr>
        <w:t xml:space="preserve">Ibid, </w:t>
      </w:r>
      <w:r>
        <w:t xml:space="preserve">s </w:t>
      </w:r>
      <w:proofErr w:type="gramStart"/>
      <w:r>
        <w:t>67B(</w:t>
      </w:r>
      <w:proofErr w:type="gramEnd"/>
      <w:r>
        <w:t>a)(2).</w:t>
      </w:r>
    </w:p>
  </w:footnote>
  <w:footnote w:id="269">
    <w:p w14:paraId="7CAC37DA" w14:textId="3B918AE4" w:rsidR="002774A4" w:rsidRPr="00FC028D" w:rsidRDefault="002774A4" w:rsidP="009158C8">
      <w:pPr>
        <w:pStyle w:val="FootnoteText"/>
      </w:pPr>
      <w:r>
        <w:rPr>
          <w:rStyle w:val="FootnoteReference"/>
        </w:rPr>
        <w:footnoteRef/>
      </w:r>
      <w:r>
        <w:t xml:space="preserve"> </w:t>
      </w:r>
      <w:r>
        <w:rPr>
          <w:i/>
        </w:rPr>
        <w:t xml:space="preserve">Ibid, </w:t>
      </w:r>
      <w:r>
        <w:t xml:space="preserve">s </w:t>
      </w:r>
      <w:proofErr w:type="gramStart"/>
      <w:r>
        <w:t>67B(</w:t>
      </w:r>
      <w:proofErr w:type="gramEnd"/>
      <w:r>
        <w:t>a)(3).</w:t>
      </w:r>
    </w:p>
  </w:footnote>
  <w:footnote w:id="270">
    <w:p w14:paraId="75E7A39F" w14:textId="1778AFD7" w:rsidR="002774A4" w:rsidRPr="00AB75CB" w:rsidRDefault="002774A4" w:rsidP="009158C8">
      <w:pPr>
        <w:pStyle w:val="FootnoteText"/>
      </w:pPr>
      <w:r>
        <w:rPr>
          <w:rStyle w:val="FootnoteReference"/>
        </w:rPr>
        <w:footnoteRef/>
      </w:r>
      <w:r>
        <w:t xml:space="preserve"> </w:t>
      </w:r>
      <w:r>
        <w:rPr>
          <w:i/>
        </w:rPr>
        <w:t xml:space="preserve">Ibid, </w:t>
      </w:r>
      <w:r>
        <w:t>s 67B(c).</w:t>
      </w:r>
    </w:p>
  </w:footnote>
  <w:footnote w:id="271">
    <w:p w14:paraId="3DFC4651" w14:textId="54DC8AB8" w:rsidR="002774A4" w:rsidRPr="00D03E63" w:rsidRDefault="002774A4">
      <w:pPr>
        <w:pStyle w:val="FootnoteText"/>
      </w:pPr>
      <w:r>
        <w:rPr>
          <w:rStyle w:val="FootnoteReference"/>
        </w:rPr>
        <w:footnoteRef/>
      </w:r>
      <w:r>
        <w:t xml:space="preserve"> </w:t>
      </w:r>
      <w:r>
        <w:rPr>
          <w:i/>
        </w:rPr>
        <w:t xml:space="preserve">Ibid, </w:t>
      </w:r>
      <w:r>
        <w:t xml:space="preserve">s </w:t>
      </w:r>
      <w:proofErr w:type="gramStart"/>
      <w:r w:rsidRPr="00D03E63">
        <w:t>67B(</w:t>
      </w:r>
      <w:proofErr w:type="gramEnd"/>
      <w:r w:rsidRPr="00D03E63">
        <w:t>e).</w:t>
      </w:r>
    </w:p>
  </w:footnote>
  <w:footnote w:id="272">
    <w:p w14:paraId="5628DFAF" w14:textId="2C6493DE" w:rsidR="002774A4" w:rsidRPr="00D03E63" w:rsidRDefault="002774A4">
      <w:pPr>
        <w:pStyle w:val="FootnoteText"/>
        <w:rPr>
          <w:i/>
        </w:rPr>
      </w:pPr>
      <w:r w:rsidRPr="00D03E63">
        <w:rPr>
          <w:rStyle w:val="FootnoteReference"/>
        </w:rPr>
        <w:footnoteRef/>
      </w:r>
      <w:r w:rsidRPr="00D03E63">
        <w:t xml:space="preserve"> </w:t>
      </w:r>
      <w:r w:rsidRPr="00D03E63">
        <w:rPr>
          <w:i/>
        </w:rPr>
        <w:t>Ibid.</w:t>
      </w:r>
    </w:p>
  </w:footnote>
  <w:footnote w:id="273">
    <w:p w14:paraId="5A96A13A" w14:textId="38A51AB5" w:rsidR="002774A4" w:rsidRPr="00D03E63" w:rsidRDefault="002774A4">
      <w:pPr>
        <w:pStyle w:val="FootnoteText"/>
      </w:pPr>
      <w:r w:rsidRPr="00D03E63">
        <w:rPr>
          <w:rStyle w:val="FootnoteReference"/>
        </w:rPr>
        <w:footnoteRef/>
      </w:r>
      <w:r w:rsidRPr="00D03E63">
        <w:t xml:space="preserve"> </w:t>
      </w:r>
      <w:r w:rsidRPr="00D03E63">
        <w:rPr>
          <w:i/>
        </w:rPr>
        <w:t xml:space="preserve">Initial report submitted by Israel, supra </w:t>
      </w:r>
      <w:r w:rsidRPr="00D03E63">
        <w:t xml:space="preserve">note </w:t>
      </w:r>
      <w:r>
        <w:fldChar w:fldCharType="begin"/>
      </w:r>
      <w:r>
        <w:instrText xml:space="preserve"> NOTEREF _Ref15298587 \h </w:instrText>
      </w:r>
      <w:r>
        <w:fldChar w:fldCharType="separate"/>
      </w:r>
      <w:r>
        <w:t>255</w:t>
      </w:r>
      <w:r>
        <w:fldChar w:fldCharType="end"/>
      </w:r>
      <w:r w:rsidRPr="00D03E63">
        <w:t xml:space="preserve"> at para 94(b).</w:t>
      </w:r>
    </w:p>
  </w:footnote>
  <w:footnote w:id="274">
    <w:p w14:paraId="527D0DA9" w14:textId="6D2B9809" w:rsidR="002774A4" w:rsidRPr="00D03E63" w:rsidRDefault="002774A4" w:rsidP="009158C8">
      <w:pPr>
        <w:pStyle w:val="FootnoteText"/>
      </w:pPr>
      <w:r w:rsidRPr="00D03E63">
        <w:rPr>
          <w:rStyle w:val="FootnoteReference"/>
        </w:rPr>
        <w:footnoteRef/>
      </w:r>
      <w:r w:rsidRPr="00D03E63">
        <w:t xml:space="preserve"> See </w:t>
      </w:r>
      <w:r w:rsidRPr="00D03E63">
        <w:rPr>
          <w:i/>
        </w:rPr>
        <w:t xml:space="preserve">Capacity and Guardianship (Amendment No. 18) </w:t>
      </w:r>
      <w:proofErr w:type="gramStart"/>
      <w:r w:rsidRPr="00D03E63">
        <w:rPr>
          <w:i/>
        </w:rPr>
        <w:t>Law,</w:t>
      </w:r>
      <w:proofErr w:type="gramEnd"/>
      <w:r w:rsidRPr="00D03E63">
        <w:rPr>
          <w:i/>
        </w:rPr>
        <w:t xml:space="preserve"> supra </w:t>
      </w:r>
      <w:r w:rsidRPr="00D03E63">
        <w:t xml:space="preserve">note </w:t>
      </w:r>
      <w:r>
        <w:fldChar w:fldCharType="begin"/>
      </w:r>
      <w:r>
        <w:instrText xml:space="preserve"> NOTEREF _Ref15298558 \h </w:instrText>
      </w:r>
      <w:r>
        <w:fldChar w:fldCharType="separate"/>
      </w:r>
      <w:r>
        <w:t>254</w:t>
      </w:r>
      <w:r>
        <w:fldChar w:fldCharType="end"/>
      </w:r>
      <w:r w:rsidRPr="00D03E63">
        <w:t xml:space="preserve">, </w:t>
      </w:r>
      <w:proofErr w:type="spellStart"/>
      <w:r w:rsidRPr="00D03E63">
        <w:t>ss</w:t>
      </w:r>
      <w:proofErr w:type="spellEnd"/>
      <w:r w:rsidRPr="00D03E63">
        <w:t xml:space="preserve"> 32A-33. Note: </w:t>
      </w:r>
      <w:r>
        <w:t>e</w:t>
      </w:r>
      <w:r w:rsidRPr="00D03E63">
        <w:t xml:space="preserve">nduring </w:t>
      </w:r>
      <w:r>
        <w:t>p</w:t>
      </w:r>
      <w:r w:rsidRPr="00D03E63">
        <w:t xml:space="preserve">ower of </w:t>
      </w:r>
      <w:r>
        <w:t>a</w:t>
      </w:r>
      <w:r w:rsidRPr="00D03E63">
        <w:t xml:space="preserve">ttorney is to come into effect on the date at which the person is no longer able to understand the matter in which the power of attorney has been granted (s 32:19A1). </w:t>
      </w:r>
    </w:p>
  </w:footnote>
  <w:footnote w:id="275">
    <w:p w14:paraId="744A195C" w14:textId="6E6E9139" w:rsidR="002774A4" w:rsidRPr="00D03E63" w:rsidRDefault="002774A4" w:rsidP="009B6FBB">
      <w:pPr>
        <w:pStyle w:val="Normal1"/>
        <w:rPr>
          <w:rFonts w:ascii="Times New Roman" w:hAnsi="Times New Roman" w:cs="Times New Roman"/>
          <w:sz w:val="20"/>
          <w:szCs w:val="20"/>
        </w:rPr>
      </w:pPr>
      <w:r w:rsidRPr="00D03E63">
        <w:rPr>
          <w:rStyle w:val="FootnoteReference"/>
          <w:rFonts w:ascii="Times New Roman" w:hAnsi="Times New Roman" w:cs="Times New Roman"/>
          <w:sz w:val="20"/>
          <w:szCs w:val="20"/>
        </w:rPr>
        <w:footnoteRef/>
      </w:r>
      <w:r w:rsidRPr="00D03E63">
        <w:rPr>
          <w:rFonts w:ascii="Times New Roman" w:hAnsi="Times New Roman" w:cs="Times New Roman"/>
          <w:sz w:val="20"/>
          <w:szCs w:val="20"/>
        </w:rPr>
        <w:t xml:space="preserve"> </w:t>
      </w:r>
      <w:r w:rsidRPr="00D03E63">
        <w:rPr>
          <w:rFonts w:ascii="Times New Roman" w:hAnsi="Times New Roman" w:cs="Times New Roman"/>
          <w:i/>
          <w:sz w:val="20"/>
          <w:szCs w:val="20"/>
        </w:rPr>
        <w:t xml:space="preserve">Initial report submitted by Israel, supra </w:t>
      </w:r>
      <w:r w:rsidRPr="00D03E63">
        <w:rPr>
          <w:rFonts w:ascii="Times New Roman" w:hAnsi="Times New Roman" w:cs="Times New Roman"/>
          <w:sz w:val="20"/>
          <w:szCs w:val="20"/>
        </w:rPr>
        <w:t xml:space="preserve">note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NOTEREF _Ref15298587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255</w:t>
      </w:r>
      <w:r>
        <w:rPr>
          <w:rFonts w:ascii="Times New Roman" w:hAnsi="Times New Roman" w:cs="Times New Roman"/>
          <w:sz w:val="20"/>
          <w:szCs w:val="20"/>
        </w:rPr>
        <w:fldChar w:fldCharType="end"/>
      </w:r>
      <w:r w:rsidRPr="00D03E63">
        <w:rPr>
          <w:rFonts w:ascii="Times New Roman" w:hAnsi="Times New Roman" w:cs="Times New Roman"/>
          <w:sz w:val="20"/>
          <w:szCs w:val="20"/>
        </w:rPr>
        <w:t xml:space="preserve"> at para 94(a).</w:t>
      </w:r>
    </w:p>
  </w:footnote>
  <w:footnote w:id="276">
    <w:p w14:paraId="78504B49" w14:textId="05882FCC" w:rsidR="002774A4" w:rsidRPr="00AA2723" w:rsidRDefault="002774A4">
      <w:pPr>
        <w:pStyle w:val="FootnoteText"/>
      </w:pPr>
      <w:r w:rsidRPr="00D03E63">
        <w:rPr>
          <w:rStyle w:val="FootnoteReference"/>
        </w:rPr>
        <w:footnoteRef/>
      </w:r>
      <w:r w:rsidRPr="00D03E63">
        <w:t xml:space="preserve"> </w:t>
      </w:r>
      <w:r w:rsidRPr="00D03E63">
        <w:rPr>
          <w:i/>
        </w:rPr>
        <w:t>Capacity and Guardianship</w:t>
      </w:r>
      <w:r w:rsidRPr="00C61DD5">
        <w:rPr>
          <w:i/>
        </w:rPr>
        <w:t xml:space="preserve"> (Amendment No. 18) Law</w:t>
      </w:r>
      <w:r>
        <w:rPr>
          <w:i/>
        </w:rPr>
        <w:t xml:space="preserve">, supra </w:t>
      </w:r>
      <w:r>
        <w:t xml:space="preserve">note </w:t>
      </w:r>
      <w:r>
        <w:fldChar w:fldCharType="begin"/>
      </w:r>
      <w:r>
        <w:instrText xml:space="preserve"> NOTEREF _Ref15298558 \h </w:instrText>
      </w:r>
      <w:r>
        <w:fldChar w:fldCharType="separate"/>
      </w:r>
      <w:r>
        <w:t>254</w:t>
      </w:r>
      <w:r>
        <w:fldChar w:fldCharType="end"/>
      </w:r>
      <w:r w:rsidRPr="001567CB">
        <w:t xml:space="preserve">, </w:t>
      </w:r>
      <w:proofErr w:type="spellStart"/>
      <w:r w:rsidRPr="001567CB">
        <w:t>ss</w:t>
      </w:r>
      <w:proofErr w:type="spellEnd"/>
      <w:r w:rsidRPr="001567CB">
        <w:t xml:space="preserve"> </w:t>
      </w:r>
      <w:proofErr w:type="gramStart"/>
      <w:r w:rsidRPr="001567CB">
        <w:t>32N(</w:t>
      </w:r>
      <w:proofErr w:type="gramEnd"/>
      <w:r w:rsidRPr="007A7A45">
        <w:t>A)</w:t>
      </w:r>
      <w:r>
        <w:t xml:space="preserve"> &amp; </w:t>
      </w:r>
      <w:r w:rsidRPr="007A7A45">
        <w:t>32A</w:t>
      </w:r>
      <w:r>
        <w:t>.</w:t>
      </w:r>
    </w:p>
  </w:footnote>
  <w:footnote w:id="277">
    <w:p w14:paraId="4C3861A8" w14:textId="01112CE5" w:rsidR="002774A4" w:rsidRPr="00EA5D7A" w:rsidRDefault="002774A4">
      <w:pPr>
        <w:pStyle w:val="FootnoteText"/>
      </w:pPr>
      <w:r>
        <w:rPr>
          <w:rStyle w:val="FootnoteReference"/>
        </w:rPr>
        <w:footnoteRef/>
      </w:r>
      <w:r>
        <w:t xml:space="preserve"> </w:t>
      </w:r>
      <w:r>
        <w:rPr>
          <w:i/>
        </w:rPr>
        <w:t xml:space="preserve">Ibid, </w:t>
      </w:r>
      <w:r>
        <w:t>s</w:t>
      </w:r>
      <w:r>
        <w:rPr>
          <w:i/>
        </w:rPr>
        <w:t xml:space="preserve"> </w:t>
      </w:r>
      <w:r>
        <w:t>32A</w:t>
      </w:r>
      <w:proofErr w:type="gramStart"/>
      <w:r>
        <w:t>;</w:t>
      </w:r>
      <w:proofErr w:type="gramEnd"/>
      <w:r>
        <w:t xml:space="preserve"> see also s 32:29B (possibility for limiting or cancelling enduring power of attorney by the court).</w:t>
      </w:r>
    </w:p>
  </w:footnote>
  <w:footnote w:id="278">
    <w:p w14:paraId="663740CD" w14:textId="78BC1C66" w:rsidR="002774A4" w:rsidRPr="00594C33" w:rsidRDefault="002774A4">
      <w:pPr>
        <w:pStyle w:val="FootnoteText"/>
      </w:pPr>
      <w:r>
        <w:rPr>
          <w:rStyle w:val="FootnoteReference"/>
        </w:rPr>
        <w:footnoteRef/>
      </w:r>
      <w:r>
        <w:t xml:space="preserve"> </w:t>
      </w:r>
      <w:r>
        <w:rPr>
          <w:i/>
        </w:rPr>
        <w:t xml:space="preserve">Ibid, </w:t>
      </w:r>
      <w:r>
        <w:t>s 33(a</w:t>
      </w:r>
      <w:proofErr w:type="gramStart"/>
      <w:r>
        <w:t>)(</w:t>
      </w:r>
      <w:proofErr w:type="gramEnd"/>
      <w:r>
        <w:t>3).</w:t>
      </w:r>
    </w:p>
  </w:footnote>
  <w:footnote w:id="279">
    <w:p w14:paraId="6612DD75" w14:textId="0EDD61BA" w:rsidR="002774A4" w:rsidRPr="00907993" w:rsidRDefault="002774A4" w:rsidP="00594C33">
      <w:pPr>
        <w:pStyle w:val="FootnoteText"/>
      </w:pPr>
      <w:r>
        <w:rPr>
          <w:rStyle w:val="FootnoteReference"/>
        </w:rPr>
        <w:footnoteRef/>
      </w:r>
      <w:r>
        <w:t xml:space="preserve"> </w:t>
      </w:r>
      <w:r>
        <w:rPr>
          <w:i/>
        </w:rPr>
        <w:t xml:space="preserve">Capacity and Guardianship (Amendment No. 18) Law, supra </w:t>
      </w:r>
      <w:r>
        <w:t xml:space="preserve">note </w:t>
      </w:r>
      <w:r>
        <w:fldChar w:fldCharType="begin"/>
      </w:r>
      <w:r>
        <w:instrText xml:space="preserve"> NOTEREF _Ref15298558 \h </w:instrText>
      </w:r>
      <w:r>
        <w:fldChar w:fldCharType="separate"/>
      </w:r>
      <w:r>
        <w:t>254</w:t>
      </w:r>
      <w:r>
        <w:fldChar w:fldCharType="end"/>
      </w:r>
      <w:r>
        <w:t xml:space="preserve">, s 8.  </w:t>
      </w:r>
    </w:p>
  </w:footnote>
  <w:footnote w:id="280">
    <w:p w14:paraId="1EDF1BCA" w14:textId="6FED5F9A" w:rsidR="002774A4" w:rsidRDefault="002774A4">
      <w:pPr>
        <w:pStyle w:val="FootnoteText"/>
      </w:pPr>
      <w:r>
        <w:rPr>
          <w:rStyle w:val="FootnoteReference"/>
        </w:rPr>
        <w:footnoteRef/>
      </w:r>
      <w:r>
        <w:t xml:space="preserve"> </w:t>
      </w:r>
      <w:r>
        <w:rPr>
          <w:i/>
        </w:rPr>
        <w:t xml:space="preserve">Ibid, </w:t>
      </w:r>
      <w:r>
        <w:t>s 38(A).</w:t>
      </w:r>
    </w:p>
  </w:footnote>
  <w:footnote w:id="281">
    <w:p w14:paraId="25D18581" w14:textId="5CECDE5A" w:rsidR="002774A4" w:rsidRPr="004A0400" w:rsidRDefault="002774A4">
      <w:pPr>
        <w:pStyle w:val="FootnoteText"/>
        <w:rPr>
          <w:i/>
        </w:rPr>
      </w:pPr>
      <w:r>
        <w:rPr>
          <w:rStyle w:val="FootnoteReference"/>
        </w:rPr>
        <w:footnoteRef/>
      </w:r>
      <w:r>
        <w:t xml:space="preserve"> </w:t>
      </w:r>
      <w:r>
        <w:rPr>
          <w:i/>
        </w:rPr>
        <w:t>Ibid.</w:t>
      </w:r>
    </w:p>
  </w:footnote>
  <w:footnote w:id="282">
    <w:p w14:paraId="57DBF6C9" w14:textId="53AE1BCA" w:rsidR="002774A4" w:rsidRPr="00AC7E54" w:rsidRDefault="002774A4" w:rsidP="00FA4454">
      <w:pPr>
        <w:pStyle w:val="FootnoteText"/>
        <w:rPr>
          <w:i/>
        </w:rPr>
      </w:pPr>
      <w:r>
        <w:rPr>
          <w:rStyle w:val="FootnoteReference"/>
        </w:rPr>
        <w:footnoteRef/>
      </w:r>
      <w:r>
        <w:t xml:space="preserve"> </w:t>
      </w:r>
      <w:r>
        <w:rPr>
          <w:i/>
        </w:rPr>
        <w:t xml:space="preserve">Capacity and Guardianship </w:t>
      </w:r>
      <w:r w:rsidRPr="00C61DD5">
        <w:rPr>
          <w:i/>
        </w:rPr>
        <w:t>(Amendment No. 18) Law</w:t>
      </w:r>
      <w:r>
        <w:rPr>
          <w:i/>
        </w:rPr>
        <w:t xml:space="preserve">, supra </w:t>
      </w:r>
      <w:r>
        <w:t xml:space="preserve">note </w:t>
      </w:r>
      <w:r>
        <w:fldChar w:fldCharType="begin"/>
      </w:r>
      <w:r>
        <w:instrText xml:space="preserve"> NOTEREF _Ref15298558 \h </w:instrText>
      </w:r>
      <w:r>
        <w:fldChar w:fldCharType="separate"/>
      </w:r>
      <w:r>
        <w:t>254</w:t>
      </w:r>
      <w:r>
        <w:fldChar w:fldCharType="end"/>
      </w:r>
      <w:r>
        <w:t>, s 33(a</w:t>
      </w:r>
      <w:proofErr w:type="gramStart"/>
      <w:r>
        <w:t>)(</w:t>
      </w:r>
      <w:proofErr w:type="gramEnd"/>
      <w:r>
        <w:t>4).</w:t>
      </w:r>
    </w:p>
  </w:footnote>
  <w:footnote w:id="283">
    <w:p w14:paraId="1B06C756" w14:textId="6C653337" w:rsidR="002774A4" w:rsidRPr="00594C33" w:rsidRDefault="002774A4">
      <w:pPr>
        <w:pStyle w:val="FootnoteText"/>
      </w:pPr>
      <w:r>
        <w:rPr>
          <w:rStyle w:val="FootnoteReference"/>
        </w:rPr>
        <w:footnoteRef/>
      </w:r>
      <w:r>
        <w:t xml:space="preserve"> </w:t>
      </w:r>
      <w:r>
        <w:rPr>
          <w:i/>
        </w:rPr>
        <w:t xml:space="preserve">Initial Report submitted by Israel, supra </w:t>
      </w:r>
      <w:r>
        <w:t xml:space="preserve">note </w:t>
      </w:r>
      <w:r>
        <w:fldChar w:fldCharType="begin"/>
      </w:r>
      <w:r>
        <w:instrText xml:space="preserve"> NOTEREF _Ref15298587 \h </w:instrText>
      </w:r>
      <w:r>
        <w:fldChar w:fldCharType="separate"/>
      </w:r>
      <w:r>
        <w:t>255</w:t>
      </w:r>
      <w:r>
        <w:fldChar w:fldCharType="end"/>
      </w:r>
      <w:r>
        <w:t xml:space="preserve"> at para 88.</w:t>
      </w:r>
    </w:p>
  </w:footnote>
  <w:footnote w:id="284">
    <w:p w14:paraId="750E1C09" w14:textId="52AE380D" w:rsidR="002774A4" w:rsidRDefault="002774A4" w:rsidP="009009BF">
      <w:pPr>
        <w:pStyle w:val="FootnoteText"/>
      </w:pPr>
      <w:r>
        <w:rPr>
          <w:rStyle w:val="FootnoteReference"/>
        </w:rPr>
        <w:footnoteRef/>
      </w:r>
      <w:r>
        <w:t xml:space="preserve"> </w:t>
      </w:r>
      <w:r>
        <w:rPr>
          <w:i/>
        </w:rPr>
        <w:t xml:space="preserve">Capacity and Guardianship </w:t>
      </w:r>
      <w:r w:rsidRPr="00C61DD5">
        <w:rPr>
          <w:i/>
        </w:rPr>
        <w:t>(Amendment No. 18) Law</w:t>
      </w:r>
      <w:r>
        <w:rPr>
          <w:i/>
        </w:rPr>
        <w:t xml:space="preserve">, supra </w:t>
      </w:r>
      <w:r>
        <w:t xml:space="preserve">note </w:t>
      </w:r>
      <w:r>
        <w:fldChar w:fldCharType="begin"/>
      </w:r>
      <w:r>
        <w:instrText xml:space="preserve"> NOTEREF _Ref15298558 \h </w:instrText>
      </w:r>
      <w:r>
        <w:fldChar w:fldCharType="separate"/>
      </w:r>
      <w:r>
        <w:t>254</w:t>
      </w:r>
      <w:r>
        <w:fldChar w:fldCharType="end"/>
      </w:r>
      <w:r>
        <w:rPr>
          <w:i/>
        </w:rPr>
        <w:t xml:space="preserve">, </w:t>
      </w:r>
      <w:r>
        <w:t xml:space="preserve">s 33A(1); see </w:t>
      </w:r>
      <w:proofErr w:type="spellStart"/>
      <w:r>
        <w:t>Bizchut</w:t>
      </w:r>
      <w:proofErr w:type="spellEnd"/>
      <w:r>
        <w:t>, “Introduction to the new Legal Capacity and Guardianship Law” (4 April 2016) at 2, online: &lt;</w:t>
      </w:r>
    </w:p>
    <w:p w14:paraId="6E4D47BD" w14:textId="11F29540" w:rsidR="002774A4" w:rsidRPr="00C16931" w:rsidRDefault="002774A4" w:rsidP="009009BF">
      <w:pPr>
        <w:pStyle w:val="FootnoteText"/>
      </w:pPr>
      <w:r>
        <w:t>http://www.supporteddecisionmaking.org/sites/default/files/Introduction-to-new-guardianship-law.docx&amp;gt&gt;.</w:t>
      </w:r>
    </w:p>
  </w:footnote>
  <w:footnote w:id="285">
    <w:p w14:paraId="25C61B9E" w14:textId="26D71E28" w:rsidR="002774A4" w:rsidRPr="00080E6B" w:rsidRDefault="002774A4" w:rsidP="009158C8">
      <w:pPr>
        <w:pStyle w:val="FootnoteText"/>
      </w:pPr>
      <w:r>
        <w:rPr>
          <w:rStyle w:val="FootnoteReference"/>
        </w:rPr>
        <w:footnoteRef/>
      </w:r>
      <w:r>
        <w:t xml:space="preserve"> </w:t>
      </w:r>
      <w:r w:rsidRPr="00C61DD5">
        <w:rPr>
          <w:i/>
        </w:rPr>
        <w:t>Capacity and Guardianship (Amendment No. 18) Law</w:t>
      </w:r>
      <w:r>
        <w:rPr>
          <w:i/>
        </w:rPr>
        <w:t xml:space="preserve">, supra </w:t>
      </w:r>
      <w:r>
        <w:t xml:space="preserve">note </w:t>
      </w:r>
      <w:r>
        <w:fldChar w:fldCharType="begin"/>
      </w:r>
      <w:r>
        <w:instrText xml:space="preserve"> NOTEREF _Ref15298558 \h </w:instrText>
      </w:r>
      <w:r>
        <w:fldChar w:fldCharType="separate"/>
      </w:r>
      <w:r>
        <w:t>254</w:t>
      </w:r>
      <w:r>
        <w:fldChar w:fldCharType="end"/>
      </w:r>
      <w:r>
        <w:rPr>
          <w:i/>
        </w:rPr>
        <w:t xml:space="preserve">, </w:t>
      </w:r>
      <w:proofErr w:type="spellStart"/>
      <w:r>
        <w:t>ss</w:t>
      </w:r>
      <w:proofErr w:type="spellEnd"/>
      <w:r>
        <w:t xml:space="preserve"> </w:t>
      </w:r>
      <w:proofErr w:type="gramStart"/>
      <w:r>
        <w:t>33A(</w:t>
      </w:r>
      <w:proofErr w:type="gramEnd"/>
      <w:r>
        <w:t xml:space="preserve">2)-(3); See </w:t>
      </w:r>
      <w:proofErr w:type="spellStart"/>
      <w:r>
        <w:t>Bizchut</w:t>
      </w:r>
      <w:proofErr w:type="spellEnd"/>
      <w:r>
        <w:t xml:space="preserve">, </w:t>
      </w:r>
      <w:r>
        <w:rPr>
          <w:i/>
        </w:rPr>
        <w:t xml:space="preserve">supra </w:t>
      </w:r>
      <w:r>
        <w:t xml:space="preserve">note </w:t>
      </w:r>
      <w:r>
        <w:fldChar w:fldCharType="begin"/>
      </w:r>
      <w:r>
        <w:instrText xml:space="preserve"> NOTEREF _Ref15827586 \h </w:instrText>
      </w:r>
      <w:r>
        <w:fldChar w:fldCharType="separate"/>
      </w:r>
      <w:r>
        <w:t>284</w:t>
      </w:r>
      <w:r>
        <w:fldChar w:fldCharType="end"/>
      </w:r>
      <w:r>
        <w:t xml:space="preserve"> at 2.</w:t>
      </w:r>
    </w:p>
  </w:footnote>
  <w:footnote w:id="286">
    <w:p w14:paraId="6F139F8B" w14:textId="13E3BA64" w:rsidR="002774A4" w:rsidRPr="006A1CBE" w:rsidRDefault="002774A4" w:rsidP="009158C8">
      <w:pPr>
        <w:pStyle w:val="FootnoteText"/>
      </w:pPr>
      <w:r>
        <w:rPr>
          <w:rStyle w:val="FootnoteReference"/>
        </w:rPr>
        <w:footnoteRef/>
      </w:r>
      <w:r>
        <w:t xml:space="preserve"> </w:t>
      </w:r>
      <w:r w:rsidRPr="00C61DD5">
        <w:rPr>
          <w:i/>
        </w:rPr>
        <w:t>Capacity and Guardianship (Amendment No. 18) Law</w:t>
      </w:r>
      <w:r>
        <w:rPr>
          <w:i/>
        </w:rPr>
        <w:t xml:space="preserve">, supra </w:t>
      </w:r>
      <w:r>
        <w:t xml:space="preserve">note </w:t>
      </w:r>
      <w:r>
        <w:fldChar w:fldCharType="begin"/>
      </w:r>
      <w:r>
        <w:instrText xml:space="preserve"> NOTEREF _Ref15298558 \h </w:instrText>
      </w:r>
      <w:r>
        <w:fldChar w:fldCharType="separate"/>
      </w:r>
      <w:r>
        <w:t>254</w:t>
      </w:r>
      <w:r>
        <w:fldChar w:fldCharType="end"/>
      </w:r>
      <w:r>
        <w:rPr>
          <w:i/>
        </w:rPr>
        <w:t xml:space="preserve">, </w:t>
      </w:r>
      <w:r>
        <w:t xml:space="preserve">s </w:t>
      </w:r>
      <w:proofErr w:type="gramStart"/>
      <w:r>
        <w:t>33A(</w:t>
      </w:r>
      <w:proofErr w:type="gramEnd"/>
      <w:r>
        <w:t>d).</w:t>
      </w:r>
    </w:p>
  </w:footnote>
  <w:footnote w:id="287">
    <w:p w14:paraId="69DE54DF" w14:textId="6AB5D240" w:rsidR="002774A4" w:rsidRPr="00D03E63" w:rsidRDefault="002774A4">
      <w:pPr>
        <w:pStyle w:val="FootnoteText"/>
      </w:pPr>
      <w:r w:rsidRPr="00D03E63">
        <w:rPr>
          <w:rStyle w:val="FootnoteReference"/>
        </w:rPr>
        <w:footnoteRef/>
      </w:r>
      <w:r w:rsidRPr="00D03E63">
        <w:t xml:space="preserve"> </w:t>
      </w:r>
      <w:proofErr w:type="spellStart"/>
      <w:r w:rsidRPr="00D03E63">
        <w:t>Bizchut</w:t>
      </w:r>
      <w:proofErr w:type="spellEnd"/>
      <w:r w:rsidRPr="00D03E63">
        <w:t xml:space="preserve">, </w:t>
      </w:r>
      <w:r w:rsidRPr="00D03E63">
        <w:rPr>
          <w:i/>
        </w:rPr>
        <w:t xml:space="preserve">supra </w:t>
      </w:r>
      <w:r w:rsidRPr="00D03E63">
        <w:t xml:space="preserve">note </w:t>
      </w:r>
      <w:r>
        <w:fldChar w:fldCharType="begin"/>
      </w:r>
      <w:r>
        <w:instrText xml:space="preserve"> NOTEREF _Ref15827586 \h </w:instrText>
      </w:r>
      <w:r>
        <w:fldChar w:fldCharType="separate"/>
      </w:r>
      <w:r>
        <w:t>284</w:t>
      </w:r>
      <w:r>
        <w:fldChar w:fldCharType="end"/>
      </w:r>
      <w:r w:rsidRPr="00D03E63">
        <w:t xml:space="preserve"> at </w:t>
      </w:r>
      <w:proofErr w:type="gramStart"/>
      <w:r w:rsidRPr="00D03E63">
        <w:t>2</w:t>
      </w:r>
      <w:proofErr w:type="gramEnd"/>
      <w:r w:rsidRPr="00D03E63">
        <w:t>.</w:t>
      </w:r>
    </w:p>
  </w:footnote>
  <w:footnote w:id="288">
    <w:p w14:paraId="5EDC7CB9" w14:textId="7114A51D" w:rsidR="002774A4" w:rsidRPr="00D03E63" w:rsidRDefault="002774A4" w:rsidP="009158C8">
      <w:pPr>
        <w:pStyle w:val="FootnoteText"/>
      </w:pPr>
      <w:r w:rsidRPr="00D03E63">
        <w:rPr>
          <w:rStyle w:val="FootnoteReference"/>
        </w:rPr>
        <w:footnoteRef/>
      </w:r>
      <w:r w:rsidRPr="00D03E63">
        <w:t xml:space="preserve"> </w:t>
      </w:r>
      <w:r w:rsidRPr="00C61DD5">
        <w:rPr>
          <w:i/>
        </w:rPr>
        <w:t>Capacity and Guardianship (Amendment No. 18) Law</w:t>
      </w:r>
      <w:r>
        <w:rPr>
          <w:i/>
        </w:rPr>
        <w:t xml:space="preserve">, supra </w:t>
      </w:r>
      <w:r>
        <w:t xml:space="preserve">note </w:t>
      </w:r>
      <w:r>
        <w:fldChar w:fldCharType="begin"/>
      </w:r>
      <w:r>
        <w:instrText xml:space="preserve"> NOTEREF _Ref15298558 \h </w:instrText>
      </w:r>
      <w:r>
        <w:fldChar w:fldCharType="separate"/>
      </w:r>
      <w:r>
        <w:t>254</w:t>
      </w:r>
      <w:r>
        <w:fldChar w:fldCharType="end"/>
      </w:r>
      <w:r w:rsidRPr="00D03E63">
        <w:rPr>
          <w:i/>
        </w:rPr>
        <w:t xml:space="preserve">, </w:t>
      </w:r>
      <w:r w:rsidRPr="00D03E63">
        <w:t xml:space="preserve">s </w:t>
      </w:r>
      <w:proofErr w:type="gramStart"/>
      <w:r w:rsidRPr="00D03E63">
        <w:t>67F(</w:t>
      </w:r>
      <w:proofErr w:type="gramEnd"/>
      <w:r w:rsidRPr="00D03E63">
        <w:t>b).</w:t>
      </w:r>
    </w:p>
  </w:footnote>
  <w:footnote w:id="289">
    <w:p w14:paraId="4BA9AE55" w14:textId="09FA9E9F" w:rsidR="002774A4" w:rsidRPr="00D03E63" w:rsidRDefault="002774A4" w:rsidP="009158C8">
      <w:pPr>
        <w:pStyle w:val="FootnoteText"/>
        <w:rPr>
          <w:i/>
        </w:rPr>
      </w:pPr>
      <w:r w:rsidRPr="00D03E63">
        <w:rPr>
          <w:rStyle w:val="FootnoteReference"/>
        </w:rPr>
        <w:footnoteRef/>
      </w:r>
      <w:r w:rsidRPr="00D03E63">
        <w:t xml:space="preserve"> </w:t>
      </w:r>
      <w:r w:rsidRPr="00D03E63">
        <w:rPr>
          <w:i/>
        </w:rPr>
        <w:t>Ibid.</w:t>
      </w:r>
    </w:p>
  </w:footnote>
  <w:footnote w:id="290">
    <w:p w14:paraId="3E7EAAFE" w14:textId="47DCBCB0" w:rsidR="002774A4" w:rsidRPr="009549D1" w:rsidRDefault="002774A4" w:rsidP="009549D1">
      <w:pPr>
        <w:rPr>
          <w:sz w:val="20"/>
          <w:szCs w:val="20"/>
          <w:u w:val="single"/>
        </w:rPr>
      </w:pPr>
      <w:r w:rsidRPr="00D03E63">
        <w:rPr>
          <w:rStyle w:val="FootnoteReference"/>
          <w:sz w:val="20"/>
          <w:szCs w:val="20"/>
        </w:rPr>
        <w:footnoteRef/>
      </w:r>
      <w:r w:rsidRPr="00D03E63">
        <w:rPr>
          <w:sz w:val="20"/>
          <w:szCs w:val="20"/>
        </w:rPr>
        <w:t xml:space="preserve"> </w:t>
      </w:r>
      <w:r w:rsidRPr="00D03E63">
        <w:rPr>
          <w:i/>
          <w:sz w:val="20"/>
          <w:szCs w:val="20"/>
        </w:rPr>
        <w:t xml:space="preserve">Ibid, </w:t>
      </w:r>
      <w:r w:rsidRPr="00D03E63">
        <w:rPr>
          <w:sz w:val="20"/>
          <w:szCs w:val="20"/>
        </w:rPr>
        <w:t>s 67(e).</w:t>
      </w:r>
    </w:p>
  </w:footnote>
  <w:footnote w:id="291">
    <w:p w14:paraId="0379D178" w14:textId="0846BA9D" w:rsidR="002774A4" w:rsidRPr="00A73CE6" w:rsidRDefault="002774A4">
      <w:pPr>
        <w:pStyle w:val="FootnoteText"/>
      </w:pPr>
      <w:r>
        <w:rPr>
          <w:rStyle w:val="FootnoteReference"/>
        </w:rPr>
        <w:footnoteRef/>
      </w:r>
      <w:r>
        <w:t xml:space="preserve"> See </w:t>
      </w:r>
      <w:r>
        <w:rPr>
          <w:i/>
        </w:rPr>
        <w:t xml:space="preserve">Ibid, </w:t>
      </w:r>
      <w:r>
        <w:t>s 47(a).</w:t>
      </w:r>
    </w:p>
  </w:footnote>
  <w:footnote w:id="292">
    <w:p w14:paraId="1F8A65EF" w14:textId="27D59CFA" w:rsidR="002774A4" w:rsidRPr="00B43D04" w:rsidRDefault="002774A4">
      <w:pPr>
        <w:pStyle w:val="FootnoteText"/>
      </w:pPr>
      <w:r>
        <w:rPr>
          <w:rStyle w:val="FootnoteReference"/>
        </w:rPr>
        <w:footnoteRef/>
      </w:r>
      <w:r>
        <w:t xml:space="preserve"> </w:t>
      </w:r>
      <w:r>
        <w:rPr>
          <w:i/>
        </w:rPr>
        <w:t xml:space="preserve">Ibid, </w:t>
      </w:r>
      <w:r>
        <w:t>s 53.</w:t>
      </w:r>
    </w:p>
  </w:footnote>
  <w:footnote w:id="293">
    <w:p w14:paraId="1C72A034" w14:textId="192F8DDF" w:rsidR="002774A4" w:rsidRPr="007F387D" w:rsidRDefault="002774A4" w:rsidP="009158C8">
      <w:pPr>
        <w:pStyle w:val="FootnoteText"/>
      </w:pPr>
      <w:r>
        <w:rPr>
          <w:rStyle w:val="FootnoteReference"/>
        </w:rPr>
        <w:footnoteRef/>
      </w:r>
      <w:r>
        <w:t xml:space="preserve"> Kanter &amp; </w:t>
      </w:r>
      <w:proofErr w:type="spellStart"/>
      <w:r>
        <w:t>Tolub</w:t>
      </w:r>
      <w:proofErr w:type="spellEnd"/>
      <w:r>
        <w:t xml:space="preserve">, </w:t>
      </w:r>
      <w:r>
        <w:rPr>
          <w:i/>
        </w:rPr>
        <w:t xml:space="preserve">supra </w:t>
      </w:r>
      <w:r>
        <w:t xml:space="preserve">note </w:t>
      </w:r>
      <w:r>
        <w:fldChar w:fldCharType="begin"/>
      </w:r>
      <w:r>
        <w:instrText xml:space="preserve"> NOTEREF _Ref15298534 \h </w:instrText>
      </w:r>
      <w:r>
        <w:fldChar w:fldCharType="separate"/>
      </w:r>
      <w:r>
        <w:t>108</w:t>
      </w:r>
      <w:r>
        <w:fldChar w:fldCharType="end"/>
      </w:r>
      <w:r>
        <w:t xml:space="preserve"> at 593.</w:t>
      </w:r>
    </w:p>
  </w:footnote>
  <w:footnote w:id="294">
    <w:p w14:paraId="6F73E662" w14:textId="0A88F547" w:rsidR="002774A4" w:rsidRPr="00907993" w:rsidRDefault="002774A4" w:rsidP="00AC03C9">
      <w:pPr>
        <w:pStyle w:val="FootnoteText"/>
      </w:pPr>
      <w:r>
        <w:rPr>
          <w:rStyle w:val="FootnoteReference"/>
        </w:rPr>
        <w:footnoteRef/>
      </w:r>
      <w:r>
        <w:t xml:space="preserve"> </w:t>
      </w:r>
      <w:r w:rsidRPr="005807B4">
        <w:rPr>
          <w:i/>
        </w:rPr>
        <w:t xml:space="preserve">Initial report submitted by Israel, supra </w:t>
      </w:r>
      <w:r w:rsidRPr="005807B4">
        <w:t xml:space="preserve">note </w:t>
      </w:r>
      <w:r>
        <w:fldChar w:fldCharType="begin"/>
      </w:r>
      <w:r>
        <w:instrText xml:space="preserve"> NOTEREF _Ref15298587 \h </w:instrText>
      </w:r>
      <w:r>
        <w:fldChar w:fldCharType="separate"/>
      </w:r>
      <w:r>
        <w:fldChar w:fldCharType="begin"/>
      </w:r>
      <w:r>
        <w:instrText xml:space="preserve"> NOTEREF _Ref15298587 \h </w:instrText>
      </w:r>
      <w:r>
        <w:fldChar w:fldCharType="separate"/>
      </w:r>
      <w:r>
        <w:t>255</w:t>
      </w:r>
      <w:r>
        <w:fldChar w:fldCharType="end"/>
      </w:r>
      <w:r>
        <w:fldChar w:fldCharType="end"/>
      </w:r>
      <w:r>
        <w:t xml:space="preserve"> at para 89. </w:t>
      </w:r>
    </w:p>
  </w:footnote>
  <w:footnote w:id="295">
    <w:p w14:paraId="4399EC21" w14:textId="0F2C07DE" w:rsidR="002774A4" w:rsidRDefault="002774A4">
      <w:pPr>
        <w:pStyle w:val="FootnoteText"/>
      </w:pPr>
      <w:r>
        <w:rPr>
          <w:rStyle w:val="FootnoteReference"/>
        </w:rPr>
        <w:footnoteRef/>
      </w:r>
      <w:r>
        <w:rPr>
          <w:i/>
        </w:rPr>
        <w:t xml:space="preserve"> </w:t>
      </w:r>
      <w:r w:rsidRPr="00C61DD5">
        <w:rPr>
          <w:i/>
        </w:rPr>
        <w:t>Capacity and Guardianship (Amendment No. 18) Law</w:t>
      </w:r>
      <w:r>
        <w:rPr>
          <w:i/>
        </w:rPr>
        <w:t xml:space="preserve">, supra </w:t>
      </w:r>
      <w:r>
        <w:t xml:space="preserve">note </w:t>
      </w:r>
      <w:r>
        <w:fldChar w:fldCharType="begin"/>
      </w:r>
      <w:r>
        <w:instrText xml:space="preserve"> NOTEREF _Ref15298558 \h </w:instrText>
      </w:r>
      <w:r>
        <w:fldChar w:fldCharType="separate"/>
      </w:r>
      <w:r>
        <w:t>254</w:t>
      </w:r>
      <w:r>
        <w:fldChar w:fldCharType="end"/>
      </w:r>
      <w:r>
        <w:t xml:space="preserve">, s 8.  </w:t>
      </w:r>
    </w:p>
  </w:footnote>
  <w:footnote w:id="296">
    <w:p w14:paraId="4C5A3676" w14:textId="77777777" w:rsidR="002774A4" w:rsidRPr="00D16B4E" w:rsidRDefault="002774A4" w:rsidP="00AC03C9">
      <w:pPr>
        <w:pStyle w:val="FootnoteText"/>
      </w:pPr>
      <w:r>
        <w:rPr>
          <w:rStyle w:val="FootnoteReference"/>
        </w:rPr>
        <w:footnoteRef/>
      </w:r>
      <w:r>
        <w:t xml:space="preserve"> See Committee on the Rights of Persons with Disabilities, “General comment No.1,” </w:t>
      </w:r>
      <w:r>
        <w:rPr>
          <w:i/>
        </w:rPr>
        <w:t xml:space="preserve">supra </w:t>
      </w:r>
      <w:r>
        <w:t xml:space="preserve">note </w:t>
      </w:r>
      <w:r>
        <w:fldChar w:fldCharType="begin"/>
      </w:r>
      <w:r>
        <w:instrText xml:space="preserve"> NOTEREF _Ref15295251 \h </w:instrText>
      </w:r>
      <w:r>
        <w:fldChar w:fldCharType="separate"/>
      </w:r>
      <w:proofErr w:type="gramStart"/>
      <w:r>
        <w:t>7</w:t>
      </w:r>
      <w:proofErr w:type="gramEnd"/>
      <w:r>
        <w:fldChar w:fldCharType="end"/>
      </w:r>
      <w:r>
        <w:t xml:space="preserve"> at para 15.</w:t>
      </w:r>
    </w:p>
  </w:footnote>
  <w:footnote w:id="297">
    <w:p w14:paraId="6013AF3B" w14:textId="555B8844" w:rsidR="002774A4" w:rsidRPr="00814590" w:rsidRDefault="002774A4">
      <w:pPr>
        <w:pStyle w:val="FootnoteText"/>
      </w:pPr>
      <w:r>
        <w:rPr>
          <w:rStyle w:val="FootnoteReference"/>
        </w:rPr>
        <w:footnoteRef/>
      </w:r>
      <w:r>
        <w:t xml:space="preserve"> Persons under guardianship by virtue of s 33 of the </w:t>
      </w:r>
      <w:r w:rsidRPr="00BF4EEC">
        <w:rPr>
          <w:i/>
        </w:rPr>
        <w:t>Legal Capacity and Guardianship Law</w:t>
      </w:r>
      <w:r>
        <w:t xml:space="preserve"> are not stripped of their legal capacity – see </w:t>
      </w:r>
      <w:r w:rsidRPr="005807B4">
        <w:rPr>
          <w:i/>
        </w:rPr>
        <w:t xml:space="preserve">Initial report submitted by Israel, supra </w:t>
      </w:r>
      <w:r w:rsidRPr="005807B4">
        <w:t xml:space="preserve">note </w:t>
      </w:r>
      <w:r>
        <w:fldChar w:fldCharType="begin"/>
      </w:r>
      <w:r>
        <w:instrText xml:space="preserve"> NOTEREF _Ref15298587 \h </w:instrText>
      </w:r>
      <w:r>
        <w:fldChar w:fldCharType="separate"/>
      </w:r>
      <w:r>
        <w:t>255</w:t>
      </w:r>
      <w:r>
        <w:fldChar w:fldCharType="end"/>
      </w:r>
      <w:r>
        <w:t xml:space="preserve"> at para 88. </w:t>
      </w:r>
    </w:p>
  </w:footnote>
  <w:footnote w:id="298">
    <w:p w14:paraId="3BB542CC" w14:textId="6BE959F8" w:rsidR="002774A4" w:rsidRPr="00E9500D" w:rsidRDefault="002774A4">
      <w:pPr>
        <w:pStyle w:val="FootnoteText"/>
      </w:pPr>
      <w:r>
        <w:rPr>
          <w:rStyle w:val="FootnoteReference"/>
        </w:rPr>
        <w:footnoteRef/>
      </w:r>
      <w:r>
        <w:t xml:space="preserve"> See </w:t>
      </w:r>
      <w:r>
        <w:rPr>
          <w:i/>
        </w:rPr>
        <w:t xml:space="preserve">Legal Capacity and Guardianship </w:t>
      </w:r>
      <w:r w:rsidRPr="00C61DD5">
        <w:rPr>
          <w:i/>
        </w:rPr>
        <w:t>(Amendment No. 18) Law</w:t>
      </w:r>
      <w:r>
        <w:rPr>
          <w:i/>
        </w:rPr>
        <w:t xml:space="preserve">, supra </w:t>
      </w:r>
      <w:r>
        <w:t xml:space="preserve">note </w:t>
      </w:r>
      <w:r>
        <w:fldChar w:fldCharType="begin"/>
      </w:r>
      <w:r>
        <w:instrText xml:space="preserve"> NOTEREF _Ref15298558 \h </w:instrText>
      </w:r>
      <w:r>
        <w:fldChar w:fldCharType="separate"/>
      </w:r>
      <w:r>
        <w:t>254</w:t>
      </w:r>
      <w:r>
        <w:fldChar w:fldCharType="end"/>
      </w:r>
      <w:r>
        <w:t xml:space="preserve">, s </w:t>
      </w:r>
      <w:proofErr w:type="gramStart"/>
      <w:r>
        <w:t>67F(</w:t>
      </w:r>
      <w:proofErr w:type="gramEnd"/>
      <w:r>
        <w:t>B).</w:t>
      </w:r>
    </w:p>
  </w:footnote>
  <w:footnote w:id="299">
    <w:p w14:paraId="523CBEB1" w14:textId="49707CB4" w:rsidR="002774A4" w:rsidRPr="000811F9" w:rsidRDefault="002774A4">
      <w:pPr>
        <w:pStyle w:val="FootnoteText"/>
      </w:pPr>
      <w:r>
        <w:rPr>
          <w:rStyle w:val="FootnoteReference"/>
        </w:rPr>
        <w:footnoteRef/>
      </w:r>
      <w:r>
        <w:t xml:space="preserve"> See </w:t>
      </w:r>
      <w:r>
        <w:rPr>
          <w:i/>
        </w:rPr>
        <w:t xml:space="preserve">Ibid: </w:t>
      </w:r>
      <w:r>
        <w:t>“best interest principle” may apply where a person’s will is not ascertainable.</w:t>
      </w:r>
    </w:p>
  </w:footnote>
  <w:footnote w:id="300">
    <w:p w14:paraId="2A994094" w14:textId="3CE203EE" w:rsidR="002774A4" w:rsidRPr="00B550A2" w:rsidRDefault="002774A4">
      <w:pPr>
        <w:pStyle w:val="FootnoteText"/>
      </w:pPr>
      <w:r>
        <w:rPr>
          <w:rStyle w:val="FootnoteReference"/>
        </w:rPr>
        <w:footnoteRef/>
      </w:r>
      <w:r>
        <w:t xml:space="preserve"> See </w:t>
      </w:r>
      <w:r>
        <w:rPr>
          <w:i/>
        </w:rPr>
        <w:t xml:space="preserve">Ibid, </w:t>
      </w:r>
      <w:r>
        <w:t>s 35(a).</w:t>
      </w:r>
    </w:p>
  </w:footnote>
  <w:footnote w:id="301">
    <w:p w14:paraId="74789AC4" w14:textId="7A5C6534" w:rsidR="002774A4" w:rsidRPr="00550817" w:rsidRDefault="002774A4" w:rsidP="009158C8">
      <w:pPr>
        <w:pStyle w:val="FootnoteText"/>
      </w:pPr>
      <w:r>
        <w:rPr>
          <w:rStyle w:val="FootnoteReference"/>
        </w:rPr>
        <w:footnoteRef/>
      </w:r>
      <w:r>
        <w:t xml:space="preserve"> See </w:t>
      </w:r>
      <w:proofErr w:type="spellStart"/>
      <w:r>
        <w:t>Devandas</w:t>
      </w:r>
      <w:proofErr w:type="spellEnd"/>
      <w:r>
        <w:t xml:space="preserve"> Aguilar, </w:t>
      </w:r>
      <w:r w:rsidRPr="00190954">
        <w:rPr>
          <w:i/>
        </w:rPr>
        <w:t>s</w:t>
      </w:r>
      <w:r>
        <w:rPr>
          <w:i/>
        </w:rPr>
        <w:t xml:space="preserve">upra </w:t>
      </w:r>
      <w:r>
        <w:t xml:space="preserve">note </w:t>
      </w:r>
      <w:r>
        <w:fldChar w:fldCharType="begin"/>
      </w:r>
      <w:r>
        <w:instrText xml:space="preserve"> NOTEREF _Ref15295121 \h </w:instrText>
      </w:r>
      <w:r>
        <w:fldChar w:fldCharType="separate"/>
      </w:r>
      <w:proofErr w:type="gramStart"/>
      <w:r>
        <w:t>8</w:t>
      </w:r>
      <w:proofErr w:type="gramEnd"/>
      <w:r>
        <w:fldChar w:fldCharType="end"/>
      </w:r>
      <w:r>
        <w:t xml:space="preserve"> </w:t>
      </w:r>
      <w:r w:rsidRPr="00190954">
        <w:t>at</w:t>
      </w:r>
      <w:r>
        <w:t xml:space="preserve"> para 26.</w:t>
      </w:r>
    </w:p>
  </w:footnote>
  <w:footnote w:id="302">
    <w:p w14:paraId="55269272" w14:textId="7237AF60" w:rsidR="002774A4" w:rsidRDefault="002774A4">
      <w:pPr>
        <w:pStyle w:val="FootnoteText"/>
      </w:pPr>
      <w:r>
        <w:rPr>
          <w:rStyle w:val="FootnoteReference"/>
        </w:rPr>
        <w:footnoteRef/>
      </w:r>
      <w:r>
        <w:t xml:space="preserve"> See </w:t>
      </w:r>
      <w:r>
        <w:rPr>
          <w:i/>
        </w:rPr>
        <w:t xml:space="preserve">Legal Capacity and Guardianship </w:t>
      </w:r>
      <w:r w:rsidRPr="00C61DD5">
        <w:rPr>
          <w:i/>
        </w:rPr>
        <w:t>(Amendment No. 18) Law</w:t>
      </w:r>
      <w:r>
        <w:rPr>
          <w:i/>
        </w:rPr>
        <w:t xml:space="preserve">, supra </w:t>
      </w:r>
      <w:r>
        <w:t xml:space="preserve">note </w:t>
      </w:r>
      <w:r>
        <w:fldChar w:fldCharType="begin"/>
      </w:r>
      <w:r>
        <w:instrText xml:space="preserve"> NOTEREF _Ref15298558 \h </w:instrText>
      </w:r>
      <w:r>
        <w:fldChar w:fldCharType="separate"/>
      </w:r>
      <w:r>
        <w:t>254</w:t>
      </w:r>
      <w:r>
        <w:fldChar w:fldCharType="end"/>
      </w:r>
      <w:r>
        <w:t xml:space="preserve">, s </w:t>
      </w:r>
      <w:proofErr w:type="gramStart"/>
      <w:r>
        <w:t>67B(</w:t>
      </w:r>
      <w:proofErr w:type="gramEnd"/>
      <w:r>
        <w:t>d).</w:t>
      </w:r>
    </w:p>
  </w:footnote>
  <w:footnote w:id="303">
    <w:p w14:paraId="18E24EA5" w14:textId="241B7C30" w:rsidR="002774A4" w:rsidRPr="00A92F24" w:rsidRDefault="002774A4">
      <w:pPr>
        <w:pStyle w:val="FootnoteText"/>
      </w:pPr>
      <w:r>
        <w:rPr>
          <w:rStyle w:val="FootnoteReference"/>
        </w:rPr>
        <w:footnoteRef/>
      </w:r>
      <w:r>
        <w:t xml:space="preserve"> See Committee on the Rights of Persons with Disabilities, “General comment No.1,” </w:t>
      </w:r>
      <w:r>
        <w:rPr>
          <w:i/>
        </w:rPr>
        <w:t xml:space="preserve">supra </w:t>
      </w:r>
      <w:r>
        <w:t xml:space="preserve">note </w:t>
      </w:r>
      <w:r>
        <w:fldChar w:fldCharType="begin"/>
      </w:r>
      <w:r>
        <w:instrText xml:space="preserve"> NOTEREF _Ref15295251 \h </w:instrText>
      </w:r>
      <w:r>
        <w:fldChar w:fldCharType="separate"/>
      </w:r>
      <w:proofErr w:type="gramStart"/>
      <w:r>
        <w:t>7</w:t>
      </w:r>
      <w:proofErr w:type="gramEnd"/>
      <w:r>
        <w:fldChar w:fldCharType="end"/>
      </w:r>
      <w:r>
        <w:t xml:space="preserve"> at para 29(i).</w:t>
      </w:r>
    </w:p>
  </w:footnote>
  <w:footnote w:id="304">
    <w:p w14:paraId="01666AD5" w14:textId="7559089A" w:rsidR="002774A4" w:rsidRPr="00241A62" w:rsidRDefault="002774A4">
      <w:pPr>
        <w:pStyle w:val="FootnoteText"/>
      </w:pPr>
      <w:r>
        <w:rPr>
          <w:rStyle w:val="FootnoteReference"/>
        </w:rPr>
        <w:footnoteRef/>
      </w:r>
      <w:r>
        <w:t xml:space="preserve"> Kanter &amp; </w:t>
      </w:r>
      <w:proofErr w:type="spellStart"/>
      <w:r>
        <w:t>Tolub</w:t>
      </w:r>
      <w:proofErr w:type="spellEnd"/>
      <w:r>
        <w:t xml:space="preserve">, </w:t>
      </w:r>
      <w:r>
        <w:rPr>
          <w:i/>
        </w:rPr>
        <w:t xml:space="preserve">supra </w:t>
      </w:r>
      <w:r>
        <w:t xml:space="preserve">note </w:t>
      </w:r>
      <w:r>
        <w:fldChar w:fldCharType="begin"/>
      </w:r>
      <w:r>
        <w:instrText xml:space="preserve"> NOTEREF _Ref15298534 \h </w:instrText>
      </w:r>
      <w:r>
        <w:fldChar w:fldCharType="separate"/>
      </w:r>
      <w:r>
        <w:t>108</w:t>
      </w:r>
      <w:r>
        <w:fldChar w:fldCharType="end"/>
      </w:r>
      <w:r>
        <w:t xml:space="preserve"> at 593.</w:t>
      </w:r>
    </w:p>
  </w:footnote>
  <w:footnote w:id="305">
    <w:p w14:paraId="05EF9E2C" w14:textId="65EA0571" w:rsidR="002774A4" w:rsidRPr="00B53693" w:rsidRDefault="002774A4">
      <w:pPr>
        <w:pStyle w:val="FootnoteText"/>
      </w:pPr>
      <w:r>
        <w:rPr>
          <w:rStyle w:val="FootnoteReference"/>
        </w:rPr>
        <w:footnoteRef/>
      </w:r>
      <w:r>
        <w:t xml:space="preserve"> </w:t>
      </w:r>
      <w:r w:rsidRPr="00C61DD5">
        <w:rPr>
          <w:i/>
        </w:rPr>
        <w:t>Capacity and Guardianship (Amendment No. 18) Law</w:t>
      </w:r>
      <w:r>
        <w:rPr>
          <w:i/>
        </w:rPr>
        <w:t xml:space="preserve">, supra </w:t>
      </w:r>
      <w:r>
        <w:t xml:space="preserve">note </w:t>
      </w:r>
      <w:r>
        <w:fldChar w:fldCharType="begin"/>
      </w:r>
      <w:r>
        <w:instrText xml:space="preserve"> NOTEREF _Ref15298558 \h </w:instrText>
      </w:r>
      <w:r>
        <w:fldChar w:fldCharType="separate"/>
      </w:r>
      <w:r>
        <w:t>254</w:t>
      </w:r>
      <w:r>
        <w:fldChar w:fldCharType="end"/>
      </w:r>
      <w:r>
        <w:t xml:space="preserve">, s </w:t>
      </w:r>
      <w:proofErr w:type="gramStart"/>
      <w:r>
        <w:t>67B(</w:t>
      </w:r>
      <w:proofErr w:type="gramEnd"/>
      <w:r>
        <w:t>f).</w:t>
      </w:r>
    </w:p>
  </w:footnote>
  <w:footnote w:id="306">
    <w:p w14:paraId="3DFF979B" w14:textId="5B5D3943" w:rsidR="002774A4" w:rsidRPr="000114D0" w:rsidRDefault="002774A4">
      <w:pPr>
        <w:pStyle w:val="FootnoteText"/>
      </w:pPr>
      <w:r>
        <w:rPr>
          <w:rStyle w:val="FootnoteReference"/>
        </w:rPr>
        <w:footnoteRef/>
      </w:r>
      <w:r>
        <w:rPr>
          <w:i/>
        </w:rPr>
        <w:t xml:space="preserve"> Ibid, </w:t>
      </w:r>
      <w:r w:rsidRPr="00AC6AA4">
        <w:t>s 32:19A1.</w:t>
      </w:r>
    </w:p>
  </w:footnote>
  <w:footnote w:id="307">
    <w:p w14:paraId="2B3DFFB0" w14:textId="6B87E445" w:rsidR="002774A4" w:rsidRPr="00AD17B2" w:rsidRDefault="002774A4">
      <w:pPr>
        <w:pStyle w:val="FootnoteText"/>
      </w:pPr>
      <w:r>
        <w:rPr>
          <w:rStyle w:val="FootnoteReference"/>
        </w:rPr>
        <w:footnoteRef/>
      </w:r>
      <w:r>
        <w:t xml:space="preserve"> Committee on the Rights of Persons with Disabilities, “General comment No.1,” </w:t>
      </w:r>
      <w:r>
        <w:rPr>
          <w:i/>
        </w:rPr>
        <w:t xml:space="preserve">supra </w:t>
      </w:r>
      <w:r>
        <w:t xml:space="preserve">note </w:t>
      </w:r>
      <w:r>
        <w:fldChar w:fldCharType="begin"/>
      </w:r>
      <w:r>
        <w:instrText xml:space="preserve"> NOTEREF _Ref15295251 \h </w:instrText>
      </w:r>
      <w:r>
        <w:fldChar w:fldCharType="separate"/>
      </w:r>
      <w:proofErr w:type="gramStart"/>
      <w:r>
        <w:t>7</w:t>
      </w:r>
      <w:proofErr w:type="gramEnd"/>
      <w:r>
        <w:fldChar w:fldCharType="end"/>
      </w:r>
      <w:r>
        <w:t xml:space="preserve"> at para 17.</w:t>
      </w:r>
    </w:p>
  </w:footnote>
  <w:footnote w:id="308">
    <w:p w14:paraId="4E04B2F6" w14:textId="71ED5004" w:rsidR="002774A4" w:rsidRPr="00F75671" w:rsidRDefault="002774A4">
      <w:pPr>
        <w:pStyle w:val="FootnoteText"/>
      </w:pPr>
      <w:r>
        <w:rPr>
          <w:rStyle w:val="FootnoteReference"/>
        </w:rPr>
        <w:footnoteRef/>
      </w:r>
      <w:r>
        <w:t xml:space="preserve"> </w:t>
      </w:r>
      <w:r>
        <w:rPr>
          <w:i/>
        </w:rPr>
        <w:t xml:space="preserve">Law of Georgia No 3339 of 20 March 2015, </w:t>
      </w:r>
      <w:r>
        <w:t>online: &lt;</w:t>
      </w:r>
      <w:r w:rsidRPr="00F75671">
        <w:t xml:space="preserve"> https://www.ilo.org/dyn/natlex/docs/ELECTRONIC/90468/118660/F999089720/GEO90468 Geo.pdf</w:t>
      </w:r>
      <w:r>
        <w:t>&gt;.</w:t>
      </w:r>
    </w:p>
  </w:footnote>
  <w:footnote w:id="309">
    <w:p w14:paraId="54908192" w14:textId="4265B726" w:rsidR="002774A4" w:rsidRPr="006143D2" w:rsidRDefault="002774A4">
      <w:pPr>
        <w:pStyle w:val="FootnoteText"/>
      </w:pPr>
      <w:r>
        <w:rPr>
          <w:rStyle w:val="FootnoteReference"/>
        </w:rPr>
        <w:footnoteRef/>
      </w:r>
      <w:r>
        <w:t xml:space="preserve"> “Convention on the Rights of Persons with Disabilities,” </w:t>
      </w:r>
      <w:r>
        <w:rPr>
          <w:i/>
        </w:rPr>
        <w:t xml:space="preserve">supra </w:t>
      </w:r>
      <w:r>
        <w:t xml:space="preserve">note </w:t>
      </w:r>
      <w:r>
        <w:fldChar w:fldCharType="begin"/>
      </w:r>
      <w:r>
        <w:instrText xml:space="preserve"> NOTEREF _Ref15297432 \h </w:instrText>
      </w:r>
      <w:r>
        <w:fldChar w:fldCharType="separate"/>
      </w:r>
      <w:r>
        <w:t>20</w:t>
      </w:r>
      <w:r>
        <w:fldChar w:fldCharType="end"/>
      </w:r>
      <w:r>
        <w:t>.</w:t>
      </w:r>
    </w:p>
  </w:footnote>
  <w:footnote w:id="310">
    <w:p w14:paraId="03453511" w14:textId="722B5437" w:rsidR="002774A4" w:rsidRPr="00C51BE4" w:rsidRDefault="002774A4">
      <w:pPr>
        <w:pStyle w:val="FootnoteText"/>
      </w:pPr>
      <w:r>
        <w:rPr>
          <w:rStyle w:val="FootnoteReference"/>
        </w:rPr>
        <w:footnoteRef/>
      </w:r>
      <w:r>
        <w:t xml:space="preserve"> Former </w:t>
      </w:r>
      <w:r>
        <w:rPr>
          <w:i/>
        </w:rPr>
        <w:t xml:space="preserve">Civil Code of Georgia, </w:t>
      </w:r>
      <w:r>
        <w:t>art 12(5), online: &lt;</w:t>
      </w:r>
      <w:r w:rsidRPr="00A60AA7">
        <w:t xml:space="preserve"> https://www.wipo.int/edocs/lexdocs/laws/en/ge/ge012en.pdf</w:t>
      </w:r>
      <w:r>
        <w:t>&gt;.</w:t>
      </w:r>
    </w:p>
  </w:footnote>
  <w:footnote w:id="311">
    <w:p w14:paraId="541DD244" w14:textId="7C2C24D8" w:rsidR="002774A4" w:rsidRPr="00F36EDC" w:rsidRDefault="002774A4">
      <w:pPr>
        <w:pStyle w:val="FootnoteText"/>
      </w:pPr>
      <w:r>
        <w:rPr>
          <w:rStyle w:val="FootnoteReference"/>
        </w:rPr>
        <w:footnoteRef/>
      </w:r>
      <w:r>
        <w:t xml:space="preserve"> </w:t>
      </w:r>
      <w:r w:rsidRPr="001642D0">
        <w:rPr>
          <w:i/>
        </w:rPr>
        <w:t>Initial report submitted by Georgia under article 35 of the Convention, due in 2016</w:t>
      </w:r>
      <w:r>
        <w:rPr>
          <w:i/>
        </w:rPr>
        <w:t xml:space="preserve"> </w:t>
      </w:r>
      <w:r>
        <w:t>(29 November 2018) at para 60, online: &lt;</w:t>
      </w:r>
      <w:r w:rsidRPr="00C97BF9">
        <w:t>http://docstore.ohchr.org/SelfServices/FilesHandler.ashx?enc=6QkG1d%2fPPRiCAqhKb7yhsgkVjqUCiEeI%2bdQbbet6WG9rv2v19bytl9e041%2baf2j%2bKbYm41Dgyk0bkRyT3ZQ%2bAtQqp6ND2VKrc0L1NGHbe41Q08k%2b7ahqlHtwKotMR%2biQ</w:t>
      </w:r>
      <w:r>
        <w:t>&gt;.</w:t>
      </w:r>
      <w:r w:rsidRPr="001642D0">
        <w:t xml:space="preserve"> </w:t>
      </w:r>
    </w:p>
  </w:footnote>
  <w:footnote w:id="312">
    <w:p w14:paraId="68762E32" w14:textId="5F3AA286" w:rsidR="002774A4" w:rsidRPr="005917C4" w:rsidRDefault="002774A4">
      <w:pPr>
        <w:pStyle w:val="FootnoteText"/>
      </w:pPr>
      <w:r>
        <w:rPr>
          <w:rStyle w:val="FootnoteReference"/>
        </w:rPr>
        <w:footnoteRef/>
      </w:r>
      <w:r>
        <w:t xml:space="preserve"> </w:t>
      </w:r>
      <w:r>
        <w:rPr>
          <w:i/>
        </w:rPr>
        <w:t xml:space="preserve">Citizens of Georgia – </w:t>
      </w:r>
      <w:proofErr w:type="spellStart"/>
      <w:r>
        <w:rPr>
          <w:i/>
        </w:rPr>
        <w:t>Irakli</w:t>
      </w:r>
      <w:proofErr w:type="spellEnd"/>
      <w:r>
        <w:rPr>
          <w:i/>
        </w:rPr>
        <w:t xml:space="preserve"> </w:t>
      </w:r>
      <w:proofErr w:type="spellStart"/>
      <w:r>
        <w:rPr>
          <w:i/>
        </w:rPr>
        <w:t>Kemoklidze</w:t>
      </w:r>
      <w:proofErr w:type="spellEnd"/>
      <w:r>
        <w:rPr>
          <w:i/>
        </w:rPr>
        <w:t xml:space="preserve"> and David </w:t>
      </w:r>
      <w:proofErr w:type="spellStart"/>
      <w:r>
        <w:rPr>
          <w:i/>
        </w:rPr>
        <w:t>Kharadze</w:t>
      </w:r>
      <w:proofErr w:type="spellEnd"/>
      <w:r>
        <w:rPr>
          <w:i/>
        </w:rPr>
        <w:t xml:space="preserve"> v Parliament of Georgia, </w:t>
      </w:r>
      <w:r>
        <w:t>Case No. 2/4/532,533 (Judgment of 8 October 2014).</w:t>
      </w:r>
    </w:p>
  </w:footnote>
  <w:footnote w:id="313">
    <w:p w14:paraId="139A69D1" w14:textId="396B9DF5" w:rsidR="002774A4" w:rsidRPr="00B47A26" w:rsidRDefault="002774A4">
      <w:pPr>
        <w:pStyle w:val="FootnoteText"/>
      </w:pPr>
      <w:r>
        <w:rPr>
          <w:rStyle w:val="FootnoteReference"/>
        </w:rPr>
        <w:footnoteRef/>
      </w:r>
      <w:r>
        <w:t xml:space="preserve"> “GYLA wins in the Constitutional Court case expanding the rights of individuals with disabilities” (10 October 2014), online: </w:t>
      </w:r>
      <w:r>
        <w:rPr>
          <w:i/>
        </w:rPr>
        <w:t xml:space="preserve">United States Agency for International Development </w:t>
      </w:r>
      <w:r>
        <w:t>&lt;</w:t>
      </w:r>
      <w:r w:rsidRPr="00B47A26">
        <w:t xml:space="preserve"> http://ewmi-prolog.org/en/news/471-2014-10-10-01</w:t>
      </w:r>
      <w:r>
        <w:t>&gt;.</w:t>
      </w:r>
    </w:p>
  </w:footnote>
  <w:footnote w:id="314">
    <w:p w14:paraId="400B999D" w14:textId="208D40B5" w:rsidR="002774A4" w:rsidRDefault="002774A4">
      <w:pPr>
        <w:pStyle w:val="FootnoteText"/>
      </w:pPr>
      <w:r>
        <w:rPr>
          <w:rStyle w:val="FootnoteReference"/>
        </w:rPr>
        <w:footnoteRef/>
      </w:r>
      <w:r>
        <w:t xml:space="preserve"> See Council of Europe, </w:t>
      </w:r>
      <w:r>
        <w:rPr>
          <w:i/>
        </w:rPr>
        <w:t xml:space="preserve">A study on the Equal Recognition before the law: Contribution towards the Council of Europe Strategy on the Rights of Persons with Disabilities </w:t>
      </w:r>
      <w:r>
        <w:t>(Council of Europe, March 2017) at 42.</w:t>
      </w:r>
    </w:p>
  </w:footnote>
  <w:footnote w:id="315">
    <w:p w14:paraId="50698645" w14:textId="285BB62D" w:rsidR="002774A4" w:rsidRPr="00EF2D05" w:rsidRDefault="002774A4">
      <w:pPr>
        <w:pStyle w:val="FootnoteText"/>
      </w:pPr>
      <w:r>
        <w:rPr>
          <w:rStyle w:val="FootnoteReference"/>
        </w:rPr>
        <w:footnoteRef/>
      </w:r>
      <w:r>
        <w:t xml:space="preserve"> </w:t>
      </w:r>
      <w:r w:rsidRPr="001642D0">
        <w:rPr>
          <w:i/>
        </w:rPr>
        <w:t>Initial report submitted by Georgia under article 35 of the Convention</w:t>
      </w:r>
      <w:r>
        <w:t xml:space="preserve">, </w:t>
      </w:r>
      <w:r>
        <w:rPr>
          <w:i/>
        </w:rPr>
        <w:t xml:space="preserve">supra </w:t>
      </w:r>
      <w:r>
        <w:t xml:space="preserve">note </w:t>
      </w:r>
      <w:r>
        <w:fldChar w:fldCharType="begin"/>
      </w:r>
      <w:r>
        <w:instrText xml:space="preserve"> NOTEREF _Ref15299052 \h </w:instrText>
      </w:r>
      <w:r>
        <w:fldChar w:fldCharType="separate"/>
      </w:r>
      <w:r>
        <w:t>311</w:t>
      </w:r>
      <w:r>
        <w:fldChar w:fldCharType="end"/>
      </w:r>
      <w:r>
        <w:t xml:space="preserve"> at para 61. </w:t>
      </w:r>
    </w:p>
  </w:footnote>
  <w:footnote w:id="316">
    <w:p w14:paraId="4F27D60E" w14:textId="7C3CD464" w:rsidR="002774A4" w:rsidRPr="001164D3" w:rsidRDefault="002774A4">
      <w:pPr>
        <w:pStyle w:val="FootnoteText"/>
      </w:pPr>
      <w:r>
        <w:rPr>
          <w:rStyle w:val="FootnoteReference"/>
        </w:rPr>
        <w:footnoteRef/>
      </w:r>
      <w:r>
        <w:t xml:space="preserve"> “GYLA wins in the Constitutional Court case,” </w:t>
      </w:r>
      <w:r>
        <w:rPr>
          <w:i/>
        </w:rPr>
        <w:t xml:space="preserve">supra </w:t>
      </w:r>
      <w:r>
        <w:t xml:space="preserve">note </w:t>
      </w:r>
      <w:r>
        <w:fldChar w:fldCharType="begin"/>
      </w:r>
      <w:r>
        <w:instrText xml:space="preserve"> NOTEREF _Ref15828213 \h </w:instrText>
      </w:r>
      <w:r>
        <w:fldChar w:fldCharType="separate"/>
      </w:r>
      <w:r>
        <w:t>313</w:t>
      </w:r>
      <w:r>
        <w:fldChar w:fldCharType="end"/>
      </w:r>
      <w:r>
        <w:t>.</w:t>
      </w:r>
    </w:p>
  </w:footnote>
  <w:footnote w:id="317">
    <w:p w14:paraId="02B127A4" w14:textId="6DF4570E" w:rsidR="002774A4" w:rsidRPr="00B436B4" w:rsidRDefault="002774A4">
      <w:pPr>
        <w:pStyle w:val="FootnoteText"/>
      </w:pPr>
      <w:r>
        <w:rPr>
          <w:rStyle w:val="FootnoteReference"/>
        </w:rPr>
        <w:footnoteRef/>
      </w:r>
      <w:r>
        <w:t xml:space="preserve"> </w:t>
      </w:r>
      <w:r>
        <w:rPr>
          <w:i/>
        </w:rPr>
        <w:t xml:space="preserve">Civil Code of Georgia, supra </w:t>
      </w:r>
      <w:r>
        <w:t xml:space="preserve">note </w:t>
      </w:r>
      <w:r>
        <w:fldChar w:fldCharType="begin"/>
      </w:r>
      <w:r>
        <w:instrText xml:space="preserve"> NOTEREF _Ref15299070 \h </w:instrText>
      </w:r>
      <w:r>
        <w:fldChar w:fldCharType="separate"/>
      </w:r>
      <w:r>
        <w:t>308</w:t>
      </w:r>
      <w:r>
        <w:fldChar w:fldCharType="end"/>
      </w:r>
      <w:r>
        <w:t>, art 12(4).</w:t>
      </w:r>
    </w:p>
  </w:footnote>
  <w:footnote w:id="318">
    <w:p w14:paraId="3626D3FF" w14:textId="15AAD445" w:rsidR="002774A4" w:rsidRPr="00CB2F49" w:rsidRDefault="002774A4">
      <w:pPr>
        <w:pStyle w:val="FootnoteText"/>
      </w:pPr>
      <w:r>
        <w:rPr>
          <w:rStyle w:val="FootnoteReference"/>
        </w:rPr>
        <w:footnoteRef/>
      </w:r>
      <w:r>
        <w:t xml:space="preserve"> </w:t>
      </w:r>
      <w:r>
        <w:rPr>
          <w:i/>
        </w:rPr>
        <w:t>Ibid</w:t>
      </w:r>
      <w:r>
        <w:t>, art 12(4).</w:t>
      </w:r>
    </w:p>
  </w:footnote>
  <w:footnote w:id="319">
    <w:p w14:paraId="473C79BD" w14:textId="5B84160A" w:rsidR="002774A4" w:rsidRDefault="002774A4">
      <w:pPr>
        <w:pStyle w:val="FootnoteText"/>
      </w:pPr>
      <w:r>
        <w:rPr>
          <w:rStyle w:val="FootnoteReference"/>
        </w:rPr>
        <w:footnoteRef/>
      </w:r>
      <w:r>
        <w:t xml:space="preserve"> </w:t>
      </w:r>
      <w:r w:rsidRPr="001642D0">
        <w:rPr>
          <w:i/>
        </w:rPr>
        <w:t>Initial report submitted by Georgia</w:t>
      </w:r>
      <w:r>
        <w:t xml:space="preserve">, </w:t>
      </w:r>
      <w:r>
        <w:rPr>
          <w:i/>
        </w:rPr>
        <w:t xml:space="preserve">supra </w:t>
      </w:r>
      <w:r>
        <w:t xml:space="preserve">note </w:t>
      </w:r>
      <w:r>
        <w:fldChar w:fldCharType="begin"/>
      </w:r>
      <w:r>
        <w:instrText xml:space="preserve"> NOTEREF _Ref15299052 \h </w:instrText>
      </w:r>
      <w:r>
        <w:fldChar w:fldCharType="separate"/>
      </w:r>
      <w:r>
        <w:t>311</w:t>
      </w:r>
      <w:r>
        <w:fldChar w:fldCharType="end"/>
      </w:r>
      <w:r>
        <w:t xml:space="preserve"> at para 62.</w:t>
      </w:r>
    </w:p>
  </w:footnote>
  <w:footnote w:id="320">
    <w:p w14:paraId="777A5EF0" w14:textId="710C5AD5" w:rsidR="002774A4" w:rsidRPr="00187132" w:rsidRDefault="002774A4">
      <w:pPr>
        <w:pStyle w:val="FootnoteText"/>
        <w:rPr>
          <w:i/>
        </w:rPr>
      </w:pPr>
      <w:r>
        <w:rPr>
          <w:rStyle w:val="FootnoteReference"/>
        </w:rPr>
        <w:footnoteRef/>
      </w:r>
      <w:r>
        <w:t xml:space="preserve"> </w:t>
      </w:r>
      <w:r>
        <w:rPr>
          <w:i/>
        </w:rPr>
        <w:t>Ibid.</w:t>
      </w:r>
    </w:p>
  </w:footnote>
  <w:footnote w:id="321">
    <w:p w14:paraId="7639BCA0" w14:textId="3F0F48C7" w:rsidR="002774A4" w:rsidRPr="009C6164" w:rsidRDefault="002774A4">
      <w:pPr>
        <w:pStyle w:val="FootnoteText"/>
      </w:pPr>
      <w:r>
        <w:rPr>
          <w:rStyle w:val="FootnoteReference"/>
        </w:rPr>
        <w:footnoteRef/>
      </w:r>
      <w:r>
        <w:t xml:space="preserve"> </w:t>
      </w:r>
      <w:r>
        <w:rPr>
          <w:i/>
        </w:rPr>
        <w:t xml:space="preserve">Ibid </w:t>
      </w:r>
      <w:r>
        <w:t>at paras 63-64.</w:t>
      </w:r>
    </w:p>
  </w:footnote>
  <w:footnote w:id="322">
    <w:p w14:paraId="24B8F32C" w14:textId="4B00146B" w:rsidR="002774A4" w:rsidRPr="00E17B6B" w:rsidRDefault="002774A4">
      <w:pPr>
        <w:pStyle w:val="FootnoteText"/>
      </w:pPr>
      <w:r>
        <w:rPr>
          <w:rStyle w:val="FootnoteReference"/>
        </w:rPr>
        <w:footnoteRef/>
      </w:r>
      <w:r>
        <w:t xml:space="preserve"> </w:t>
      </w:r>
      <w:r>
        <w:rPr>
          <w:i/>
        </w:rPr>
        <w:t xml:space="preserve">Ibid </w:t>
      </w:r>
      <w:r>
        <w:t>at para 65.</w:t>
      </w:r>
    </w:p>
  </w:footnote>
  <w:footnote w:id="323">
    <w:p w14:paraId="063F069A" w14:textId="400F2FBD" w:rsidR="002774A4" w:rsidRPr="003E2CD4" w:rsidRDefault="002774A4">
      <w:pPr>
        <w:pStyle w:val="FootnoteText"/>
      </w:pPr>
      <w:r>
        <w:rPr>
          <w:rStyle w:val="FootnoteReference"/>
        </w:rPr>
        <w:footnoteRef/>
      </w:r>
      <w:r>
        <w:t xml:space="preserve"> </w:t>
      </w:r>
      <w:r>
        <w:rPr>
          <w:i/>
        </w:rPr>
        <w:t xml:space="preserve">Civil Code of Georgia, supra </w:t>
      </w:r>
      <w:r>
        <w:t xml:space="preserve">note </w:t>
      </w:r>
      <w:r>
        <w:fldChar w:fldCharType="begin"/>
      </w:r>
      <w:r>
        <w:instrText xml:space="preserve"> NOTEREF _Ref15299070 \h </w:instrText>
      </w:r>
      <w:r>
        <w:fldChar w:fldCharType="separate"/>
      </w:r>
      <w:r>
        <w:t>308</w:t>
      </w:r>
      <w:r>
        <w:fldChar w:fldCharType="end"/>
      </w:r>
      <w:r>
        <w:t>, art 1280(1).</w:t>
      </w:r>
    </w:p>
  </w:footnote>
  <w:footnote w:id="324">
    <w:p w14:paraId="7F32A33C" w14:textId="0993C43E" w:rsidR="002774A4" w:rsidRPr="00DE430E" w:rsidRDefault="002774A4">
      <w:pPr>
        <w:pStyle w:val="FootnoteText"/>
        <w:rPr>
          <w:i/>
        </w:rPr>
      </w:pPr>
      <w:r>
        <w:rPr>
          <w:rStyle w:val="FootnoteReference"/>
        </w:rPr>
        <w:footnoteRef/>
      </w:r>
      <w:r>
        <w:t xml:space="preserve"> </w:t>
      </w:r>
      <w:r>
        <w:rPr>
          <w:i/>
        </w:rPr>
        <w:t>Ibid.</w:t>
      </w:r>
    </w:p>
  </w:footnote>
  <w:footnote w:id="325">
    <w:p w14:paraId="75C8788D" w14:textId="1E2115DF" w:rsidR="002774A4" w:rsidRPr="00F42865" w:rsidRDefault="002774A4">
      <w:pPr>
        <w:pStyle w:val="FootnoteText"/>
      </w:pPr>
      <w:r>
        <w:rPr>
          <w:rStyle w:val="FootnoteReference"/>
        </w:rPr>
        <w:footnoteRef/>
      </w:r>
      <w:r>
        <w:t xml:space="preserve"> </w:t>
      </w:r>
      <w:r>
        <w:rPr>
          <w:i/>
        </w:rPr>
        <w:t xml:space="preserve">Ibid, </w:t>
      </w:r>
      <w:r>
        <w:t>art 1280(2).</w:t>
      </w:r>
    </w:p>
  </w:footnote>
  <w:footnote w:id="326">
    <w:p w14:paraId="20B1C68D" w14:textId="79F6A8A5" w:rsidR="002774A4" w:rsidRPr="00DB3FB9" w:rsidRDefault="002774A4">
      <w:pPr>
        <w:pStyle w:val="FootnoteText"/>
      </w:pPr>
      <w:r w:rsidRPr="002A4F21">
        <w:rPr>
          <w:rStyle w:val="FootnoteReference"/>
        </w:rPr>
        <w:footnoteRef/>
      </w:r>
      <w:r w:rsidRPr="002A4F21">
        <w:t xml:space="preserve"> </w:t>
      </w:r>
      <w:r w:rsidRPr="002A4F21">
        <w:rPr>
          <w:i/>
        </w:rPr>
        <w:t xml:space="preserve">Ibid, </w:t>
      </w:r>
      <w:r w:rsidRPr="002A4F21">
        <w:t>art 1280(5)</w:t>
      </w:r>
      <w:r>
        <w:t>.</w:t>
      </w:r>
    </w:p>
  </w:footnote>
  <w:footnote w:id="327">
    <w:p w14:paraId="1EEFDF3D" w14:textId="6A3C101E" w:rsidR="002774A4" w:rsidRPr="00071B1F" w:rsidRDefault="002774A4">
      <w:pPr>
        <w:pStyle w:val="FootnoteText"/>
      </w:pPr>
      <w:r>
        <w:rPr>
          <w:rStyle w:val="FootnoteReference"/>
        </w:rPr>
        <w:footnoteRef/>
      </w:r>
      <w:r>
        <w:t xml:space="preserve"> </w:t>
      </w:r>
      <w:r>
        <w:rPr>
          <w:i/>
        </w:rPr>
        <w:t xml:space="preserve">Ibid, </w:t>
      </w:r>
      <w:r>
        <w:t>art 1280(3).</w:t>
      </w:r>
    </w:p>
  </w:footnote>
  <w:footnote w:id="328">
    <w:p w14:paraId="2677E6B8" w14:textId="3DC7800E" w:rsidR="002774A4" w:rsidRPr="008C641F" w:rsidRDefault="002774A4">
      <w:pPr>
        <w:pStyle w:val="FootnoteText"/>
        <w:rPr>
          <w:i/>
        </w:rPr>
      </w:pPr>
      <w:r>
        <w:rPr>
          <w:rStyle w:val="FootnoteReference"/>
        </w:rPr>
        <w:footnoteRef/>
      </w:r>
      <w:r>
        <w:t xml:space="preserve"> </w:t>
      </w:r>
      <w:r>
        <w:rPr>
          <w:i/>
        </w:rPr>
        <w:t>Ibid.</w:t>
      </w:r>
    </w:p>
  </w:footnote>
  <w:footnote w:id="329">
    <w:p w14:paraId="288D589A" w14:textId="15154FE0" w:rsidR="002774A4" w:rsidRPr="008678C5" w:rsidRDefault="002774A4">
      <w:pPr>
        <w:pStyle w:val="FootnoteText"/>
      </w:pPr>
      <w:r>
        <w:rPr>
          <w:rStyle w:val="FootnoteReference"/>
        </w:rPr>
        <w:footnoteRef/>
      </w:r>
      <w:r>
        <w:t xml:space="preserve"> </w:t>
      </w:r>
      <w:r>
        <w:rPr>
          <w:i/>
        </w:rPr>
        <w:t xml:space="preserve">Ibid, </w:t>
      </w:r>
      <w:r>
        <w:t>art 1278(3).</w:t>
      </w:r>
    </w:p>
  </w:footnote>
  <w:footnote w:id="330">
    <w:p w14:paraId="6EB87A85" w14:textId="17332CBA" w:rsidR="002774A4" w:rsidRPr="002F639D" w:rsidRDefault="002774A4">
      <w:pPr>
        <w:pStyle w:val="FootnoteText"/>
      </w:pPr>
      <w:r>
        <w:rPr>
          <w:rStyle w:val="FootnoteReference"/>
        </w:rPr>
        <w:footnoteRef/>
      </w:r>
      <w:r>
        <w:t xml:space="preserve"> </w:t>
      </w:r>
      <w:r>
        <w:rPr>
          <w:i/>
        </w:rPr>
        <w:t xml:space="preserve">Ibid, </w:t>
      </w:r>
      <w:r>
        <w:t>art 1293(3).</w:t>
      </w:r>
    </w:p>
  </w:footnote>
  <w:footnote w:id="331">
    <w:p w14:paraId="196CFF80" w14:textId="53F27764" w:rsidR="002774A4" w:rsidRPr="008678C5" w:rsidRDefault="002774A4">
      <w:pPr>
        <w:pStyle w:val="FootnoteText"/>
      </w:pPr>
      <w:r>
        <w:rPr>
          <w:rStyle w:val="FootnoteReference"/>
        </w:rPr>
        <w:footnoteRef/>
      </w:r>
      <w:r>
        <w:t xml:space="preserve"> </w:t>
      </w:r>
      <w:r>
        <w:rPr>
          <w:i/>
        </w:rPr>
        <w:t xml:space="preserve">Ibid, </w:t>
      </w:r>
      <w:r>
        <w:t>art 1289(2).</w:t>
      </w:r>
    </w:p>
  </w:footnote>
  <w:footnote w:id="332">
    <w:p w14:paraId="7B12281A" w14:textId="41527E36" w:rsidR="002774A4" w:rsidRDefault="002774A4">
      <w:pPr>
        <w:pStyle w:val="FootnoteText"/>
      </w:pPr>
      <w:r>
        <w:rPr>
          <w:rStyle w:val="FootnoteReference"/>
        </w:rPr>
        <w:footnoteRef/>
      </w:r>
      <w:r>
        <w:t xml:space="preserve"> </w:t>
      </w:r>
      <w:r w:rsidRPr="00E2264C">
        <w:rPr>
          <w:i/>
        </w:rPr>
        <w:t>Ibid</w:t>
      </w:r>
      <w:r>
        <w:t>.</w:t>
      </w:r>
    </w:p>
  </w:footnote>
  <w:footnote w:id="333">
    <w:p w14:paraId="00376B4D" w14:textId="25B9399E" w:rsidR="002774A4" w:rsidRPr="002B0B2F" w:rsidRDefault="002774A4">
      <w:pPr>
        <w:pStyle w:val="FootnoteText"/>
      </w:pPr>
      <w:r w:rsidRPr="002B0B2F">
        <w:rPr>
          <w:rStyle w:val="FootnoteReference"/>
        </w:rPr>
        <w:footnoteRef/>
      </w:r>
      <w:r w:rsidRPr="002B0B2F">
        <w:t xml:space="preserve"> </w:t>
      </w:r>
      <w:r>
        <w:rPr>
          <w:i/>
        </w:rPr>
        <w:t xml:space="preserve">Law of Georgia No 3340 of 20 March 2015, The Civil Procedure Code of Georgia, </w:t>
      </w:r>
      <w:r>
        <w:t>art 363</w:t>
      </w:r>
      <w:r>
        <w:rPr>
          <w:vertAlign w:val="superscript"/>
        </w:rPr>
        <w:t>15</w:t>
      </w:r>
      <w:r>
        <w:t>(3),</w:t>
      </w:r>
      <w:r>
        <w:rPr>
          <w:i/>
        </w:rPr>
        <w:t xml:space="preserve"> </w:t>
      </w:r>
      <w:r>
        <w:t>online: &lt;</w:t>
      </w:r>
      <w:r w:rsidRPr="00847F7F">
        <w:t>https://matsne.gov.ge/en/document/view/29962?impose=translateEn&amp;publication=132</w:t>
      </w:r>
      <w:r>
        <w:t>&gt;</w:t>
      </w:r>
      <w:proofErr w:type="gramStart"/>
      <w:r>
        <w:t>;</w:t>
      </w:r>
      <w:proofErr w:type="gramEnd"/>
      <w:r>
        <w:t xml:space="preserve"> see </w:t>
      </w:r>
      <w:r w:rsidRPr="002B0B2F">
        <w:rPr>
          <w:i/>
        </w:rPr>
        <w:t>Initial report submitted by Georgia</w:t>
      </w:r>
      <w:r w:rsidRPr="002B0B2F">
        <w:t xml:space="preserve">, </w:t>
      </w:r>
      <w:r w:rsidRPr="002B0B2F">
        <w:rPr>
          <w:i/>
        </w:rPr>
        <w:t xml:space="preserve">supra </w:t>
      </w:r>
      <w:r w:rsidRPr="002B0B2F">
        <w:t xml:space="preserve">note </w:t>
      </w:r>
      <w:r>
        <w:fldChar w:fldCharType="begin"/>
      </w:r>
      <w:r>
        <w:instrText xml:space="preserve"> NOTEREF _Ref15299052 \h </w:instrText>
      </w:r>
      <w:r>
        <w:fldChar w:fldCharType="separate"/>
      </w:r>
      <w:r>
        <w:t>311</w:t>
      </w:r>
      <w:r>
        <w:fldChar w:fldCharType="end"/>
      </w:r>
      <w:r w:rsidRPr="002B0B2F">
        <w:t xml:space="preserve"> at para 66.</w:t>
      </w:r>
    </w:p>
  </w:footnote>
  <w:footnote w:id="334">
    <w:p w14:paraId="5E81AE75" w14:textId="69059898" w:rsidR="002774A4" w:rsidRPr="008D3026" w:rsidRDefault="002774A4">
      <w:pPr>
        <w:pStyle w:val="FootnoteText"/>
        <w:rPr>
          <w:i/>
        </w:rPr>
      </w:pPr>
      <w:r w:rsidRPr="008D3026">
        <w:rPr>
          <w:rStyle w:val="FootnoteReference"/>
        </w:rPr>
        <w:footnoteRef/>
      </w:r>
      <w:r w:rsidRPr="008D3026">
        <w:rPr>
          <w:i/>
        </w:rPr>
        <w:t xml:space="preserve"> Ibid.</w:t>
      </w:r>
    </w:p>
  </w:footnote>
  <w:footnote w:id="335">
    <w:p w14:paraId="70CA3DEE" w14:textId="48C7392E" w:rsidR="002774A4" w:rsidRPr="00FA367C" w:rsidRDefault="002774A4">
      <w:pPr>
        <w:pStyle w:val="FootnoteText"/>
      </w:pPr>
      <w:r w:rsidRPr="002B0B2F">
        <w:rPr>
          <w:rStyle w:val="FootnoteReference"/>
        </w:rPr>
        <w:footnoteRef/>
      </w:r>
      <w:r w:rsidRPr="002B0B2F">
        <w:t xml:space="preserve"> </w:t>
      </w:r>
      <w:r>
        <w:rPr>
          <w:i/>
        </w:rPr>
        <w:t xml:space="preserve">Civil Code of Georgia, supra </w:t>
      </w:r>
      <w:r>
        <w:t xml:space="preserve">note </w:t>
      </w:r>
      <w:r>
        <w:fldChar w:fldCharType="begin"/>
      </w:r>
      <w:r>
        <w:instrText xml:space="preserve"> NOTEREF _Ref15299070 \h </w:instrText>
      </w:r>
      <w:r>
        <w:fldChar w:fldCharType="separate"/>
      </w:r>
      <w:r>
        <w:t>308</w:t>
      </w:r>
      <w:r>
        <w:fldChar w:fldCharType="end"/>
      </w:r>
      <w:r w:rsidRPr="002B0B2F">
        <w:rPr>
          <w:i/>
        </w:rPr>
        <w:t xml:space="preserve">, </w:t>
      </w:r>
      <w:r w:rsidRPr="002B0B2F">
        <w:t>art 1289(2).</w:t>
      </w:r>
    </w:p>
  </w:footnote>
  <w:footnote w:id="336">
    <w:p w14:paraId="2F462243" w14:textId="56F5F013" w:rsidR="002774A4" w:rsidRPr="004C0C49" w:rsidRDefault="002774A4">
      <w:pPr>
        <w:pStyle w:val="FootnoteText"/>
      </w:pPr>
      <w:r>
        <w:rPr>
          <w:rStyle w:val="FootnoteReference"/>
        </w:rPr>
        <w:footnoteRef/>
      </w:r>
      <w:r>
        <w:t xml:space="preserve"> </w:t>
      </w:r>
      <w:r>
        <w:rPr>
          <w:i/>
        </w:rPr>
        <w:t xml:space="preserve">Ibid, </w:t>
      </w:r>
      <w:r>
        <w:t>art 1305</w:t>
      </w:r>
      <w:r>
        <w:rPr>
          <w:vertAlign w:val="superscript"/>
        </w:rPr>
        <w:t>1</w:t>
      </w:r>
      <w:r>
        <w:t xml:space="preserve">(2); </w:t>
      </w:r>
      <w:r w:rsidRPr="001642D0">
        <w:rPr>
          <w:i/>
        </w:rPr>
        <w:t>Initial report submitted by Georgia</w:t>
      </w:r>
      <w:r>
        <w:t xml:space="preserve">, </w:t>
      </w:r>
      <w:r>
        <w:rPr>
          <w:i/>
        </w:rPr>
        <w:t xml:space="preserve">supra </w:t>
      </w:r>
      <w:r>
        <w:t xml:space="preserve">note </w:t>
      </w:r>
      <w:r>
        <w:fldChar w:fldCharType="begin"/>
      </w:r>
      <w:r>
        <w:instrText xml:space="preserve"> NOTEREF _Ref15299052 \h </w:instrText>
      </w:r>
      <w:r>
        <w:fldChar w:fldCharType="separate"/>
      </w:r>
      <w:r>
        <w:t>311</w:t>
      </w:r>
      <w:r>
        <w:fldChar w:fldCharType="end"/>
      </w:r>
      <w:r>
        <w:t xml:space="preserve"> at para 67. </w:t>
      </w:r>
    </w:p>
  </w:footnote>
  <w:footnote w:id="337">
    <w:p w14:paraId="53570DE1" w14:textId="6C4412AD" w:rsidR="002774A4" w:rsidRPr="008040C3" w:rsidRDefault="002774A4">
      <w:pPr>
        <w:pStyle w:val="FootnoteText"/>
      </w:pPr>
      <w:r>
        <w:rPr>
          <w:rStyle w:val="FootnoteReference"/>
        </w:rPr>
        <w:footnoteRef/>
      </w:r>
      <w:r>
        <w:t xml:space="preserve"> </w:t>
      </w:r>
      <w:r>
        <w:rPr>
          <w:i/>
        </w:rPr>
        <w:t>Civil Code of Georgia</w:t>
      </w:r>
      <w:r>
        <w:t xml:space="preserve">, </w:t>
      </w:r>
      <w:r>
        <w:rPr>
          <w:i/>
        </w:rPr>
        <w:t xml:space="preserve">supra </w:t>
      </w:r>
      <w:r>
        <w:t xml:space="preserve">note </w:t>
      </w:r>
      <w:r>
        <w:fldChar w:fldCharType="begin"/>
      </w:r>
      <w:r>
        <w:instrText xml:space="preserve"> NOTEREF _Ref15299070 \h </w:instrText>
      </w:r>
      <w:r>
        <w:fldChar w:fldCharType="separate"/>
      </w:r>
      <w:r>
        <w:t>308</w:t>
      </w:r>
      <w:r>
        <w:fldChar w:fldCharType="end"/>
      </w:r>
      <w:r>
        <w:t>, art 1305</w:t>
      </w:r>
      <w:r>
        <w:rPr>
          <w:vertAlign w:val="superscript"/>
        </w:rPr>
        <w:t>1</w:t>
      </w:r>
      <w:r>
        <w:t>(3).</w:t>
      </w:r>
    </w:p>
  </w:footnote>
  <w:footnote w:id="338">
    <w:p w14:paraId="75AEB560" w14:textId="5B9FA855" w:rsidR="002774A4" w:rsidRPr="001D0012" w:rsidRDefault="002774A4">
      <w:pPr>
        <w:pStyle w:val="FootnoteText"/>
      </w:pPr>
      <w:r>
        <w:rPr>
          <w:rStyle w:val="FootnoteReference"/>
        </w:rPr>
        <w:footnoteRef/>
      </w:r>
      <w:r>
        <w:t xml:space="preserve"> </w:t>
      </w:r>
      <w:r>
        <w:rPr>
          <w:i/>
        </w:rPr>
        <w:t xml:space="preserve">Ibid, </w:t>
      </w:r>
      <w:r>
        <w:t>arts 1305</w:t>
      </w:r>
      <w:r>
        <w:rPr>
          <w:vertAlign w:val="superscript"/>
        </w:rPr>
        <w:t>2</w:t>
      </w:r>
      <w:r>
        <w:t>a-b.</w:t>
      </w:r>
    </w:p>
  </w:footnote>
  <w:footnote w:id="339">
    <w:p w14:paraId="00DFBBF4" w14:textId="6D67622D" w:rsidR="002774A4" w:rsidRPr="0096231C" w:rsidRDefault="002774A4">
      <w:pPr>
        <w:pStyle w:val="FootnoteText"/>
      </w:pPr>
      <w:r>
        <w:rPr>
          <w:rStyle w:val="FootnoteReference"/>
        </w:rPr>
        <w:footnoteRef/>
      </w:r>
      <w:r>
        <w:t xml:space="preserve"> </w:t>
      </w:r>
      <w:r>
        <w:rPr>
          <w:i/>
        </w:rPr>
        <w:t xml:space="preserve">Ibid, </w:t>
      </w:r>
      <w:r>
        <w:t xml:space="preserve">art </w:t>
      </w:r>
      <w:proofErr w:type="gramStart"/>
      <w:r>
        <w:t>1305</w:t>
      </w:r>
      <w:r>
        <w:rPr>
          <w:vertAlign w:val="superscript"/>
        </w:rPr>
        <w:t>2</w:t>
      </w:r>
      <w:r>
        <w:t>c.</w:t>
      </w:r>
      <w:proofErr w:type="gramEnd"/>
    </w:p>
  </w:footnote>
  <w:footnote w:id="340">
    <w:p w14:paraId="23CAC975" w14:textId="595001F1" w:rsidR="002774A4" w:rsidRPr="009522C1" w:rsidRDefault="002774A4">
      <w:pPr>
        <w:pStyle w:val="FootnoteText"/>
      </w:pPr>
      <w:r>
        <w:rPr>
          <w:rStyle w:val="FootnoteReference"/>
        </w:rPr>
        <w:footnoteRef/>
      </w:r>
      <w:r>
        <w:t xml:space="preserve"> </w:t>
      </w:r>
      <w:r>
        <w:rPr>
          <w:i/>
        </w:rPr>
        <w:t xml:space="preserve">Ibid, </w:t>
      </w:r>
      <w:r>
        <w:t>art 1301(2).</w:t>
      </w:r>
    </w:p>
  </w:footnote>
  <w:footnote w:id="341">
    <w:p w14:paraId="6EDA8572" w14:textId="698D1D8D" w:rsidR="002774A4" w:rsidRPr="00AF39CB" w:rsidRDefault="002774A4">
      <w:pPr>
        <w:pStyle w:val="FootnoteText"/>
      </w:pPr>
      <w:r>
        <w:rPr>
          <w:rStyle w:val="FootnoteReference"/>
        </w:rPr>
        <w:footnoteRef/>
      </w:r>
      <w:r>
        <w:t xml:space="preserve"> </w:t>
      </w:r>
      <w:r>
        <w:rPr>
          <w:i/>
        </w:rPr>
        <w:t xml:space="preserve">Ibid, </w:t>
      </w:r>
      <w:r>
        <w:t xml:space="preserve">art </w:t>
      </w:r>
      <w:proofErr w:type="gramStart"/>
      <w:r>
        <w:t>1508.</w:t>
      </w:r>
      <w:proofErr w:type="gramEnd"/>
    </w:p>
  </w:footnote>
  <w:footnote w:id="342">
    <w:p w14:paraId="6D855EA1" w14:textId="3DF16891" w:rsidR="002774A4" w:rsidRPr="009B2C35" w:rsidRDefault="002774A4">
      <w:pPr>
        <w:pStyle w:val="FootnoteText"/>
      </w:pPr>
      <w:r>
        <w:rPr>
          <w:rStyle w:val="FootnoteReference"/>
        </w:rPr>
        <w:footnoteRef/>
      </w:r>
      <w:r>
        <w:t xml:space="preserve"> Former </w:t>
      </w:r>
      <w:r>
        <w:rPr>
          <w:i/>
        </w:rPr>
        <w:t xml:space="preserve">Civil Code of Georgia, supra </w:t>
      </w:r>
      <w:r>
        <w:t xml:space="preserve">note </w:t>
      </w:r>
      <w:r>
        <w:fldChar w:fldCharType="begin"/>
      </w:r>
      <w:r>
        <w:instrText xml:space="preserve"> NOTEREF _Ref15299241 \h </w:instrText>
      </w:r>
      <w:r>
        <w:fldChar w:fldCharType="separate"/>
      </w:r>
      <w:r>
        <w:t>310</w:t>
      </w:r>
      <w:r>
        <w:fldChar w:fldCharType="end"/>
      </w:r>
      <w:r>
        <w:t>, arts 12(5) &amp; 1276.</w:t>
      </w:r>
    </w:p>
  </w:footnote>
  <w:footnote w:id="343">
    <w:p w14:paraId="1292AED2" w14:textId="19A55510" w:rsidR="002774A4" w:rsidRDefault="002774A4">
      <w:pPr>
        <w:pStyle w:val="FootnoteText"/>
      </w:pPr>
      <w:r>
        <w:rPr>
          <w:rStyle w:val="FootnoteReference"/>
        </w:rPr>
        <w:footnoteRef/>
      </w:r>
      <w:r>
        <w:t xml:space="preserve"> </w:t>
      </w:r>
      <w:r>
        <w:rPr>
          <w:i/>
        </w:rPr>
        <w:t xml:space="preserve">Civil Code of Georgia, supra </w:t>
      </w:r>
      <w:r>
        <w:t xml:space="preserve">note </w:t>
      </w:r>
      <w:r>
        <w:fldChar w:fldCharType="begin"/>
      </w:r>
      <w:r>
        <w:instrText xml:space="preserve"> NOTEREF _Ref15299070 \h </w:instrText>
      </w:r>
      <w:r>
        <w:fldChar w:fldCharType="separate"/>
      </w:r>
      <w:r>
        <w:t>308</w:t>
      </w:r>
      <w:r>
        <w:fldChar w:fldCharType="end"/>
      </w:r>
      <w:r>
        <w:t>, art 1277(1).</w:t>
      </w:r>
    </w:p>
  </w:footnote>
  <w:footnote w:id="344">
    <w:p w14:paraId="4EA7FE51" w14:textId="3EEBD993" w:rsidR="002774A4" w:rsidRDefault="002774A4">
      <w:pPr>
        <w:pStyle w:val="FootnoteText"/>
      </w:pPr>
      <w:r>
        <w:rPr>
          <w:rStyle w:val="FootnoteReference"/>
        </w:rPr>
        <w:footnoteRef/>
      </w:r>
      <w:r>
        <w:t xml:space="preserve"> </w:t>
      </w:r>
      <w:r>
        <w:rPr>
          <w:i/>
        </w:rPr>
        <w:t xml:space="preserve">Ibid, </w:t>
      </w:r>
      <w:r>
        <w:t>art 1281(1).</w:t>
      </w:r>
    </w:p>
  </w:footnote>
  <w:footnote w:id="345">
    <w:p w14:paraId="59630B4D" w14:textId="782C442D" w:rsidR="002774A4" w:rsidRPr="0002285E" w:rsidRDefault="002774A4">
      <w:pPr>
        <w:pStyle w:val="FootnoteText"/>
        <w:rPr>
          <w:i/>
        </w:rPr>
      </w:pPr>
      <w:r>
        <w:rPr>
          <w:rStyle w:val="FootnoteReference"/>
        </w:rPr>
        <w:footnoteRef/>
      </w:r>
      <w:r>
        <w:t xml:space="preserve"> </w:t>
      </w:r>
      <w:r>
        <w:rPr>
          <w:i/>
        </w:rPr>
        <w:t xml:space="preserve">Ibid, </w:t>
      </w:r>
      <w:r>
        <w:t>art 1277(1)</w:t>
      </w:r>
      <w:r>
        <w:rPr>
          <w:i/>
        </w:rPr>
        <w:t>.</w:t>
      </w:r>
    </w:p>
  </w:footnote>
  <w:footnote w:id="346">
    <w:p w14:paraId="16A0E99F" w14:textId="2972401A" w:rsidR="002774A4" w:rsidRDefault="002774A4">
      <w:pPr>
        <w:pStyle w:val="FootnoteText"/>
      </w:pPr>
      <w:r>
        <w:rPr>
          <w:rStyle w:val="FootnoteReference"/>
        </w:rPr>
        <w:footnoteRef/>
      </w:r>
      <w:r>
        <w:t xml:space="preserve"> </w:t>
      </w:r>
      <w:r>
        <w:rPr>
          <w:i/>
        </w:rPr>
        <w:t xml:space="preserve">Ibid, </w:t>
      </w:r>
      <w:r>
        <w:t>arts 1275(2) &amp; 1289.</w:t>
      </w:r>
    </w:p>
  </w:footnote>
  <w:footnote w:id="347">
    <w:p w14:paraId="1CB142DF" w14:textId="2DF01407" w:rsidR="002774A4" w:rsidRDefault="002774A4">
      <w:pPr>
        <w:pStyle w:val="FootnoteText"/>
      </w:pPr>
      <w:r>
        <w:rPr>
          <w:rStyle w:val="FootnoteReference"/>
        </w:rPr>
        <w:footnoteRef/>
      </w:r>
      <w:r>
        <w:t xml:space="preserve"> </w:t>
      </w:r>
      <w:r>
        <w:rPr>
          <w:i/>
        </w:rPr>
        <w:t xml:space="preserve">Ibid, </w:t>
      </w:r>
      <w:r>
        <w:t>art 14(2).</w:t>
      </w:r>
    </w:p>
  </w:footnote>
  <w:footnote w:id="348">
    <w:p w14:paraId="241418B6" w14:textId="721AFFB5" w:rsidR="002774A4" w:rsidRPr="0056609F" w:rsidRDefault="002774A4">
      <w:pPr>
        <w:pStyle w:val="FootnoteText"/>
      </w:pPr>
      <w:r>
        <w:rPr>
          <w:rStyle w:val="FootnoteReference"/>
        </w:rPr>
        <w:footnoteRef/>
      </w:r>
      <w:r>
        <w:t xml:space="preserve"> </w:t>
      </w:r>
      <w:r>
        <w:rPr>
          <w:i/>
        </w:rPr>
        <w:t xml:space="preserve">Ibid, </w:t>
      </w:r>
      <w:r>
        <w:t xml:space="preserve">art </w:t>
      </w:r>
      <w:proofErr w:type="gramStart"/>
      <w:r>
        <w:t>1276.</w:t>
      </w:r>
      <w:proofErr w:type="gramEnd"/>
    </w:p>
  </w:footnote>
  <w:footnote w:id="349">
    <w:p w14:paraId="50DEE8B6" w14:textId="613E6742" w:rsidR="002774A4" w:rsidRDefault="002774A4">
      <w:pPr>
        <w:pStyle w:val="FootnoteText"/>
      </w:pPr>
      <w:r>
        <w:rPr>
          <w:rStyle w:val="FootnoteReference"/>
        </w:rPr>
        <w:footnoteRef/>
      </w:r>
      <w:r>
        <w:t xml:space="preserve"> </w:t>
      </w:r>
      <w:r>
        <w:rPr>
          <w:i/>
        </w:rPr>
        <w:t xml:space="preserve">Ibid, </w:t>
      </w:r>
      <w:r>
        <w:t>art 1275(2).</w:t>
      </w:r>
    </w:p>
  </w:footnote>
  <w:footnote w:id="350">
    <w:p w14:paraId="56F5AE64" w14:textId="0FCCE044" w:rsidR="002774A4" w:rsidRPr="00EE4F75" w:rsidRDefault="002774A4">
      <w:pPr>
        <w:pStyle w:val="FootnoteText"/>
      </w:pPr>
      <w:r>
        <w:rPr>
          <w:rStyle w:val="FootnoteReference"/>
        </w:rPr>
        <w:footnoteRef/>
      </w:r>
      <w:r>
        <w:t xml:space="preserve"> </w:t>
      </w:r>
      <w:r>
        <w:rPr>
          <w:i/>
        </w:rPr>
        <w:t xml:space="preserve">Ibid, </w:t>
      </w:r>
      <w:r>
        <w:t>art 14(2).</w:t>
      </w:r>
    </w:p>
  </w:footnote>
  <w:footnote w:id="351">
    <w:p w14:paraId="620385B8" w14:textId="394D8CD3" w:rsidR="002774A4" w:rsidRPr="00EF5A16" w:rsidRDefault="002774A4">
      <w:pPr>
        <w:pStyle w:val="FootnoteText"/>
      </w:pPr>
      <w:r>
        <w:rPr>
          <w:rStyle w:val="FootnoteReference"/>
        </w:rPr>
        <w:footnoteRef/>
      </w:r>
      <w:r>
        <w:t xml:space="preserve"> </w:t>
      </w:r>
      <w:proofErr w:type="gramStart"/>
      <w:r>
        <w:t>see</w:t>
      </w:r>
      <w:proofErr w:type="gramEnd"/>
      <w:r>
        <w:t xml:space="preserve"> </w:t>
      </w:r>
      <w:r>
        <w:rPr>
          <w:i/>
        </w:rPr>
        <w:t xml:space="preserve">Ibid, </w:t>
      </w:r>
      <w:r>
        <w:t>art 1289(1).</w:t>
      </w:r>
    </w:p>
  </w:footnote>
  <w:footnote w:id="352">
    <w:p w14:paraId="7113A882" w14:textId="6288476A" w:rsidR="002774A4" w:rsidRPr="00EA1969" w:rsidRDefault="002774A4">
      <w:pPr>
        <w:pStyle w:val="FootnoteText"/>
      </w:pPr>
      <w:r>
        <w:rPr>
          <w:rStyle w:val="FootnoteReference"/>
        </w:rPr>
        <w:footnoteRef/>
      </w:r>
      <w:r>
        <w:t xml:space="preserve"> </w:t>
      </w:r>
      <w:r>
        <w:rPr>
          <w:i/>
        </w:rPr>
        <w:t xml:space="preserve">Ibid, </w:t>
      </w:r>
      <w:r>
        <w:t>art 12(1).</w:t>
      </w:r>
    </w:p>
  </w:footnote>
  <w:footnote w:id="353">
    <w:p w14:paraId="4F467CD1" w14:textId="4FA1DC4E" w:rsidR="002774A4" w:rsidRPr="00660F9A" w:rsidRDefault="002774A4">
      <w:pPr>
        <w:pStyle w:val="FootnoteText"/>
      </w:pPr>
      <w:r>
        <w:rPr>
          <w:rStyle w:val="FootnoteReference"/>
        </w:rPr>
        <w:footnoteRef/>
      </w:r>
      <w:r>
        <w:t xml:space="preserve"> </w:t>
      </w:r>
      <w:r>
        <w:rPr>
          <w:i/>
        </w:rPr>
        <w:t xml:space="preserve">Ibid, </w:t>
      </w:r>
      <w:r>
        <w:t>arts 13-14.</w:t>
      </w:r>
    </w:p>
  </w:footnote>
  <w:footnote w:id="354">
    <w:p w14:paraId="24144087" w14:textId="11D8D22D" w:rsidR="002774A4" w:rsidRPr="00C20E05" w:rsidRDefault="002774A4">
      <w:pPr>
        <w:pStyle w:val="FootnoteText"/>
      </w:pPr>
      <w:r>
        <w:rPr>
          <w:rStyle w:val="FootnoteReference"/>
        </w:rPr>
        <w:footnoteRef/>
      </w:r>
      <w:r>
        <w:t xml:space="preserve"> See </w:t>
      </w:r>
      <w:r>
        <w:rPr>
          <w:i/>
        </w:rPr>
        <w:t xml:space="preserve">Ibid </w:t>
      </w:r>
      <w:r>
        <w:t>art 1277(1).</w:t>
      </w:r>
    </w:p>
  </w:footnote>
  <w:footnote w:id="355">
    <w:p w14:paraId="1B46E117" w14:textId="23330227" w:rsidR="002774A4" w:rsidRDefault="002774A4">
      <w:pPr>
        <w:pStyle w:val="FootnoteText"/>
      </w:pPr>
      <w:r>
        <w:rPr>
          <w:rStyle w:val="FootnoteReference"/>
        </w:rPr>
        <w:footnoteRef/>
      </w:r>
      <w:r>
        <w:t xml:space="preserve"> See Committee on the Rights of Persons with Disabilities, “General comment No.1,” </w:t>
      </w:r>
      <w:r>
        <w:rPr>
          <w:i/>
        </w:rPr>
        <w:t xml:space="preserve">supra </w:t>
      </w:r>
      <w:r>
        <w:t xml:space="preserve">note </w:t>
      </w:r>
      <w:r>
        <w:fldChar w:fldCharType="begin"/>
      </w:r>
      <w:r>
        <w:instrText xml:space="preserve"> NOTEREF _Ref15295251 \h </w:instrText>
      </w:r>
      <w:r>
        <w:fldChar w:fldCharType="separate"/>
      </w:r>
      <w:proofErr w:type="gramStart"/>
      <w:r>
        <w:t>7</w:t>
      </w:r>
      <w:proofErr w:type="gramEnd"/>
      <w:r>
        <w:fldChar w:fldCharType="end"/>
      </w:r>
      <w:r>
        <w:t xml:space="preserve"> at para 15.</w:t>
      </w:r>
    </w:p>
  </w:footnote>
  <w:footnote w:id="356">
    <w:p w14:paraId="0A5A3CC0" w14:textId="26D77336" w:rsidR="002774A4" w:rsidRDefault="002774A4">
      <w:pPr>
        <w:pStyle w:val="FootnoteText"/>
      </w:pPr>
      <w:r>
        <w:rPr>
          <w:rStyle w:val="FootnoteReference"/>
        </w:rPr>
        <w:footnoteRef/>
      </w:r>
      <w:r>
        <w:t xml:space="preserve"> See </w:t>
      </w:r>
      <w:r>
        <w:rPr>
          <w:i/>
        </w:rPr>
        <w:t xml:space="preserve">Civil Code of </w:t>
      </w:r>
      <w:proofErr w:type="gramStart"/>
      <w:r>
        <w:rPr>
          <w:i/>
        </w:rPr>
        <w:t>Georgia,</w:t>
      </w:r>
      <w:proofErr w:type="gramEnd"/>
      <w:r>
        <w:rPr>
          <w:i/>
        </w:rPr>
        <w:t xml:space="preserve"> supra </w:t>
      </w:r>
      <w:r>
        <w:t xml:space="preserve">note </w:t>
      </w:r>
      <w:r>
        <w:fldChar w:fldCharType="begin"/>
      </w:r>
      <w:r>
        <w:instrText xml:space="preserve"> NOTEREF _Ref15299070 \h </w:instrText>
      </w:r>
      <w:r>
        <w:fldChar w:fldCharType="separate"/>
      </w:r>
      <w:r>
        <w:t>308</w:t>
      </w:r>
      <w:r>
        <w:fldChar w:fldCharType="end"/>
      </w:r>
      <w:r>
        <w:rPr>
          <w:i/>
        </w:rPr>
        <w:t xml:space="preserve">, </w:t>
      </w:r>
      <w:r>
        <w:t>art 1305</w:t>
      </w:r>
      <w:r>
        <w:rPr>
          <w:vertAlign w:val="superscript"/>
        </w:rPr>
        <w:t>1</w:t>
      </w:r>
      <w:r>
        <w:t>(2).</w:t>
      </w:r>
    </w:p>
  </w:footnote>
  <w:footnote w:id="357">
    <w:p w14:paraId="02A8DAB7" w14:textId="35B31D5B" w:rsidR="002774A4" w:rsidRPr="00261147" w:rsidRDefault="002774A4">
      <w:pPr>
        <w:pStyle w:val="FootnoteText"/>
        <w:rPr>
          <w:i/>
        </w:rPr>
      </w:pPr>
      <w:r>
        <w:rPr>
          <w:rStyle w:val="FootnoteReference"/>
        </w:rPr>
        <w:footnoteRef/>
      </w:r>
      <w:r>
        <w:t xml:space="preserve"> See </w:t>
      </w:r>
      <w:r>
        <w:rPr>
          <w:i/>
        </w:rPr>
        <w:t xml:space="preserve">Ibid, </w:t>
      </w:r>
      <w:r>
        <w:t>art 1301(2).</w:t>
      </w:r>
    </w:p>
  </w:footnote>
  <w:footnote w:id="358">
    <w:p w14:paraId="2E3F892B" w14:textId="7577EA41" w:rsidR="002774A4" w:rsidRPr="009C5599" w:rsidRDefault="002774A4">
      <w:pPr>
        <w:pStyle w:val="FootnoteText"/>
      </w:pPr>
      <w:r>
        <w:rPr>
          <w:rStyle w:val="FootnoteReference"/>
        </w:rPr>
        <w:footnoteRef/>
      </w:r>
      <w:r>
        <w:t xml:space="preserve"> </w:t>
      </w:r>
      <w:r>
        <w:rPr>
          <w:i/>
        </w:rPr>
        <w:t xml:space="preserve">Ibid, </w:t>
      </w:r>
      <w:r>
        <w:t xml:space="preserve">art </w:t>
      </w:r>
      <w:proofErr w:type="gramStart"/>
      <w:r>
        <w:t>1298.</w:t>
      </w:r>
      <w:proofErr w:type="gramEnd"/>
    </w:p>
  </w:footnote>
  <w:footnote w:id="359">
    <w:p w14:paraId="1544D743" w14:textId="0168B229" w:rsidR="002774A4" w:rsidRPr="00F454CC" w:rsidRDefault="002774A4">
      <w:pPr>
        <w:pStyle w:val="FootnoteText"/>
      </w:pPr>
      <w:r>
        <w:rPr>
          <w:rStyle w:val="FootnoteReference"/>
        </w:rPr>
        <w:footnoteRef/>
      </w:r>
      <w:r>
        <w:t xml:space="preserve"> </w:t>
      </w:r>
      <w:proofErr w:type="gramStart"/>
      <w:r>
        <w:t>See Council of Europe</w:t>
      </w:r>
      <w:proofErr w:type="gramEnd"/>
      <w:r>
        <w:t xml:space="preserve">, </w:t>
      </w:r>
      <w:proofErr w:type="gramStart"/>
      <w:r>
        <w:rPr>
          <w:i/>
        </w:rPr>
        <w:t xml:space="preserve">supra </w:t>
      </w:r>
      <w:r>
        <w:t xml:space="preserve">note </w:t>
      </w:r>
      <w:r>
        <w:fldChar w:fldCharType="begin"/>
      </w:r>
      <w:r>
        <w:instrText xml:space="preserve"> NOTEREF _Ref15299300 \h </w:instrText>
      </w:r>
      <w:r>
        <w:fldChar w:fldCharType="separate"/>
      </w:r>
      <w:r>
        <w:t>314</w:t>
      </w:r>
      <w:r>
        <w:fldChar w:fldCharType="end"/>
      </w:r>
      <w:r>
        <w:t xml:space="preserve"> at 44</w:t>
      </w:r>
      <w:proofErr w:type="gramEnd"/>
      <w:r>
        <w:t>.</w:t>
      </w:r>
    </w:p>
  </w:footnote>
  <w:footnote w:id="360">
    <w:p w14:paraId="320F0512" w14:textId="2D8F4EB1" w:rsidR="002774A4" w:rsidRPr="004E12DC" w:rsidRDefault="002774A4">
      <w:pPr>
        <w:pStyle w:val="FootnoteText"/>
      </w:pPr>
      <w:r>
        <w:rPr>
          <w:rStyle w:val="FootnoteReference"/>
        </w:rPr>
        <w:footnoteRef/>
      </w:r>
      <w:r>
        <w:t xml:space="preserve"> </w:t>
      </w:r>
      <w:r>
        <w:rPr>
          <w:i/>
        </w:rPr>
        <w:t xml:space="preserve">Civil Code of Georgia, supra </w:t>
      </w:r>
      <w:r>
        <w:t xml:space="preserve">note </w:t>
      </w:r>
      <w:r>
        <w:fldChar w:fldCharType="begin"/>
      </w:r>
      <w:r>
        <w:instrText xml:space="preserve"> NOTEREF _Ref15299070 \h </w:instrText>
      </w:r>
      <w:r>
        <w:fldChar w:fldCharType="separate"/>
      </w:r>
      <w:r>
        <w:t>308</w:t>
      </w:r>
      <w:r>
        <w:fldChar w:fldCharType="end"/>
      </w:r>
      <w:r>
        <w:rPr>
          <w:i/>
        </w:rPr>
        <w:t xml:space="preserve">, </w:t>
      </w:r>
      <w:r>
        <w:t>art 1293(4).</w:t>
      </w:r>
    </w:p>
  </w:footnote>
  <w:footnote w:id="361">
    <w:p w14:paraId="26F8A9A3" w14:textId="5270C7C8" w:rsidR="002774A4" w:rsidRPr="00D364A8" w:rsidRDefault="002774A4" w:rsidP="00D51AB9">
      <w:pPr>
        <w:pStyle w:val="FootnoteText"/>
      </w:pPr>
      <w:r>
        <w:rPr>
          <w:rStyle w:val="FootnoteReference"/>
        </w:rPr>
        <w:footnoteRef/>
      </w:r>
      <w:r>
        <w:t xml:space="preserve"> </w:t>
      </w:r>
      <w:r>
        <w:rPr>
          <w:i/>
        </w:rPr>
        <w:t xml:space="preserve">Ibid, </w:t>
      </w:r>
      <w:r>
        <w:t>art 69(3).</w:t>
      </w:r>
    </w:p>
  </w:footnote>
  <w:footnote w:id="362">
    <w:p w14:paraId="1F7EF794" w14:textId="4AFC57A7" w:rsidR="002774A4" w:rsidRPr="00B27608" w:rsidRDefault="002774A4">
      <w:pPr>
        <w:pStyle w:val="FootnoteText"/>
      </w:pPr>
      <w:r>
        <w:rPr>
          <w:rStyle w:val="FootnoteReference"/>
        </w:rPr>
        <w:footnoteRef/>
      </w:r>
      <w:r>
        <w:t xml:space="preserve"> </w:t>
      </w:r>
      <w:r>
        <w:rPr>
          <w:i/>
        </w:rPr>
        <w:t xml:space="preserve">Ibid, </w:t>
      </w:r>
      <w:r>
        <w:t xml:space="preserve">art 1304(1); Council of Europe, </w:t>
      </w:r>
      <w:r>
        <w:rPr>
          <w:i/>
        </w:rPr>
        <w:t xml:space="preserve">supra </w:t>
      </w:r>
      <w:r>
        <w:t xml:space="preserve">note </w:t>
      </w:r>
      <w:r>
        <w:fldChar w:fldCharType="begin"/>
      </w:r>
      <w:r>
        <w:instrText xml:space="preserve"> NOTEREF _Ref15299300 \h </w:instrText>
      </w:r>
      <w:r>
        <w:fldChar w:fldCharType="separate"/>
      </w:r>
      <w:r>
        <w:t>314</w:t>
      </w:r>
      <w:r>
        <w:fldChar w:fldCharType="end"/>
      </w:r>
      <w:r>
        <w:t xml:space="preserve"> at 44.</w:t>
      </w:r>
    </w:p>
  </w:footnote>
  <w:footnote w:id="363">
    <w:p w14:paraId="4B952CF1" w14:textId="0E6F0936" w:rsidR="002774A4" w:rsidRPr="00941D29" w:rsidRDefault="002774A4">
      <w:pPr>
        <w:pStyle w:val="FootnoteText"/>
      </w:pPr>
      <w:r>
        <w:rPr>
          <w:rStyle w:val="FootnoteReference"/>
        </w:rPr>
        <w:footnoteRef/>
      </w:r>
      <w:r>
        <w:t xml:space="preserve"> Committee on the Rights of Persons with Disabilities, “General comment No.1,” </w:t>
      </w:r>
      <w:r>
        <w:rPr>
          <w:i/>
        </w:rPr>
        <w:t xml:space="preserve">supra </w:t>
      </w:r>
      <w:r>
        <w:t xml:space="preserve">note </w:t>
      </w:r>
      <w:r>
        <w:fldChar w:fldCharType="begin"/>
      </w:r>
      <w:r>
        <w:instrText xml:space="preserve"> NOTEREF _Ref15295251 \h </w:instrText>
      </w:r>
      <w:r>
        <w:fldChar w:fldCharType="separate"/>
      </w:r>
      <w:proofErr w:type="gramStart"/>
      <w:r>
        <w:t>7</w:t>
      </w:r>
      <w:proofErr w:type="gramEnd"/>
      <w:r>
        <w:fldChar w:fldCharType="end"/>
      </w:r>
      <w:r>
        <w:t xml:space="preserve"> at para 29(g).</w:t>
      </w:r>
    </w:p>
  </w:footnote>
  <w:footnote w:id="364">
    <w:p w14:paraId="1AE1E038" w14:textId="0531FED9" w:rsidR="002774A4" w:rsidRDefault="002774A4">
      <w:pPr>
        <w:pStyle w:val="FootnoteText"/>
      </w:pPr>
      <w:r>
        <w:rPr>
          <w:rStyle w:val="FootnoteReference"/>
        </w:rPr>
        <w:footnoteRef/>
      </w:r>
      <w:r>
        <w:t xml:space="preserve"> See </w:t>
      </w:r>
      <w:r>
        <w:rPr>
          <w:i/>
        </w:rPr>
        <w:t xml:space="preserve">Civil Code of </w:t>
      </w:r>
      <w:proofErr w:type="gramStart"/>
      <w:r>
        <w:rPr>
          <w:i/>
        </w:rPr>
        <w:t>Georgia,</w:t>
      </w:r>
      <w:proofErr w:type="gramEnd"/>
      <w:r>
        <w:rPr>
          <w:i/>
        </w:rPr>
        <w:t xml:space="preserve"> supra </w:t>
      </w:r>
      <w:r>
        <w:t xml:space="preserve">note </w:t>
      </w:r>
      <w:r>
        <w:fldChar w:fldCharType="begin"/>
      </w:r>
      <w:r>
        <w:instrText xml:space="preserve"> NOTEREF _Ref15299070 \h </w:instrText>
      </w:r>
      <w:r>
        <w:fldChar w:fldCharType="separate"/>
      </w:r>
      <w:r>
        <w:t>308</w:t>
      </w:r>
      <w:r>
        <w:fldChar w:fldCharType="end"/>
      </w:r>
      <w:r>
        <w:t xml:space="preserve">, art 1289(2). </w:t>
      </w:r>
    </w:p>
  </w:footnote>
  <w:footnote w:id="365">
    <w:p w14:paraId="40946257" w14:textId="24E35FA6" w:rsidR="002774A4" w:rsidRPr="00713B98" w:rsidRDefault="002774A4">
      <w:pPr>
        <w:pStyle w:val="FootnoteText"/>
      </w:pPr>
      <w:r>
        <w:rPr>
          <w:rStyle w:val="FootnoteReference"/>
        </w:rPr>
        <w:footnoteRef/>
      </w:r>
      <w:r>
        <w:t xml:space="preserve"> Committee on the Rights of Persons with Disabilities, “General comment No.1,” </w:t>
      </w:r>
      <w:r>
        <w:rPr>
          <w:i/>
        </w:rPr>
        <w:t xml:space="preserve">supra </w:t>
      </w:r>
      <w:r>
        <w:t xml:space="preserve">note </w:t>
      </w:r>
      <w:r>
        <w:fldChar w:fldCharType="begin"/>
      </w:r>
      <w:r>
        <w:instrText xml:space="preserve"> NOTEREF _Ref15295251 \h </w:instrText>
      </w:r>
      <w:r>
        <w:fldChar w:fldCharType="separate"/>
      </w:r>
      <w:proofErr w:type="gramStart"/>
      <w:r>
        <w:t>7</w:t>
      </w:r>
      <w:proofErr w:type="gramEnd"/>
      <w:r>
        <w:fldChar w:fldCharType="end"/>
      </w:r>
      <w:r>
        <w:t xml:space="preserve"> at para 29.</w:t>
      </w:r>
    </w:p>
  </w:footnote>
  <w:footnote w:id="366">
    <w:p w14:paraId="365500B7" w14:textId="748B5205" w:rsidR="002774A4" w:rsidRPr="000F66B9" w:rsidRDefault="002774A4" w:rsidP="00420338">
      <w:pPr>
        <w:pStyle w:val="FootnoteText"/>
      </w:pPr>
      <w:r>
        <w:rPr>
          <w:rStyle w:val="FootnoteReference"/>
        </w:rPr>
        <w:footnoteRef/>
      </w:r>
      <w:r>
        <w:t xml:space="preserve"> Public Defender (Ombudsman) of Georgia, </w:t>
      </w:r>
      <w:r>
        <w:rPr>
          <w:i/>
        </w:rPr>
        <w:t xml:space="preserve">Legal Capacity – Legislative Reform Without Implementation: Study Report </w:t>
      </w:r>
      <w:r>
        <w:t>(2016) at 34, online: &lt;110</w:t>
      </w:r>
      <w:r w:rsidRPr="000F66B9">
        <w:t>http://www.ombudsman.ge/res/docs/2019040412214254520.pdf</w:t>
      </w:r>
    </w:p>
    <w:p w14:paraId="5CAF6C93" w14:textId="5DF0A8DF" w:rsidR="002774A4" w:rsidRPr="00765DF5" w:rsidRDefault="002774A4">
      <w:pPr>
        <w:pStyle w:val="FootnoteText"/>
      </w:pPr>
      <w:r>
        <w:t xml:space="preserve">&gt;. </w:t>
      </w:r>
    </w:p>
  </w:footnote>
  <w:footnote w:id="367">
    <w:p w14:paraId="4FCA6154" w14:textId="10B2A323" w:rsidR="002774A4" w:rsidRPr="00DA5EAF" w:rsidRDefault="002774A4">
      <w:pPr>
        <w:pStyle w:val="FootnoteText"/>
      </w:pPr>
      <w:r>
        <w:rPr>
          <w:rStyle w:val="FootnoteReference"/>
        </w:rPr>
        <w:footnoteRef/>
      </w:r>
      <w:r>
        <w:t xml:space="preserve"> </w:t>
      </w:r>
      <w:r>
        <w:rPr>
          <w:i/>
        </w:rPr>
        <w:t xml:space="preserve">Ibid </w:t>
      </w:r>
      <w:r>
        <w:t>at 35.</w:t>
      </w:r>
    </w:p>
  </w:footnote>
  <w:footnote w:id="368">
    <w:p w14:paraId="1767BDF5" w14:textId="07D3AE42" w:rsidR="002774A4" w:rsidRPr="002839F7" w:rsidRDefault="002774A4">
      <w:pPr>
        <w:pStyle w:val="FootnoteText"/>
        <w:rPr>
          <w:i/>
        </w:rPr>
      </w:pPr>
      <w:r>
        <w:rPr>
          <w:rStyle w:val="FootnoteReference"/>
        </w:rPr>
        <w:footnoteRef/>
      </w:r>
      <w:r>
        <w:t xml:space="preserve"> </w:t>
      </w:r>
      <w:r>
        <w:rPr>
          <w:i/>
        </w:rPr>
        <w:t>Ibid.</w:t>
      </w:r>
    </w:p>
  </w:footnote>
  <w:footnote w:id="369">
    <w:p w14:paraId="5D8451A4" w14:textId="301F9E43" w:rsidR="002774A4" w:rsidRPr="003C4716" w:rsidRDefault="002774A4">
      <w:pPr>
        <w:pStyle w:val="FootnoteText"/>
      </w:pPr>
      <w:r>
        <w:rPr>
          <w:rStyle w:val="FootnoteReference"/>
        </w:rPr>
        <w:footnoteRef/>
      </w:r>
      <w:r>
        <w:t xml:space="preserve"> </w:t>
      </w:r>
      <w:r w:rsidRPr="003C4716">
        <w:t>Council of Europe,</w:t>
      </w:r>
      <w:r>
        <w:t xml:space="preserve"> </w:t>
      </w:r>
      <w:r>
        <w:rPr>
          <w:i/>
        </w:rPr>
        <w:t xml:space="preserve">supra </w:t>
      </w:r>
      <w:r>
        <w:t xml:space="preserve">note </w:t>
      </w:r>
      <w:r>
        <w:fldChar w:fldCharType="begin"/>
      </w:r>
      <w:r>
        <w:instrText xml:space="preserve"> NOTEREF _Ref15299300 \h </w:instrText>
      </w:r>
      <w:r>
        <w:fldChar w:fldCharType="end"/>
      </w:r>
      <w:r>
        <w:fldChar w:fldCharType="begin"/>
      </w:r>
      <w:r>
        <w:instrText xml:space="preserve"> NOTEREF _Ref15299300 \h </w:instrText>
      </w:r>
      <w:r>
        <w:fldChar w:fldCharType="separate"/>
      </w:r>
      <w:r>
        <w:t>314</w:t>
      </w:r>
      <w:r>
        <w:fldChar w:fldCharType="end"/>
      </w:r>
      <w:r>
        <w:t xml:space="preserve"> at 44.</w:t>
      </w:r>
    </w:p>
  </w:footnote>
  <w:footnote w:id="370">
    <w:p w14:paraId="4341BB91" w14:textId="3DC65B72" w:rsidR="002774A4" w:rsidRPr="002755E5" w:rsidRDefault="002774A4">
      <w:pPr>
        <w:pStyle w:val="FootnoteText"/>
      </w:pPr>
      <w:r>
        <w:rPr>
          <w:rStyle w:val="FootnoteReference"/>
        </w:rPr>
        <w:footnoteRef/>
      </w:r>
      <w:r>
        <w:t xml:space="preserve"> </w:t>
      </w:r>
      <w:r w:rsidRPr="0047775B">
        <w:rPr>
          <w:i/>
        </w:rPr>
        <w:t>Ibid</w:t>
      </w:r>
      <w:r>
        <w:t>.</w:t>
      </w:r>
    </w:p>
  </w:footnote>
  <w:footnote w:id="371">
    <w:p w14:paraId="7703D04F" w14:textId="4D6CC50B" w:rsidR="002774A4" w:rsidRPr="00FF6037" w:rsidRDefault="002774A4">
      <w:pPr>
        <w:pStyle w:val="FootnoteText"/>
      </w:pPr>
      <w:r>
        <w:rPr>
          <w:rStyle w:val="FootnoteReference"/>
        </w:rPr>
        <w:footnoteRef/>
      </w:r>
      <w:r>
        <w:t xml:space="preserve"> Public Defender (Ombudsman) of Georgia, </w:t>
      </w:r>
      <w:r>
        <w:rPr>
          <w:i/>
        </w:rPr>
        <w:t xml:space="preserve">supra </w:t>
      </w:r>
      <w:r>
        <w:t xml:space="preserve">note </w:t>
      </w:r>
      <w:r>
        <w:fldChar w:fldCharType="begin"/>
      </w:r>
      <w:r>
        <w:instrText xml:space="preserve"> NOTEREF _Ref15299442 \h </w:instrText>
      </w:r>
      <w:r>
        <w:fldChar w:fldCharType="separate"/>
      </w:r>
      <w:r>
        <w:t>366</w:t>
      </w:r>
      <w:r>
        <w:fldChar w:fldCharType="end"/>
      </w:r>
      <w:r>
        <w:t xml:space="preserve"> at 28. </w:t>
      </w:r>
    </w:p>
  </w:footnote>
  <w:footnote w:id="372">
    <w:p w14:paraId="6D209939" w14:textId="0A854725" w:rsidR="002774A4" w:rsidRPr="00F354F8" w:rsidRDefault="002774A4">
      <w:pPr>
        <w:pStyle w:val="FootnoteText"/>
      </w:pPr>
      <w:r>
        <w:rPr>
          <w:rStyle w:val="FootnoteReference"/>
        </w:rPr>
        <w:footnoteRef/>
      </w:r>
      <w:r>
        <w:t xml:space="preserve"> </w:t>
      </w:r>
      <w:r>
        <w:rPr>
          <w:i/>
        </w:rPr>
        <w:t>Ibid.</w:t>
      </w:r>
    </w:p>
  </w:footnote>
  <w:footnote w:id="373">
    <w:p w14:paraId="6B41A673" w14:textId="39FB9A48" w:rsidR="002774A4" w:rsidRPr="00584B46" w:rsidRDefault="002774A4" w:rsidP="00584B46">
      <w:pPr>
        <w:pStyle w:val="NormalWeb"/>
        <w:spacing w:before="0" w:beforeAutospacing="0" w:after="0" w:afterAutospacing="0"/>
        <w:rPr>
          <w:sz w:val="20"/>
          <w:szCs w:val="20"/>
        </w:rPr>
      </w:pPr>
      <w:r w:rsidRPr="00584B46">
        <w:rPr>
          <w:rStyle w:val="FootnoteReference"/>
          <w:sz w:val="20"/>
          <w:szCs w:val="20"/>
        </w:rPr>
        <w:footnoteRef/>
      </w:r>
      <w:r w:rsidRPr="00584B46">
        <w:rPr>
          <w:sz w:val="20"/>
          <w:szCs w:val="20"/>
        </w:rPr>
        <w:t xml:space="preserve"> </w:t>
      </w:r>
      <w:r w:rsidRPr="000266C5">
        <w:rPr>
          <w:i/>
          <w:color w:val="000000" w:themeColor="text1"/>
          <w:sz w:val="20"/>
          <w:szCs w:val="20"/>
        </w:rPr>
        <w:t xml:space="preserve">Act No. 89/2012 Coll. Civil Code, </w:t>
      </w:r>
      <w:r>
        <w:rPr>
          <w:color w:val="000000" w:themeColor="text1"/>
          <w:sz w:val="20"/>
          <w:szCs w:val="20"/>
        </w:rPr>
        <w:t xml:space="preserve">Czech Republic, </w:t>
      </w:r>
      <w:proofErr w:type="gramStart"/>
      <w:r>
        <w:rPr>
          <w:color w:val="000000" w:themeColor="text1"/>
          <w:sz w:val="20"/>
          <w:szCs w:val="20"/>
        </w:rPr>
        <w:t>3</w:t>
      </w:r>
      <w:proofErr w:type="gramEnd"/>
      <w:r>
        <w:rPr>
          <w:color w:val="000000" w:themeColor="text1"/>
          <w:sz w:val="20"/>
          <w:szCs w:val="20"/>
        </w:rPr>
        <w:t xml:space="preserve"> February 2012, </w:t>
      </w:r>
      <w:r w:rsidRPr="000266C5">
        <w:rPr>
          <w:color w:val="000000" w:themeColor="text1"/>
          <w:sz w:val="20"/>
          <w:szCs w:val="20"/>
        </w:rPr>
        <w:t>online</w:t>
      </w:r>
      <w:r w:rsidRPr="00584B46">
        <w:rPr>
          <w:color w:val="262323"/>
          <w:sz w:val="20"/>
          <w:szCs w:val="20"/>
        </w:rPr>
        <w:t>:</w:t>
      </w:r>
      <w:r>
        <w:rPr>
          <w:color w:val="262323"/>
          <w:sz w:val="20"/>
          <w:szCs w:val="20"/>
        </w:rPr>
        <w:t xml:space="preserve"> &lt;</w:t>
      </w:r>
      <w:r w:rsidRPr="00AF6A80">
        <w:rPr>
          <w:color w:val="262323"/>
          <w:sz w:val="20"/>
          <w:szCs w:val="20"/>
        </w:rPr>
        <w:t>https://www.mdac.org/sites/mdac.info/files/final_czechcivilcode.doc</w:t>
      </w:r>
      <w:r>
        <w:rPr>
          <w:color w:val="262323"/>
          <w:sz w:val="20"/>
          <w:szCs w:val="20"/>
        </w:rPr>
        <w:t>&gt;.</w:t>
      </w:r>
    </w:p>
  </w:footnote>
  <w:footnote w:id="374">
    <w:p w14:paraId="22C748F8" w14:textId="0DA41E33" w:rsidR="002774A4" w:rsidRPr="00584B46" w:rsidRDefault="002774A4" w:rsidP="00584B46">
      <w:pPr>
        <w:pStyle w:val="FootnoteText"/>
      </w:pPr>
      <w:r w:rsidRPr="00584B46">
        <w:rPr>
          <w:rStyle w:val="FootnoteReference"/>
        </w:rPr>
        <w:footnoteRef/>
      </w:r>
      <w:r w:rsidRPr="00584B46">
        <w:t xml:space="preserve"> </w:t>
      </w:r>
      <w:r>
        <w:t xml:space="preserve">Mental Disability Advocacy Centre (MDAC), “Czech Republic Enacts Legal Capacity Reform” (21 February 2012), online: </w:t>
      </w:r>
      <w:r>
        <w:rPr>
          <w:i/>
        </w:rPr>
        <w:t>MDAC</w:t>
      </w:r>
      <w:r>
        <w:t xml:space="preserve"> &lt;</w:t>
      </w:r>
      <w:r w:rsidRPr="00584B46">
        <w:t>https://www.mdac.org/en/news/czech-republic-enacts-legal-capacity-law-reform</w:t>
      </w:r>
      <w:r>
        <w:t>&gt;.</w:t>
      </w:r>
    </w:p>
  </w:footnote>
  <w:footnote w:id="375">
    <w:p w14:paraId="55F284BD" w14:textId="2230D312" w:rsidR="002774A4" w:rsidRPr="00BB1BD3" w:rsidRDefault="002774A4" w:rsidP="00584B46">
      <w:pPr>
        <w:pStyle w:val="FootnoteText"/>
      </w:pPr>
      <w:r w:rsidRPr="00584B46">
        <w:rPr>
          <w:rStyle w:val="FootnoteReference"/>
        </w:rPr>
        <w:footnoteRef/>
      </w:r>
      <w:r w:rsidRPr="00584B46">
        <w:t xml:space="preserve"> Kanter &amp; </w:t>
      </w:r>
      <w:proofErr w:type="spellStart"/>
      <w:r w:rsidRPr="00584B46">
        <w:t>Tolub</w:t>
      </w:r>
      <w:proofErr w:type="spellEnd"/>
      <w:r w:rsidRPr="00584B46">
        <w:t xml:space="preserve">, </w:t>
      </w:r>
      <w:r w:rsidRPr="00584B46">
        <w:rPr>
          <w:i/>
        </w:rPr>
        <w:t xml:space="preserve">supra </w:t>
      </w:r>
      <w:r w:rsidRPr="00584B46">
        <w:t xml:space="preserve">note </w:t>
      </w:r>
      <w:r>
        <w:fldChar w:fldCharType="begin"/>
      </w:r>
      <w:r>
        <w:instrText xml:space="preserve"> NOTEREF _Ref15298534 \h </w:instrText>
      </w:r>
      <w:r>
        <w:fldChar w:fldCharType="separate"/>
      </w:r>
      <w:r>
        <w:t>108</w:t>
      </w:r>
      <w:r>
        <w:fldChar w:fldCharType="end"/>
      </w:r>
      <w:r>
        <w:t xml:space="preserve"> </w:t>
      </w:r>
      <w:r w:rsidRPr="00584B46">
        <w:t>at 600.</w:t>
      </w:r>
    </w:p>
  </w:footnote>
  <w:footnote w:id="376">
    <w:p w14:paraId="19EE420E" w14:textId="0A421FFD" w:rsidR="002774A4" w:rsidRPr="0047775B" w:rsidRDefault="002774A4">
      <w:pPr>
        <w:pStyle w:val="FootnoteText"/>
      </w:pPr>
      <w:r>
        <w:rPr>
          <w:rStyle w:val="FootnoteReference"/>
        </w:rPr>
        <w:footnoteRef/>
      </w:r>
      <w:r>
        <w:t xml:space="preserve"> “Convention on the Rights of Persons with Disabilities,” </w:t>
      </w:r>
      <w:r>
        <w:rPr>
          <w:i/>
        </w:rPr>
        <w:t xml:space="preserve">supra </w:t>
      </w:r>
      <w:r>
        <w:t xml:space="preserve">note </w:t>
      </w:r>
      <w:r>
        <w:fldChar w:fldCharType="begin"/>
      </w:r>
      <w:r>
        <w:instrText xml:space="preserve"> NOTEREF _Ref15297432 \h </w:instrText>
      </w:r>
      <w:r>
        <w:fldChar w:fldCharType="separate"/>
      </w:r>
      <w:r>
        <w:t>20</w:t>
      </w:r>
      <w:r>
        <w:fldChar w:fldCharType="end"/>
      </w:r>
      <w:r>
        <w:t>.</w:t>
      </w:r>
    </w:p>
  </w:footnote>
  <w:footnote w:id="377">
    <w:p w14:paraId="654D3CAD" w14:textId="70D939E1" w:rsidR="002774A4" w:rsidRPr="006356FD" w:rsidRDefault="002774A4">
      <w:pPr>
        <w:pStyle w:val="FootnoteText"/>
      </w:pPr>
      <w:r>
        <w:rPr>
          <w:rStyle w:val="FootnoteReference"/>
        </w:rPr>
        <w:footnoteRef/>
      </w:r>
      <w:r>
        <w:t xml:space="preserve"> MDAC, “Czech Republic Enacts Legal Capacity Reform,” </w:t>
      </w:r>
      <w:r>
        <w:rPr>
          <w:i/>
        </w:rPr>
        <w:t xml:space="preserve">supra </w:t>
      </w:r>
      <w:r>
        <w:t xml:space="preserve">note </w:t>
      </w:r>
      <w:r>
        <w:fldChar w:fldCharType="begin"/>
      </w:r>
      <w:r>
        <w:instrText xml:space="preserve"> NOTEREF _Ref15466594 \h </w:instrText>
      </w:r>
      <w:r>
        <w:fldChar w:fldCharType="separate"/>
      </w:r>
      <w:r>
        <w:t>374</w:t>
      </w:r>
      <w:r>
        <w:fldChar w:fldCharType="end"/>
      </w:r>
      <w:r>
        <w:t>.</w:t>
      </w:r>
    </w:p>
  </w:footnote>
  <w:footnote w:id="378">
    <w:p w14:paraId="0FC372DA" w14:textId="77777777" w:rsidR="002774A4" w:rsidRPr="00712318" w:rsidRDefault="002774A4" w:rsidP="00CF4E04">
      <w:pPr>
        <w:pStyle w:val="FootnoteText"/>
        <w:rPr>
          <w:i/>
        </w:rPr>
      </w:pPr>
      <w:r>
        <w:rPr>
          <w:rStyle w:val="FootnoteReference"/>
        </w:rPr>
        <w:footnoteRef/>
      </w:r>
      <w:r>
        <w:t xml:space="preserve"> </w:t>
      </w:r>
      <w:r>
        <w:rPr>
          <w:i/>
        </w:rPr>
        <w:t>Ibid.</w:t>
      </w:r>
    </w:p>
  </w:footnote>
  <w:footnote w:id="379">
    <w:p w14:paraId="5819BE2E" w14:textId="77777777" w:rsidR="002774A4" w:rsidRPr="00016A1D" w:rsidRDefault="002774A4" w:rsidP="00CF4E04">
      <w:pPr>
        <w:pStyle w:val="FootnoteText"/>
      </w:pPr>
      <w:r>
        <w:rPr>
          <w:rStyle w:val="FootnoteReference"/>
        </w:rPr>
        <w:footnoteRef/>
      </w:r>
      <w:r>
        <w:t xml:space="preserve"> </w:t>
      </w:r>
      <w:r>
        <w:rPr>
          <w:i/>
        </w:rPr>
        <w:t>Ibid.</w:t>
      </w:r>
    </w:p>
  </w:footnote>
  <w:footnote w:id="380">
    <w:p w14:paraId="5532A441" w14:textId="3E44AB48" w:rsidR="002774A4" w:rsidRPr="004D22D0" w:rsidRDefault="002774A4">
      <w:pPr>
        <w:pStyle w:val="FootnoteText"/>
      </w:pPr>
      <w:r>
        <w:rPr>
          <w:rStyle w:val="FootnoteReference"/>
        </w:rPr>
        <w:footnoteRef/>
      </w:r>
      <w:r>
        <w:t xml:space="preserve"> </w:t>
      </w:r>
      <w:r>
        <w:rPr>
          <w:i/>
        </w:rPr>
        <w:t>Ibid.</w:t>
      </w:r>
    </w:p>
  </w:footnote>
  <w:footnote w:id="381">
    <w:p w14:paraId="6508FDA6" w14:textId="7843F279" w:rsidR="002774A4" w:rsidRPr="009572FF" w:rsidRDefault="002774A4" w:rsidP="00CF4E04">
      <w:pPr>
        <w:pStyle w:val="FootnoteText"/>
      </w:pPr>
      <w:r>
        <w:rPr>
          <w:rStyle w:val="FootnoteReference"/>
        </w:rPr>
        <w:footnoteRef/>
      </w:r>
      <w:r>
        <w:t xml:space="preserve"> </w:t>
      </w:r>
      <w:r w:rsidRPr="00584B46">
        <w:rPr>
          <w:i/>
        </w:rPr>
        <w:t>Czech Civil Code</w:t>
      </w:r>
      <w:r w:rsidRPr="00584B46">
        <w:t>,</w:t>
      </w:r>
      <w:r>
        <w:t xml:space="preserve"> </w:t>
      </w:r>
      <w:r>
        <w:rPr>
          <w:i/>
        </w:rPr>
        <w:t xml:space="preserve">supra </w:t>
      </w:r>
      <w:r>
        <w:t xml:space="preserve">note </w:t>
      </w:r>
      <w:r>
        <w:fldChar w:fldCharType="begin"/>
      </w:r>
      <w:r>
        <w:instrText xml:space="preserve"> NOTEREF _Ref15299504 \h </w:instrText>
      </w:r>
      <w:r>
        <w:fldChar w:fldCharType="separate"/>
      </w:r>
      <w:r>
        <w:t>373</w:t>
      </w:r>
      <w:r>
        <w:fldChar w:fldCharType="end"/>
      </w:r>
      <w:r>
        <w:t>, s 57(1).</w:t>
      </w:r>
    </w:p>
  </w:footnote>
  <w:footnote w:id="382">
    <w:p w14:paraId="24F7AFCF" w14:textId="36803487" w:rsidR="002774A4" w:rsidRPr="008D54BA" w:rsidRDefault="002774A4" w:rsidP="00CF4E04">
      <w:pPr>
        <w:pStyle w:val="FootnoteText"/>
      </w:pPr>
      <w:r>
        <w:rPr>
          <w:rStyle w:val="FootnoteReference"/>
        </w:rPr>
        <w:footnoteRef/>
      </w:r>
      <w:r>
        <w:t xml:space="preserve"> </w:t>
      </w:r>
      <w:r>
        <w:rPr>
          <w:i/>
        </w:rPr>
        <w:t xml:space="preserve">Ibid, </w:t>
      </w:r>
      <w:r>
        <w:t>s 55(1).</w:t>
      </w:r>
    </w:p>
  </w:footnote>
  <w:footnote w:id="383">
    <w:p w14:paraId="4D205E42" w14:textId="1846D52B" w:rsidR="002774A4" w:rsidRPr="001E6879" w:rsidRDefault="002774A4" w:rsidP="00CF4E04">
      <w:pPr>
        <w:pStyle w:val="FootnoteText"/>
      </w:pPr>
      <w:r>
        <w:rPr>
          <w:rStyle w:val="FootnoteReference"/>
        </w:rPr>
        <w:footnoteRef/>
      </w:r>
      <w:r>
        <w:t xml:space="preserve"> </w:t>
      </w:r>
      <w:r>
        <w:rPr>
          <w:i/>
        </w:rPr>
        <w:t xml:space="preserve">Ibid, </w:t>
      </w:r>
      <w:r>
        <w:t>s 62.</w:t>
      </w:r>
    </w:p>
  </w:footnote>
  <w:footnote w:id="384">
    <w:p w14:paraId="6DCCDD72" w14:textId="126090B8" w:rsidR="002774A4" w:rsidRPr="00CC50DB" w:rsidRDefault="002774A4" w:rsidP="00CF4E04">
      <w:pPr>
        <w:pStyle w:val="FootnoteText"/>
      </w:pPr>
      <w:r>
        <w:rPr>
          <w:rStyle w:val="FootnoteReference"/>
        </w:rPr>
        <w:footnoteRef/>
      </w:r>
      <w:r>
        <w:t xml:space="preserve"> </w:t>
      </w:r>
      <w:r>
        <w:rPr>
          <w:i/>
        </w:rPr>
        <w:t xml:space="preserve">Ibid, </w:t>
      </w:r>
      <w:r>
        <w:t>s 55(2).</w:t>
      </w:r>
      <w:r w:rsidRPr="00CC50DB">
        <w:t xml:space="preserve"> </w:t>
      </w:r>
    </w:p>
  </w:footnote>
  <w:footnote w:id="385">
    <w:p w14:paraId="67584597" w14:textId="77038BE8" w:rsidR="002774A4" w:rsidRPr="001345F8" w:rsidRDefault="002774A4" w:rsidP="00CF4E04">
      <w:pPr>
        <w:pStyle w:val="FootnoteText"/>
      </w:pPr>
      <w:r>
        <w:rPr>
          <w:rStyle w:val="FootnoteReference"/>
        </w:rPr>
        <w:footnoteRef/>
      </w:r>
      <w:r>
        <w:t xml:space="preserve"> </w:t>
      </w:r>
      <w:r>
        <w:rPr>
          <w:i/>
        </w:rPr>
        <w:t>Ibid</w:t>
      </w:r>
      <w:r>
        <w:t>.</w:t>
      </w:r>
    </w:p>
  </w:footnote>
  <w:footnote w:id="386">
    <w:p w14:paraId="40729057" w14:textId="571A213F" w:rsidR="002774A4" w:rsidRPr="00C5386A" w:rsidRDefault="002774A4" w:rsidP="00CF4E04">
      <w:pPr>
        <w:pStyle w:val="FootnoteText"/>
      </w:pPr>
      <w:r>
        <w:rPr>
          <w:rStyle w:val="FootnoteReference"/>
        </w:rPr>
        <w:footnoteRef/>
      </w:r>
      <w:r>
        <w:t xml:space="preserve"> </w:t>
      </w:r>
      <w:r>
        <w:rPr>
          <w:i/>
        </w:rPr>
        <w:t xml:space="preserve">Ibid, </w:t>
      </w:r>
      <w:r>
        <w:t>s 59.</w:t>
      </w:r>
    </w:p>
  </w:footnote>
  <w:footnote w:id="387">
    <w:p w14:paraId="06183552" w14:textId="1475E827" w:rsidR="002774A4" w:rsidRPr="00767CFE" w:rsidRDefault="002774A4" w:rsidP="00CF4E04">
      <w:pPr>
        <w:pStyle w:val="FootnoteText"/>
      </w:pPr>
      <w:r>
        <w:rPr>
          <w:rStyle w:val="FootnoteReference"/>
        </w:rPr>
        <w:footnoteRef/>
      </w:r>
      <w:r>
        <w:t xml:space="preserve"> </w:t>
      </w:r>
      <w:r>
        <w:rPr>
          <w:i/>
        </w:rPr>
        <w:t xml:space="preserve">Ibid, </w:t>
      </w:r>
      <w:r>
        <w:t>s 64.</w:t>
      </w:r>
    </w:p>
  </w:footnote>
  <w:footnote w:id="388">
    <w:p w14:paraId="69C24ADA" w14:textId="4AF960D6" w:rsidR="002774A4" w:rsidRPr="008E0C07" w:rsidRDefault="002774A4" w:rsidP="00CF4E04">
      <w:pPr>
        <w:pStyle w:val="FootnoteText"/>
      </w:pPr>
      <w:r>
        <w:rPr>
          <w:rStyle w:val="FootnoteReference"/>
        </w:rPr>
        <w:footnoteRef/>
      </w:r>
      <w:r>
        <w:t xml:space="preserve"> </w:t>
      </w:r>
      <w:r w:rsidRPr="003C4716">
        <w:t>Council of Europe,</w:t>
      </w:r>
      <w:r>
        <w:t xml:space="preserve"> </w:t>
      </w:r>
      <w:r>
        <w:rPr>
          <w:i/>
        </w:rPr>
        <w:t xml:space="preserve">supra </w:t>
      </w:r>
      <w:r>
        <w:t xml:space="preserve">note </w:t>
      </w:r>
      <w:r>
        <w:fldChar w:fldCharType="begin"/>
      </w:r>
      <w:r>
        <w:instrText xml:space="preserve"> NOTEREF _Ref15299300 \h </w:instrText>
      </w:r>
      <w:r>
        <w:fldChar w:fldCharType="separate"/>
      </w:r>
      <w:r>
        <w:t>314</w:t>
      </w:r>
      <w:r>
        <w:fldChar w:fldCharType="end"/>
      </w:r>
      <w:r>
        <w:t xml:space="preserve"> at 37.</w:t>
      </w:r>
    </w:p>
  </w:footnote>
  <w:footnote w:id="389">
    <w:p w14:paraId="5DBE72A6" w14:textId="5B49EF76" w:rsidR="002774A4" w:rsidRPr="00EF2A98" w:rsidRDefault="002774A4" w:rsidP="00CF4E04">
      <w:pPr>
        <w:pStyle w:val="FootnoteText"/>
      </w:pPr>
      <w:r>
        <w:rPr>
          <w:rStyle w:val="FootnoteReference"/>
        </w:rPr>
        <w:footnoteRef/>
      </w:r>
      <w:r>
        <w:t xml:space="preserve"> </w:t>
      </w:r>
      <w:r w:rsidRPr="00584B46">
        <w:rPr>
          <w:i/>
        </w:rPr>
        <w:t>Czech Civil Code</w:t>
      </w:r>
      <w:r w:rsidRPr="00584B46">
        <w:t>,</w:t>
      </w:r>
      <w:r>
        <w:t xml:space="preserve"> </w:t>
      </w:r>
      <w:r>
        <w:rPr>
          <w:i/>
        </w:rPr>
        <w:t xml:space="preserve">supra </w:t>
      </w:r>
      <w:r>
        <w:t xml:space="preserve">note </w:t>
      </w:r>
      <w:r>
        <w:fldChar w:fldCharType="begin"/>
      </w:r>
      <w:r>
        <w:instrText xml:space="preserve"> NOTEREF _Ref15299504 \h </w:instrText>
      </w:r>
      <w:r>
        <w:fldChar w:fldCharType="separate"/>
      </w:r>
      <w:r>
        <w:t>373</w:t>
      </w:r>
      <w:r>
        <w:fldChar w:fldCharType="end"/>
      </w:r>
      <w:r>
        <w:t>, s 450.</w:t>
      </w:r>
    </w:p>
  </w:footnote>
  <w:footnote w:id="390">
    <w:p w14:paraId="6E4121E5" w14:textId="6A606853" w:rsidR="002774A4" w:rsidRPr="00FC0075" w:rsidRDefault="002774A4" w:rsidP="00CF4E04">
      <w:pPr>
        <w:pStyle w:val="FootnoteText"/>
      </w:pPr>
      <w:r>
        <w:rPr>
          <w:rStyle w:val="FootnoteReference"/>
        </w:rPr>
        <w:footnoteRef/>
      </w:r>
      <w:r>
        <w:t xml:space="preserve"> </w:t>
      </w:r>
      <w:r>
        <w:rPr>
          <w:i/>
        </w:rPr>
        <w:t xml:space="preserve">Ibid, </w:t>
      </w:r>
      <w:proofErr w:type="spellStart"/>
      <w:r>
        <w:t>ss</w:t>
      </w:r>
      <w:proofErr w:type="spellEnd"/>
      <w:r>
        <w:t xml:space="preserve"> 465-477.</w:t>
      </w:r>
    </w:p>
  </w:footnote>
  <w:footnote w:id="391">
    <w:p w14:paraId="53BE34FE" w14:textId="11F03F84" w:rsidR="002774A4" w:rsidRPr="004831CB" w:rsidRDefault="002774A4" w:rsidP="00CF4E04">
      <w:pPr>
        <w:pStyle w:val="FootnoteText"/>
      </w:pPr>
      <w:r>
        <w:rPr>
          <w:rStyle w:val="FootnoteReference"/>
        </w:rPr>
        <w:footnoteRef/>
      </w:r>
      <w:r>
        <w:t xml:space="preserve"> </w:t>
      </w:r>
      <w:r>
        <w:rPr>
          <w:i/>
        </w:rPr>
        <w:t xml:space="preserve">Ibid, </w:t>
      </w:r>
      <w:r>
        <w:t>s 465(1).</w:t>
      </w:r>
    </w:p>
  </w:footnote>
  <w:footnote w:id="392">
    <w:p w14:paraId="750287F6" w14:textId="3174C21C" w:rsidR="002774A4" w:rsidRPr="00BE74C3" w:rsidRDefault="002774A4">
      <w:pPr>
        <w:pStyle w:val="FootnoteText"/>
      </w:pPr>
      <w:r>
        <w:rPr>
          <w:rStyle w:val="FootnoteReference"/>
        </w:rPr>
        <w:footnoteRef/>
      </w:r>
      <w:r>
        <w:t xml:space="preserve"> </w:t>
      </w:r>
      <w:r>
        <w:rPr>
          <w:i/>
        </w:rPr>
        <w:t xml:space="preserve">Ibid, </w:t>
      </w:r>
      <w:r>
        <w:t>s 458.</w:t>
      </w:r>
    </w:p>
  </w:footnote>
  <w:footnote w:id="393">
    <w:p w14:paraId="4B26A29F" w14:textId="3BBC6BFB" w:rsidR="002774A4" w:rsidRPr="00A42B9B" w:rsidRDefault="002774A4">
      <w:pPr>
        <w:pStyle w:val="FootnoteText"/>
      </w:pPr>
      <w:r>
        <w:rPr>
          <w:rStyle w:val="FootnoteReference"/>
        </w:rPr>
        <w:footnoteRef/>
      </w:r>
      <w:r>
        <w:t xml:space="preserve"> </w:t>
      </w:r>
      <w:r>
        <w:rPr>
          <w:i/>
        </w:rPr>
        <w:t xml:space="preserve">Ibid, </w:t>
      </w:r>
      <w:r>
        <w:t>s 462(1).</w:t>
      </w:r>
    </w:p>
  </w:footnote>
  <w:footnote w:id="394">
    <w:p w14:paraId="6F2469F6" w14:textId="01A6B005" w:rsidR="002774A4" w:rsidRPr="0060761F" w:rsidRDefault="002774A4">
      <w:pPr>
        <w:pStyle w:val="FootnoteText"/>
        <w:rPr>
          <w:i/>
        </w:rPr>
      </w:pPr>
      <w:r>
        <w:rPr>
          <w:rStyle w:val="FootnoteReference"/>
        </w:rPr>
        <w:footnoteRef/>
      </w:r>
      <w:r>
        <w:t xml:space="preserve"> </w:t>
      </w:r>
      <w:r>
        <w:rPr>
          <w:i/>
        </w:rPr>
        <w:t>Ibid.</w:t>
      </w:r>
    </w:p>
  </w:footnote>
  <w:footnote w:id="395">
    <w:p w14:paraId="191850B0" w14:textId="6FA4A1AE" w:rsidR="002774A4" w:rsidRPr="000055D5" w:rsidRDefault="002774A4">
      <w:pPr>
        <w:pStyle w:val="FootnoteText"/>
      </w:pPr>
      <w:r>
        <w:rPr>
          <w:rStyle w:val="FootnoteReference"/>
        </w:rPr>
        <w:footnoteRef/>
      </w:r>
      <w:r>
        <w:t xml:space="preserve"> </w:t>
      </w:r>
      <w:r>
        <w:rPr>
          <w:i/>
        </w:rPr>
        <w:t xml:space="preserve">Ibid, </w:t>
      </w:r>
      <w:r>
        <w:t>s 462(2).</w:t>
      </w:r>
    </w:p>
  </w:footnote>
  <w:footnote w:id="396">
    <w:p w14:paraId="7673EE79" w14:textId="6E9209F0" w:rsidR="002774A4" w:rsidRPr="00CE0771" w:rsidRDefault="002774A4" w:rsidP="00502E79">
      <w:pPr>
        <w:pStyle w:val="FootnoteText"/>
      </w:pPr>
      <w:r>
        <w:rPr>
          <w:rStyle w:val="FootnoteReference"/>
        </w:rPr>
        <w:footnoteRef/>
      </w:r>
      <w:r>
        <w:t xml:space="preserve"> </w:t>
      </w:r>
      <w:r>
        <w:rPr>
          <w:i/>
        </w:rPr>
        <w:t xml:space="preserve">Ibid, </w:t>
      </w:r>
      <w:r>
        <w:t>s 45.</w:t>
      </w:r>
    </w:p>
  </w:footnote>
  <w:footnote w:id="397">
    <w:p w14:paraId="58908846" w14:textId="17D2462E" w:rsidR="002774A4" w:rsidRPr="00057473" w:rsidRDefault="002774A4" w:rsidP="00502E79">
      <w:pPr>
        <w:pStyle w:val="FootnoteText"/>
      </w:pPr>
      <w:r>
        <w:rPr>
          <w:rStyle w:val="FootnoteReference"/>
        </w:rPr>
        <w:footnoteRef/>
      </w:r>
      <w:r>
        <w:t xml:space="preserve"> </w:t>
      </w:r>
      <w:r>
        <w:rPr>
          <w:i/>
        </w:rPr>
        <w:t xml:space="preserve">Ibid, </w:t>
      </w:r>
      <w:r>
        <w:t>s 46(1).</w:t>
      </w:r>
    </w:p>
  </w:footnote>
  <w:footnote w:id="398">
    <w:p w14:paraId="3BC8CA0F" w14:textId="77777777" w:rsidR="002774A4" w:rsidRPr="004D5851" w:rsidRDefault="002774A4" w:rsidP="00502E79">
      <w:pPr>
        <w:pStyle w:val="FootnoteText"/>
        <w:rPr>
          <w:i/>
        </w:rPr>
      </w:pPr>
      <w:r>
        <w:rPr>
          <w:rStyle w:val="FootnoteReference"/>
        </w:rPr>
        <w:footnoteRef/>
      </w:r>
      <w:r>
        <w:t xml:space="preserve"> </w:t>
      </w:r>
      <w:r>
        <w:rPr>
          <w:i/>
        </w:rPr>
        <w:t>Ibid.</w:t>
      </w:r>
    </w:p>
  </w:footnote>
  <w:footnote w:id="399">
    <w:p w14:paraId="20FC791E" w14:textId="07831A5A" w:rsidR="002774A4" w:rsidRPr="00742147" w:rsidRDefault="002774A4" w:rsidP="00502E79">
      <w:pPr>
        <w:pStyle w:val="FootnoteText"/>
      </w:pPr>
      <w:r>
        <w:rPr>
          <w:rStyle w:val="FootnoteReference"/>
        </w:rPr>
        <w:footnoteRef/>
      </w:r>
      <w:r>
        <w:t xml:space="preserve"> </w:t>
      </w:r>
      <w:r>
        <w:rPr>
          <w:i/>
        </w:rPr>
        <w:t xml:space="preserve">Ibid, </w:t>
      </w:r>
      <w:r>
        <w:t>s 46(2).</w:t>
      </w:r>
    </w:p>
  </w:footnote>
  <w:footnote w:id="400">
    <w:p w14:paraId="10BF3B4F" w14:textId="319E00DE" w:rsidR="002774A4" w:rsidRPr="00654A73" w:rsidRDefault="002774A4" w:rsidP="00502E79">
      <w:pPr>
        <w:pStyle w:val="FootnoteText"/>
      </w:pPr>
      <w:r>
        <w:rPr>
          <w:rStyle w:val="FootnoteReference"/>
        </w:rPr>
        <w:footnoteRef/>
      </w:r>
      <w:r>
        <w:t xml:space="preserve"> </w:t>
      </w:r>
      <w:r>
        <w:rPr>
          <w:i/>
        </w:rPr>
        <w:t>Ibid</w:t>
      </w:r>
      <w:r>
        <w:t>.</w:t>
      </w:r>
    </w:p>
  </w:footnote>
  <w:footnote w:id="401">
    <w:p w14:paraId="1352FD26" w14:textId="4A328F75" w:rsidR="002774A4" w:rsidRPr="00CC4378" w:rsidRDefault="002774A4" w:rsidP="00502E79">
      <w:pPr>
        <w:pStyle w:val="FootnoteText"/>
      </w:pPr>
      <w:r>
        <w:rPr>
          <w:rStyle w:val="FootnoteReference"/>
        </w:rPr>
        <w:footnoteRef/>
      </w:r>
      <w:r>
        <w:t xml:space="preserve"> </w:t>
      </w:r>
      <w:r>
        <w:rPr>
          <w:i/>
        </w:rPr>
        <w:t xml:space="preserve">Ibid, </w:t>
      </w:r>
      <w:r>
        <w:t>s 47(1).</w:t>
      </w:r>
    </w:p>
  </w:footnote>
  <w:footnote w:id="402">
    <w:p w14:paraId="71C65E2A" w14:textId="3CAA5183" w:rsidR="002774A4" w:rsidRPr="00CC4378" w:rsidRDefault="002774A4" w:rsidP="00502E79">
      <w:pPr>
        <w:pStyle w:val="FootnoteText"/>
      </w:pPr>
      <w:r>
        <w:rPr>
          <w:rStyle w:val="FootnoteReference"/>
        </w:rPr>
        <w:footnoteRef/>
      </w:r>
      <w:r>
        <w:t xml:space="preserve"> </w:t>
      </w:r>
      <w:r>
        <w:rPr>
          <w:i/>
        </w:rPr>
        <w:t xml:space="preserve">Ibid, </w:t>
      </w:r>
      <w:r>
        <w:t>s 47(2).</w:t>
      </w:r>
    </w:p>
  </w:footnote>
  <w:footnote w:id="403">
    <w:p w14:paraId="40A83355" w14:textId="11910873" w:rsidR="002774A4" w:rsidRPr="00045109" w:rsidRDefault="002774A4">
      <w:pPr>
        <w:pStyle w:val="FootnoteText"/>
        <w:rPr>
          <w:i/>
        </w:rPr>
      </w:pPr>
      <w:r>
        <w:rPr>
          <w:rStyle w:val="FootnoteReference"/>
        </w:rPr>
        <w:footnoteRef/>
      </w:r>
      <w:r>
        <w:t xml:space="preserve"> </w:t>
      </w:r>
      <w:r>
        <w:rPr>
          <w:i/>
        </w:rPr>
        <w:t>Ibid.</w:t>
      </w:r>
    </w:p>
  </w:footnote>
  <w:footnote w:id="404">
    <w:p w14:paraId="62175669" w14:textId="061F624C" w:rsidR="002774A4" w:rsidRPr="001956B1" w:rsidRDefault="002774A4" w:rsidP="00502E79">
      <w:pPr>
        <w:pStyle w:val="FootnoteText"/>
      </w:pPr>
      <w:r>
        <w:rPr>
          <w:rStyle w:val="FootnoteReference"/>
        </w:rPr>
        <w:footnoteRef/>
      </w:r>
      <w:r>
        <w:t xml:space="preserve"> </w:t>
      </w:r>
      <w:r>
        <w:rPr>
          <w:i/>
        </w:rPr>
        <w:t xml:space="preserve">Ibid, </w:t>
      </w:r>
      <w:r>
        <w:t>s 48.</w:t>
      </w:r>
    </w:p>
  </w:footnote>
  <w:footnote w:id="405">
    <w:p w14:paraId="345ADC60" w14:textId="1D5B14A0" w:rsidR="002774A4" w:rsidRPr="00745010" w:rsidRDefault="002774A4" w:rsidP="00502E79">
      <w:pPr>
        <w:pStyle w:val="FootnoteText"/>
      </w:pPr>
      <w:r>
        <w:rPr>
          <w:rStyle w:val="FootnoteReference"/>
        </w:rPr>
        <w:footnoteRef/>
      </w:r>
      <w:r>
        <w:t xml:space="preserve"> </w:t>
      </w:r>
      <w:r>
        <w:rPr>
          <w:i/>
        </w:rPr>
        <w:t xml:space="preserve">Ibid, </w:t>
      </w:r>
      <w:r>
        <w:t>s 38(1).</w:t>
      </w:r>
    </w:p>
  </w:footnote>
  <w:footnote w:id="406">
    <w:p w14:paraId="1CC52DBD" w14:textId="77777777" w:rsidR="002774A4" w:rsidRPr="00AC2971" w:rsidRDefault="002774A4" w:rsidP="00502E79">
      <w:pPr>
        <w:pStyle w:val="FootnoteText"/>
      </w:pPr>
      <w:r>
        <w:rPr>
          <w:rStyle w:val="FootnoteReference"/>
        </w:rPr>
        <w:footnoteRef/>
      </w:r>
      <w:r>
        <w:t xml:space="preserve"> </w:t>
      </w:r>
      <w:r>
        <w:rPr>
          <w:i/>
        </w:rPr>
        <w:t>Ibid.</w:t>
      </w:r>
    </w:p>
  </w:footnote>
  <w:footnote w:id="407">
    <w:p w14:paraId="53785D7D" w14:textId="3EEE6DD7" w:rsidR="002774A4" w:rsidRPr="00BC2703" w:rsidRDefault="002774A4" w:rsidP="00502E79">
      <w:pPr>
        <w:pStyle w:val="FootnoteText"/>
      </w:pPr>
      <w:r>
        <w:rPr>
          <w:rStyle w:val="FootnoteReference"/>
        </w:rPr>
        <w:footnoteRef/>
      </w:r>
      <w:r>
        <w:t xml:space="preserve"> </w:t>
      </w:r>
      <w:r>
        <w:rPr>
          <w:i/>
        </w:rPr>
        <w:t xml:space="preserve">Ibid, </w:t>
      </w:r>
      <w:r>
        <w:t>s 49.</w:t>
      </w:r>
    </w:p>
  </w:footnote>
  <w:footnote w:id="408">
    <w:p w14:paraId="4BA7563B" w14:textId="1B913EDF" w:rsidR="002774A4" w:rsidRPr="009F62A9" w:rsidRDefault="002774A4" w:rsidP="00502E79">
      <w:pPr>
        <w:pStyle w:val="FootnoteText"/>
      </w:pPr>
      <w:r>
        <w:rPr>
          <w:rStyle w:val="FootnoteReference"/>
        </w:rPr>
        <w:footnoteRef/>
      </w:r>
      <w:r>
        <w:t xml:space="preserve"> </w:t>
      </w:r>
      <w:r>
        <w:rPr>
          <w:i/>
        </w:rPr>
        <w:t xml:space="preserve">Ibid, </w:t>
      </w:r>
      <w:proofErr w:type="spellStart"/>
      <w:r>
        <w:t>ss</w:t>
      </w:r>
      <w:proofErr w:type="spellEnd"/>
      <w:r>
        <w:t xml:space="preserve"> 49(1) &amp; 50.</w:t>
      </w:r>
    </w:p>
  </w:footnote>
  <w:footnote w:id="409">
    <w:p w14:paraId="6DA3FCC2" w14:textId="78F854FB" w:rsidR="002774A4" w:rsidRPr="00882C68" w:rsidRDefault="002774A4" w:rsidP="00502E79">
      <w:pPr>
        <w:pStyle w:val="FootnoteText"/>
      </w:pPr>
      <w:r>
        <w:rPr>
          <w:rStyle w:val="FootnoteReference"/>
        </w:rPr>
        <w:footnoteRef/>
      </w:r>
      <w:r>
        <w:t xml:space="preserve"> </w:t>
      </w:r>
      <w:r>
        <w:rPr>
          <w:i/>
        </w:rPr>
        <w:t xml:space="preserve">Ibid, </w:t>
      </w:r>
      <w:r>
        <w:t>s 51.</w:t>
      </w:r>
    </w:p>
  </w:footnote>
  <w:footnote w:id="410">
    <w:p w14:paraId="47248AD3" w14:textId="7918EF55" w:rsidR="002774A4" w:rsidRPr="007112C6" w:rsidRDefault="002774A4" w:rsidP="00502E79">
      <w:pPr>
        <w:pStyle w:val="FootnoteText"/>
      </w:pPr>
      <w:r>
        <w:rPr>
          <w:rStyle w:val="FootnoteReference"/>
        </w:rPr>
        <w:footnoteRef/>
      </w:r>
      <w:r>
        <w:t xml:space="preserve"> </w:t>
      </w:r>
      <w:r>
        <w:rPr>
          <w:i/>
        </w:rPr>
        <w:t xml:space="preserve">Ibid, </w:t>
      </w:r>
      <w:r>
        <w:t>s 52.</w:t>
      </w:r>
    </w:p>
  </w:footnote>
  <w:footnote w:id="411">
    <w:p w14:paraId="436BBA7F" w14:textId="1DCD03C9" w:rsidR="002774A4" w:rsidRPr="009F468C" w:rsidRDefault="002774A4">
      <w:pPr>
        <w:pStyle w:val="FootnoteText"/>
      </w:pPr>
      <w:r>
        <w:rPr>
          <w:rStyle w:val="FootnoteReference"/>
        </w:rPr>
        <w:footnoteRef/>
      </w:r>
      <w:r>
        <w:t xml:space="preserve"> Committee on the Rights of Persons with Disabilities, </w:t>
      </w:r>
      <w:r>
        <w:rPr>
          <w:i/>
        </w:rPr>
        <w:t xml:space="preserve">Concluding observations on the initial report of the Czech Republic </w:t>
      </w:r>
      <w:r>
        <w:t>(15 May 2015) at para 22, online: &lt;</w:t>
      </w:r>
      <w:r w:rsidRPr="002C0ECF">
        <w:t xml:space="preserve"> http://docstore.ohchr.org/SelfServices/FilesHandler.ashx?enc=6QkG1d%2fPPRiCAqhKb7yhsptzG4Xu%2fHsX6HwedSMgeQqyXsBGn6EQyTf4J0uTxoU9cjcDq9a7%2btyVrui2k3vyyEBNR1%2fW75IX8MrrwyMPVx524zIdcTseMG5SkGoLqG8B</w:t>
      </w:r>
      <w:r>
        <w:t>&gt;.</w:t>
      </w:r>
    </w:p>
  </w:footnote>
  <w:footnote w:id="412">
    <w:p w14:paraId="4C79D6B8" w14:textId="42818A8B" w:rsidR="002774A4" w:rsidRPr="00D56285" w:rsidRDefault="002774A4">
      <w:pPr>
        <w:pStyle w:val="FootnoteText"/>
      </w:pPr>
      <w:r>
        <w:rPr>
          <w:rStyle w:val="FootnoteReference"/>
        </w:rPr>
        <w:footnoteRef/>
      </w:r>
      <w:r>
        <w:t xml:space="preserve"> See </w:t>
      </w:r>
      <w:r w:rsidRPr="00584B46">
        <w:rPr>
          <w:i/>
        </w:rPr>
        <w:t xml:space="preserve">Czech Civil </w:t>
      </w:r>
      <w:proofErr w:type="gramStart"/>
      <w:r w:rsidRPr="00584B46">
        <w:rPr>
          <w:i/>
        </w:rPr>
        <w:t>Code</w:t>
      </w:r>
      <w:r w:rsidRPr="00584B46">
        <w:t>,</w:t>
      </w:r>
      <w:proofErr w:type="gramEnd"/>
      <w:r>
        <w:t xml:space="preserve"> </w:t>
      </w:r>
      <w:r>
        <w:rPr>
          <w:i/>
        </w:rPr>
        <w:t xml:space="preserve">supra </w:t>
      </w:r>
      <w:r>
        <w:t xml:space="preserve">note </w:t>
      </w:r>
      <w:r>
        <w:fldChar w:fldCharType="begin"/>
      </w:r>
      <w:r>
        <w:instrText xml:space="preserve"> NOTEREF _Ref15299504 \h </w:instrText>
      </w:r>
      <w:r>
        <w:fldChar w:fldCharType="separate"/>
      </w:r>
      <w:r>
        <w:t>373</w:t>
      </w:r>
      <w:r>
        <w:fldChar w:fldCharType="end"/>
      </w:r>
      <w:r>
        <w:t xml:space="preserve">, </w:t>
      </w:r>
      <w:proofErr w:type="spellStart"/>
      <w:r>
        <w:t>ss</w:t>
      </w:r>
      <w:proofErr w:type="spellEnd"/>
      <w:r>
        <w:t xml:space="preserve"> 55(1) &amp; 57(1).</w:t>
      </w:r>
    </w:p>
  </w:footnote>
  <w:footnote w:id="413">
    <w:p w14:paraId="72314690" w14:textId="6BA2FB23" w:rsidR="002774A4" w:rsidRPr="00357919" w:rsidRDefault="002774A4">
      <w:pPr>
        <w:pStyle w:val="FootnoteText"/>
      </w:pPr>
      <w:r>
        <w:rPr>
          <w:rStyle w:val="FootnoteReference"/>
        </w:rPr>
        <w:footnoteRef/>
      </w:r>
      <w:r>
        <w:t xml:space="preserve"> See Committee on the Rights of Persons with Disabilities, “General comment No.1,” </w:t>
      </w:r>
      <w:r>
        <w:rPr>
          <w:i/>
        </w:rPr>
        <w:t xml:space="preserve">supra </w:t>
      </w:r>
      <w:r>
        <w:t xml:space="preserve">note </w:t>
      </w:r>
      <w:r>
        <w:fldChar w:fldCharType="begin"/>
      </w:r>
      <w:r>
        <w:instrText xml:space="preserve"> NOTEREF _Ref15295251 \h </w:instrText>
      </w:r>
      <w:r>
        <w:fldChar w:fldCharType="separate"/>
      </w:r>
      <w:proofErr w:type="gramStart"/>
      <w:r>
        <w:t>7</w:t>
      </w:r>
      <w:proofErr w:type="gramEnd"/>
      <w:r>
        <w:fldChar w:fldCharType="end"/>
      </w:r>
      <w:r>
        <w:t xml:space="preserve"> at para 15.</w:t>
      </w:r>
    </w:p>
  </w:footnote>
  <w:footnote w:id="414">
    <w:p w14:paraId="721820E0" w14:textId="65E41B34" w:rsidR="002774A4" w:rsidRPr="00A041C4" w:rsidRDefault="002774A4">
      <w:pPr>
        <w:pStyle w:val="FootnoteText"/>
      </w:pPr>
      <w:r>
        <w:rPr>
          <w:rStyle w:val="FootnoteReference"/>
        </w:rPr>
        <w:footnoteRef/>
      </w:r>
      <w:r>
        <w:t xml:space="preserve"> Mental Disability Advocacy Center (MDAC), </w:t>
      </w:r>
      <w:r>
        <w:rPr>
          <w:i/>
        </w:rPr>
        <w:t xml:space="preserve">Legal Capacity in Europe: A Call to Action to Governments and to the EU </w:t>
      </w:r>
      <w:r>
        <w:t>(October 2013) at 49, online:</w:t>
      </w:r>
      <w:r>
        <w:rPr>
          <w:i/>
        </w:rPr>
        <w:t xml:space="preserve"> </w:t>
      </w:r>
      <w:r>
        <w:t>&lt;</w:t>
      </w:r>
      <w:hyperlink r:id="rId9" w:history="1">
        <w:r w:rsidRPr="00CA63FA">
          <w:rPr>
            <w:rStyle w:val="Hyperlink"/>
          </w:rPr>
          <w:t>http://mdac.info/sites/mdac.info/files/legal_capacity_in_europe.pdf</w:t>
        </w:r>
      </w:hyperlink>
      <w:r>
        <w:t>&gt;.</w:t>
      </w:r>
    </w:p>
  </w:footnote>
  <w:footnote w:id="415">
    <w:p w14:paraId="0E7ABB65" w14:textId="1CC44DDF" w:rsidR="002774A4" w:rsidRDefault="002774A4">
      <w:pPr>
        <w:pStyle w:val="FootnoteText"/>
      </w:pPr>
      <w:r>
        <w:rPr>
          <w:rStyle w:val="FootnoteReference"/>
        </w:rPr>
        <w:footnoteRef/>
      </w:r>
      <w:r>
        <w:t xml:space="preserve"> See </w:t>
      </w:r>
      <w:r w:rsidRPr="00584B46">
        <w:rPr>
          <w:i/>
        </w:rPr>
        <w:t xml:space="preserve">Czech Civil </w:t>
      </w:r>
      <w:proofErr w:type="gramStart"/>
      <w:r w:rsidRPr="00584B46">
        <w:rPr>
          <w:i/>
        </w:rPr>
        <w:t>Code</w:t>
      </w:r>
      <w:r w:rsidRPr="00584B46">
        <w:t>,</w:t>
      </w:r>
      <w:proofErr w:type="gramEnd"/>
      <w:r>
        <w:t xml:space="preserve"> </w:t>
      </w:r>
      <w:r>
        <w:rPr>
          <w:i/>
        </w:rPr>
        <w:t xml:space="preserve">supra </w:t>
      </w:r>
      <w:r>
        <w:t xml:space="preserve">note </w:t>
      </w:r>
      <w:r>
        <w:fldChar w:fldCharType="begin"/>
      </w:r>
      <w:r>
        <w:instrText xml:space="preserve"> NOTEREF _Ref15299504 \h </w:instrText>
      </w:r>
      <w:r>
        <w:fldChar w:fldCharType="separate"/>
      </w:r>
      <w:r>
        <w:t>373</w:t>
      </w:r>
      <w:r>
        <w:fldChar w:fldCharType="end"/>
      </w:r>
      <w:r>
        <w:t>, s 48.</w:t>
      </w:r>
    </w:p>
  </w:footnote>
  <w:footnote w:id="416">
    <w:p w14:paraId="34C3B662" w14:textId="75DE4E98" w:rsidR="002774A4" w:rsidRPr="00130AB6" w:rsidRDefault="002774A4">
      <w:pPr>
        <w:pStyle w:val="FootnoteText"/>
        <w:rPr>
          <w:i/>
        </w:rPr>
      </w:pPr>
      <w:r>
        <w:rPr>
          <w:rStyle w:val="FootnoteReference"/>
        </w:rPr>
        <w:footnoteRef/>
      </w:r>
      <w:r>
        <w:t xml:space="preserve"> </w:t>
      </w:r>
      <w:r>
        <w:rPr>
          <w:i/>
        </w:rPr>
        <w:t>Ibid</w:t>
      </w:r>
      <w:r>
        <w:t>, art 47(2).</w:t>
      </w:r>
    </w:p>
  </w:footnote>
  <w:footnote w:id="417">
    <w:p w14:paraId="7F9ACCB2" w14:textId="09D3D2DE" w:rsidR="002774A4" w:rsidRPr="00DA53AF" w:rsidRDefault="002774A4">
      <w:pPr>
        <w:pStyle w:val="FootnoteText"/>
      </w:pPr>
      <w:r>
        <w:rPr>
          <w:rStyle w:val="FootnoteReference"/>
        </w:rPr>
        <w:footnoteRef/>
      </w:r>
      <w:r>
        <w:t xml:space="preserve"> See </w:t>
      </w:r>
      <w:r>
        <w:rPr>
          <w:i/>
        </w:rPr>
        <w:t xml:space="preserve">Ibid, </w:t>
      </w:r>
      <w:r>
        <w:t>art 47(2).</w:t>
      </w:r>
    </w:p>
  </w:footnote>
  <w:footnote w:id="418">
    <w:p w14:paraId="18FD5A73" w14:textId="0A84FA8B" w:rsidR="002774A4" w:rsidRPr="00866B3B" w:rsidRDefault="002774A4">
      <w:pPr>
        <w:pStyle w:val="FootnoteText"/>
      </w:pPr>
      <w:r>
        <w:rPr>
          <w:rStyle w:val="FootnoteReference"/>
        </w:rPr>
        <w:footnoteRef/>
      </w:r>
      <w:r>
        <w:t xml:space="preserve"> </w:t>
      </w:r>
      <w:r>
        <w:rPr>
          <w:i/>
        </w:rPr>
        <w:t xml:space="preserve">Ibid, </w:t>
      </w:r>
      <w:r>
        <w:t xml:space="preserve">art 38 (advance directives may be made for a “person who foresees her own legal incapacity”); see </w:t>
      </w:r>
      <w:proofErr w:type="spellStart"/>
      <w:r>
        <w:t>Devandas</w:t>
      </w:r>
      <w:proofErr w:type="spellEnd"/>
      <w:r>
        <w:t xml:space="preserve"> Aguilar, </w:t>
      </w:r>
      <w:r>
        <w:rPr>
          <w:i/>
        </w:rPr>
        <w:t xml:space="preserve">supra </w:t>
      </w:r>
      <w:r>
        <w:t xml:space="preserve">note </w:t>
      </w:r>
      <w:r>
        <w:fldChar w:fldCharType="begin"/>
      </w:r>
      <w:r>
        <w:instrText xml:space="preserve"> NOTEREF _Ref15295121 \h </w:instrText>
      </w:r>
      <w:r>
        <w:fldChar w:fldCharType="separate"/>
      </w:r>
      <w:proofErr w:type="gramStart"/>
      <w:r>
        <w:t>8</w:t>
      </w:r>
      <w:proofErr w:type="gramEnd"/>
      <w:r>
        <w:fldChar w:fldCharType="end"/>
      </w:r>
      <w:r>
        <w:t xml:space="preserve"> at para 44.</w:t>
      </w:r>
    </w:p>
  </w:footnote>
  <w:footnote w:id="419">
    <w:p w14:paraId="5CD716CE" w14:textId="4843B15B" w:rsidR="002774A4" w:rsidRPr="00A041C4" w:rsidRDefault="002774A4">
      <w:pPr>
        <w:pStyle w:val="FootnoteText"/>
      </w:pPr>
      <w:r>
        <w:rPr>
          <w:rStyle w:val="FootnoteReference"/>
        </w:rPr>
        <w:footnoteRef/>
      </w:r>
      <w:r>
        <w:t xml:space="preserve"> MDAC, </w:t>
      </w:r>
      <w:r>
        <w:rPr>
          <w:i/>
        </w:rPr>
        <w:t xml:space="preserve">Legal Capacity in Europe, supra </w:t>
      </w:r>
      <w:r>
        <w:t xml:space="preserve">note </w:t>
      </w:r>
      <w:r>
        <w:fldChar w:fldCharType="begin"/>
      </w:r>
      <w:r>
        <w:instrText xml:space="preserve"> NOTEREF _Ref15299808 \h </w:instrText>
      </w:r>
      <w:r>
        <w:fldChar w:fldCharType="separate"/>
      </w:r>
      <w:r>
        <w:t>414</w:t>
      </w:r>
      <w:r>
        <w:fldChar w:fldCharType="end"/>
      </w:r>
      <w:r>
        <w:t xml:space="preserve"> at 49.</w:t>
      </w:r>
    </w:p>
  </w:footnote>
  <w:footnote w:id="420">
    <w:p w14:paraId="09A9995E" w14:textId="4EAE9D75" w:rsidR="002774A4" w:rsidRDefault="002774A4">
      <w:pPr>
        <w:pStyle w:val="FootnoteText"/>
      </w:pPr>
      <w:r>
        <w:rPr>
          <w:rStyle w:val="FootnoteReference"/>
        </w:rPr>
        <w:footnoteRef/>
      </w:r>
      <w:r>
        <w:t xml:space="preserve"> See </w:t>
      </w:r>
      <w:r w:rsidRPr="00584B46">
        <w:rPr>
          <w:i/>
        </w:rPr>
        <w:t xml:space="preserve">Czech Civil </w:t>
      </w:r>
      <w:proofErr w:type="gramStart"/>
      <w:r w:rsidRPr="00584B46">
        <w:rPr>
          <w:i/>
        </w:rPr>
        <w:t>Code</w:t>
      </w:r>
      <w:r w:rsidRPr="00584B46">
        <w:t>,</w:t>
      </w:r>
      <w:proofErr w:type="gramEnd"/>
      <w:r>
        <w:t xml:space="preserve"> </w:t>
      </w:r>
      <w:r>
        <w:rPr>
          <w:i/>
        </w:rPr>
        <w:t xml:space="preserve">supra </w:t>
      </w:r>
      <w:r>
        <w:t xml:space="preserve">note </w:t>
      </w:r>
      <w:r>
        <w:fldChar w:fldCharType="begin"/>
      </w:r>
      <w:r>
        <w:instrText xml:space="preserve"> NOTEREF _Ref15299504 \h </w:instrText>
      </w:r>
      <w:r>
        <w:fldChar w:fldCharType="separate"/>
      </w:r>
      <w:r>
        <w:t>373</w:t>
      </w:r>
      <w:r>
        <w:fldChar w:fldCharType="end"/>
      </w:r>
      <w:r>
        <w:t>, art 462.</w:t>
      </w:r>
    </w:p>
  </w:footnote>
  <w:footnote w:id="421">
    <w:p w14:paraId="63BB8E57" w14:textId="37664061" w:rsidR="002774A4" w:rsidRPr="00DE0487" w:rsidRDefault="002774A4">
      <w:pPr>
        <w:pStyle w:val="FootnoteText"/>
      </w:pPr>
      <w:r>
        <w:rPr>
          <w:rStyle w:val="FootnoteReference"/>
        </w:rPr>
        <w:footnoteRef/>
      </w:r>
      <w:r>
        <w:t xml:space="preserve"> Committee on the Rights of Persons with Disabilities, </w:t>
      </w:r>
      <w:r>
        <w:rPr>
          <w:i/>
        </w:rPr>
        <w:t xml:space="preserve">Concluding observations on the initial report of the Czech Republic, supra </w:t>
      </w:r>
      <w:r>
        <w:t xml:space="preserve">note </w:t>
      </w:r>
      <w:r>
        <w:fldChar w:fldCharType="begin"/>
      </w:r>
      <w:r>
        <w:instrText xml:space="preserve"> NOTEREF _Ref15299834 \h </w:instrText>
      </w:r>
      <w:r>
        <w:fldChar w:fldCharType="separate"/>
      </w:r>
      <w:r>
        <w:t>411</w:t>
      </w:r>
      <w:r>
        <w:fldChar w:fldCharType="end"/>
      </w:r>
      <w:r>
        <w:t xml:space="preserve"> at para 23.</w:t>
      </w:r>
    </w:p>
  </w:footnote>
  <w:footnote w:id="422">
    <w:p w14:paraId="24358A73" w14:textId="4AF45B28" w:rsidR="002774A4" w:rsidRPr="00AE56F3" w:rsidRDefault="002774A4">
      <w:pPr>
        <w:pStyle w:val="FootnoteText"/>
      </w:pPr>
      <w:r>
        <w:rPr>
          <w:rStyle w:val="FootnoteReference"/>
        </w:rPr>
        <w:footnoteRef/>
      </w:r>
      <w:r>
        <w:t xml:space="preserve"> Quip, </w:t>
      </w:r>
      <w:r>
        <w:rPr>
          <w:i/>
        </w:rPr>
        <w:t xml:space="preserve">Inclusive Training </w:t>
      </w:r>
      <w:proofErr w:type="gramStart"/>
      <w:r>
        <w:rPr>
          <w:i/>
        </w:rPr>
        <w:t>About</w:t>
      </w:r>
      <w:proofErr w:type="gramEnd"/>
      <w:r>
        <w:rPr>
          <w:i/>
        </w:rPr>
        <w:t xml:space="preserve"> Article 12: Reference Document of IDEA 12 project</w:t>
      </w:r>
      <w:r>
        <w:t xml:space="preserve"> (2017) at 34, online: &lt;</w:t>
      </w:r>
      <w:r w:rsidRPr="00AE56F3">
        <w:t xml:space="preserve"> </w:t>
      </w:r>
      <w:hyperlink r:id="rId10" w:history="1">
        <w:r w:rsidRPr="00CA63FA">
          <w:rPr>
            <w:rStyle w:val="Hyperlink"/>
          </w:rPr>
          <w:t>https://www.kvalitavpraxi.cz/res/archive/033/004202.pdf?seek=1527587379</w:t>
        </w:r>
      </w:hyperlink>
      <w:r>
        <w:t xml:space="preserve">&gt;. </w:t>
      </w:r>
    </w:p>
  </w:footnote>
  <w:footnote w:id="423">
    <w:p w14:paraId="49398530" w14:textId="44016EDD" w:rsidR="002774A4" w:rsidRPr="00F02496" w:rsidRDefault="002774A4" w:rsidP="00E808E7">
      <w:pPr>
        <w:pStyle w:val="FootnoteText"/>
      </w:pPr>
      <w:r>
        <w:rPr>
          <w:rStyle w:val="FootnoteReference"/>
        </w:rPr>
        <w:footnoteRef/>
      </w:r>
      <w:r>
        <w:t xml:space="preserve"> “Convention on the Rights of Persons with Disabilities,” </w:t>
      </w:r>
      <w:r>
        <w:rPr>
          <w:i/>
        </w:rPr>
        <w:t xml:space="preserve">supra </w:t>
      </w:r>
      <w:r>
        <w:t xml:space="preserve">note </w:t>
      </w:r>
      <w:r>
        <w:fldChar w:fldCharType="begin"/>
      </w:r>
      <w:r>
        <w:instrText xml:space="preserve"> NOTEREF _Ref15297432 \h </w:instrText>
      </w:r>
      <w:r>
        <w:fldChar w:fldCharType="separate"/>
      </w:r>
      <w:r>
        <w:t>20</w:t>
      </w:r>
      <w:r>
        <w:fldChar w:fldCharType="end"/>
      </w:r>
      <w:r>
        <w:t>.</w:t>
      </w:r>
    </w:p>
  </w:footnote>
  <w:footnote w:id="424">
    <w:p w14:paraId="5A220203" w14:textId="2ED0FDEA" w:rsidR="002774A4" w:rsidRPr="00107456" w:rsidRDefault="002774A4" w:rsidP="001256CF">
      <w:pPr>
        <w:pStyle w:val="FootnoteText"/>
      </w:pPr>
      <w:r w:rsidRPr="00107456">
        <w:rPr>
          <w:rStyle w:val="FootnoteReference"/>
        </w:rPr>
        <w:footnoteRef/>
      </w:r>
      <w:r w:rsidRPr="00107456">
        <w:t xml:space="preserve"> </w:t>
      </w:r>
      <w:r>
        <w:rPr>
          <w:i/>
        </w:rPr>
        <w:t xml:space="preserve">The </w:t>
      </w:r>
      <w:r w:rsidRPr="00107456">
        <w:rPr>
          <w:i/>
        </w:rPr>
        <w:t xml:space="preserve">Civil </w:t>
      </w:r>
      <w:r>
        <w:rPr>
          <w:i/>
        </w:rPr>
        <w:t>Law</w:t>
      </w:r>
      <w:r w:rsidRPr="00107456">
        <w:rPr>
          <w:i/>
        </w:rPr>
        <w:t xml:space="preserve"> of Latvia</w:t>
      </w:r>
      <w:r w:rsidRPr="00107456">
        <w:t>,</w:t>
      </w:r>
      <w:r>
        <w:t xml:space="preserve"> Latvia, 29 November 2012,</w:t>
      </w:r>
      <w:r w:rsidRPr="00107456">
        <w:t xml:space="preserve"> online: &lt;https://likumi.lv/ta/en/en/id/225418-the-civil-law&gt;.</w:t>
      </w:r>
      <w:r>
        <w:t xml:space="preserve">   </w:t>
      </w:r>
    </w:p>
  </w:footnote>
  <w:footnote w:id="425">
    <w:p w14:paraId="49F90B51" w14:textId="473EC9DE" w:rsidR="002774A4" w:rsidRPr="00107456" w:rsidRDefault="002774A4" w:rsidP="001256CF">
      <w:pPr>
        <w:pStyle w:val="NormalWeb"/>
        <w:spacing w:before="0" w:beforeAutospacing="0" w:after="0" w:afterAutospacing="0"/>
        <w:rPr>
          <w:sz w:val="20"/>
          <w:szCs w:val="20"/>
        </w:rPr>
      </w:pPr>
      <w:r w:rsidRPr="00107456">
        <w:rPr>
          <w:rStyle w:val="FootnoteReference"/>
          <w:sz w:val="20"/>
          <w:szCs w:val="20"/>
        </w:rPr>
        <w:footnoteRef/>
      </w:r>
      <w:r w:rsidRPr="00107456">
        <w:rPr>
          <w:sz w:val="20"/>
          <w:szCs w:val="20"/>
        </w:rPr>
        <w:t xml:space="preserve"> </w:t>
      </w:r>
      <w:r w:rsidRPr="00107456">
        <w:rPr>
          <w:color w:val="262323"/>
          <w:sz w:val="20"/>
          <w:szCs w:val="20"/>
        </w:rPr>
        <w:t xml:space="preserve">Judgment of the Constitutional Court, </w:t>
      </w:r>
      <w:r w:rsidRPr="00107456">
        <w:rPr>
          <w:color w:val="05050A"/>
          <w:sz w:val="20"/>
          <w:szCs w:val="20"/>
        </w:rPr>
        <w:t xml:space="preserve">Case No. 2010-38-01. Announced on 27 December 2010. </w:t>
      </w:r>
    </w:p>
  </w:footnote>
  <w:footnote w:id="426">
    <w:p w14:paraId="0F5A8DAA" w14:textId="649708FB" w:rsidR="002774A4" w:rsidRDefault="002774A4">
      <w:pPr>
        <w:pStyle w:val="FootnoteText"/>
      </w:pPr>
      <w:r>
        <w:rPr>
          <w:rStyle w:val="FootnoteReference"/>
        </w:rPr>
        <w:footnoteRef/>
      </w:r>
      <w:r>
        <w:t xml:space="preserve"> Mental Disability and Advocacy Center</w:t>
      </w:r>
      <w:r w:rsidRPr="00107456">
        <w:t xml:space="preserve"> </w:t>
      </w:r>
      <w:r>
        <w:t xml:space="preserve">(MDAC), “Latvia Abolishes Plenary Guardianship” (5 December 2012), online: </w:t>
      </w:r>
      <w:r>
        <w:rPr>
          <w:i/>
        </w:rPr>
        <w:t xml:space="preserve">MDAC </w:t>
      </w:r>
      <w:r>
        <w:t>&lt;</w:t>
      </w:r>
      <w:r w:rsidRPr="00107456">
        <w:t>http://www.mdac.info/en/05/12/2012/latvia-abolishes-plenary-guardianship</w:t>
      </w:r>
      <w:r>
        <w:t xml:space="preserve">&gt;.   </w:t>
      </w:r>
    </w:p>
  </w:footnote>
  <w:footnote w:id="427">
    <w:p w14:paraId="3093E5ED" w14:textId="2A7F2EB4" w:rsidR="002774A4" w:rsidRPr="00557768" w:rsidRDefault="002774A4">
      <w:pPr>
        <w:pStyle w:val="FootnoteText"/>
        <w:rPr>
          <w:i/>
        </w:rPr>
      </w:pPr>
      <w:r>
        <w:rPr>
          <w:rStyle w:val="FootnoteReference"/>
        </w:rPr>
        <w:footnoteRef/>
      </w:r>
      <w:r>
        <w:t xml:space="preserve"> </w:t>
      </w:r>
      <w:r>
        <w:rPr>
          <w:i/>
        </w:rPr>
        <w:t>Ibid.</w:t>
      </w:r>
    </w:p>
  </w:footnote>
  <w:footnote w:id="428">
    <w:p w14:paraId="468B70BD" w14:textId="0A38F65C" w:rsidR="002774A4" w:rsidRPr="00107456" w:rsidRDefault="002774A4" w:rsidP="001256CF">
      <w:pPr>
        <w:pStyle w:val="FootnoteText"/>
      </w:pPr>
      <w:r w:rsidRPr="00107456">
        <w:rPr>
          <w:rStyle w:val="FootnoteReference"/>
        </w:rPr>
        <w:footnoteRef/>
      </w:r>
      <w:r w:rsidRPr="00107456">
        <w:t xml:space="preserve"> </w:t>
      </w:r>
      <w:r>
        <w:t xml:space="preserve">MDAC, </w:t>
      </w:r>
      <w:r>
        <w:rPr>
          <w:i/>
        </w:rPr>
        <w:t xml:space="preserve">Legal Capacity in Europe, supra </w:t>
      </w:r>
      <w:r>
        <w:t xml:space="preserve">note </w:t>
      </w:r>
      <w:r>
        <w:fldChar w:fldCharType="begin"/>
      </w:r>
      <w:r>
        <w:instrText xml:space="preserve"> NOTEREF _Ref15299808 \h </w:instrText>
      </w:r>
      <w:r>
        <w:fldChar w:fldCharType="separate"/>
      </w:r>
      <w:r>
        <w:t>414</w:t>
      </w:r>
      <w:r>
        <w:fldChar w:fldCharType="end"/>
      </w:r>
      <w:r>
        <w:t xml:space="preserve"> at </w:t>
      </w:r>
      <w:r w:rsidRPr="00107456">
        <w:t>61</w:t>
      </w:r>
      <w:r>
        <w:t>.</w:t>
      </w:r>
    </w:p>
  </w:footnote>
  <w:footnote w:id="429">
    <w:p w14:paraId="21BA35DC" w14:textId="16B41505" w:rsidR="002774A4" w:rsidRPr="0040121B" w:rsidRDefault="002774A4">
      <w:pPr>
        <w:pStyle w:val="FootnoteText"/>
      </w:pPr>
      <w:r>
        <w:rPr>
          <w:rStyle w:val="FootnoteReference"/>
        </w:rPr>
        <w:footnoteRef/>
      </w:r>
      <w:r>
        <w:t xml:space="preserve"> MDAC, “Latvia Abolishes Plenary Guardianship,” </w:t>
      </w:r>
      <w:r>
        <w:rPr>
          <w:i/>
        </w:rPr>
        <w:t xml:space="preserve">supra </w:t>
      </w:r>
      <w:r>
        <w:t xml:space="preserve">note </w:t>
      </w:r>
      <w:r>
        <w:fldChar w:fldCharType="begin"/>
      </w:r>
      <w:r>
        <w:instrText xml:space="preserve"> NOTEREF _Ref15299894 \h </w:instrText>
      </w:r>
      <w:r>
        <w:fldChar w:fldCharType="separate"/>
      </w:r>
      <w:r>
        <w:t>426</w:t>
      </w:r>
      <w:r>
        <w:fldChar w:fldCharType="end"/>
      </w:r>
      <w:r>
        <w:t>.</w:t>
      </w:r>
    </w:p>
  </w:footnote>
  <w:footnote w:id="430">
    <w:p w14:paraId="359996DA" w14:textId="02C3EDC8" w:rsidR="002774A4" w:rsidRPr="0040121B" w:rsidRDefault="002774A4">
      <w:pPr>
        <w:pStyle w:val="FootnoteText"/>
        <w:rPr>
          <w:i/>
        </w:rPr>
      </w:pPr>
      <w:r>
        <w:rPr>
          <w:rStyle w:val="FootnoteReference"/>
        </w:rPr>
        <w:footnoteRef/>
      </w:r>
      <w:r>
        <w:t xml:space="preserve"> </w:t>
      </w:r>
      <w:r>
        <w:rPr>
          <w:i/>
        </w:rPr>
        <w:t>Ibid.</w:t>
      </w:r>
    </w:p>
  </w:footnote>
  <w:footnote w:id="431">
    <w:p w14:paraId="5CFACCA5" w14:textId="44E25267" w:rsidR="002774A4" w:rsidRPr="00107456" w:rsidRDefault="002774A4" w:rsidP="001256CF">
      <w:pPr>
        <w:pStyle w:val="FootnoteText"/>
      </w:pPr>
      <w:r w:rsidRPr="00107456">
        <w:rPr>
          <w:rStyle w:val="FootnoteReference"/>
        </w:rPr>
        <w:footnoteRef/>
      </w:r>
      <w:r w:rsidRPr="00107456">
        <w:t xml:space="preserve"> </w:t>
      </w:r>
      <w:r>
        <w:t xml:space="preserve">Resource Centre for People with Mental Disability (RC ZELDA), </w:t>
      </w:r>
      <w:r>
        <w:rPr>
          <w:i/>
        </w:rPr>
        <w:t xml:space="preserve">Letter to Legal Affairs Committee of Latvian Parliament </w:t>
      </w:r>
      <w:r>
        <w:t>(24 November 2011), online: &lt;</w:t>
      </w:r>
      <w:hyperlink r:id="rId11" w:history="1">
        <w:r w:rsidRPr="00CA63FA">
          <w:rPr>
            <w:rStyle w:val="Hyperlink"/>
          </w:rPr>
          <w:t>http://zelda.org.lv/wp-content/uploads/Opinion-concerning-the-amendments-to-Civil-Law-and-Civil-Procedure-Law-regarding-legal-capacity1.pdf</w:t>
        </w:r>
      </w:hyperlink>
      <w:r>
        <w:t xml:space="preserve">&gt;; Mental Disability and Advocacy Center (MDAC), </w:t>
      </w:r>
      <w:r>
        <w:rPr>
          <w:i/>
        </w:rPr>
        <w:t xml:space="preserve">Letter to Legal Affairs Committee of Latvian Parliament </w:t>
      </w:r>
      <w:r>
        <w:t>(7 December 2011), online: &lt;</w:t>
      </w:r>
      <w:r w:rsidRPr="00AD4741">
        <w:t xml:space="preserve"> </w:t>
      </w:r>
      <w:hyperlink r:id="rId12" w:history="1">
        <w:r w:rsidRPr="00CA63FA">
          <w:rPr>
            <w:rStyle w:val="Hyperlink"/>
          </w:rPr>
          <w:t>http://mdac.org/sites/mdac.org/files/2011_12_06_Comments_LC_Latvia.doc</w:t>
        </w:r>
      </w:hyperlink>
      <w:r>
        <w:t xml:space="preserve">&gt;.   </w:t>
      </w:r>
    </w:p>
  </w:footnote>
  <w:footnote w:id="432">
    <w:p w14:paraId="5D219FD2" w14:textId="1366628E" w:rsidR="002774A4" w:rsidRPr="00076DB2" w:rsidRDefault="002774A4" w:rsidP="001256CF">
      <w:pPr>
        <w:pStyle w:val="FootnoteText"/>
      </w:pPr>
      <w:r w:rsidRPr="00107456">
        <w:rPr>
          <w:rStyle w:val="FootnoteReference"/>
        </w:rPr>
        <w:footnoteRef/>
      </w:r>
      <w:r>
        <w:t xml:space="preserve"> MDAC, “Latvia Abolishes Plenary Guardianship,” </w:t>
      </w:r>
      <w:r>
        <w:rPr>
          <w:i/>
        </w:rPr>
        <w:t xml:space="preserve">supra </w:t>
      </w:r>
      <w:r>
        <w:t xml:space="preserve">note </w:t>
      </w:r>
      <w:r>
        <w:fldChar w:fldCharType="begin"/>
      </w:r>
      <w:r>
        <w:instrText xml:space="preserve"> NOTEREF _Ref15299894 \h </w:instrText>
      </w:r>
      <w:r>
        <w:fldChar w:fldCharType="separate"/>
      </w:r>
      <w:r>
        <w:t>426</w:t>
      </w:r>
      <w:r>
        <w:fldChar w:fldCharType="end"/>
      </w:r>
      <w:r>
        <w:t>.</w:t>
      </w:r>
    </w:p>
  </w:footnote>
  <w:footnote w:id="433">
    <w:p w14:paraId="2DE3A1D7" w14:textId="5DAE0DAB" w:rsidR="002774A4" w:rsidRPr="00107456" w:rsidRDefault="002774A4" w:rsidP="001256CF">
      <w:pPr>
        <w:pStyle w:val="FootnoteText"/>
      </w:pPr>
      <w:r w:rsidRPr="00107456">
        <w:rPr>
          <w:rStyle w:val="FootnoteReference"/>
        </w:rPr>
        <w:footnoteRef/>
      </w:r>
      <w:r w:rsidRPr="00107456">
        <w:t xml:space="preserve"> </w:t>
      </w:r>
      <w:r>
        <w:rPr>
          <w:i/>
        </w:rPr>
        <w:t>The Civil Law of Latvia</w:t>
      </w:r>
      <w:r w:rsidRPr="00107456">
        <w:t xml:space="preserve">, </w:t>
      </w:r>
      <w:r>
        <w:rPr>
          <w:i/>
        </w:rPr>
        <w:t xml:space="preserve">supra </w:t>
      </w:r>
      <w:r>
        <w:t xml:space="preserve">note </w:t>
      </w:r>
      <w:r>
        <w:fldChar w:fldCharType="begin"/>
      </w:r>
      <w:r>
        <w:instrText xml:space="preserve"> NOTEREF _Ref15299939 \h </w:instrText>
      </w:r>
      <w:r>
        <w:fldChar w:fldCharType="separate"/>
      </w:r>
      <w:r>
        <w:t>424</w:t>
      </w:r>
      <w:r>
        <w:fldChar w:fldCharType="end"/>
      </w:r>
      <w:r>
        <w:t xml:space="preserve">, </w:t>
      </w:r>
      <w:r w:rsidRPr="00107456">
        <w:t>art 356</w:t>
      </w:r>
      <w:r>
        <w:rPr>
          <w:vertAlign w:val="superscript"/>
        </w:rPr>
        <w:t>1</w:t>
      </w:r>
      <w:r w:rsidRPr="00107456">
        <w:t xml:space="preserve">; </w:t>
      </w:r>
      <w:r>
        <w:rPr>
          <w:i/>
        </w:rPr>
        <w:t xml:space="preserve">Consideration of reports submitted by States parties under article 35 of the Convention: Latvia, </w:t>
      </w:r>
      <w:r>
        <w:t>(29 October 2015) at para 125, online: &lt;</w:t>
      </w:r>
      <w:r w:rsidRPr="00B339F3">
        <w:t xml:space="preserve"> </w:t>
      </w:r>
      <w:hyperlink r:id="rId13" w:history="1">
        <w:r w:rsidRPr="00CA63FA">
          <w:rPr>
            <w:rStyle w:val="Hyperlink"/>
          </w:rPr>
          <w:t>http://docstore.ohchr.org/SelfServices/FilesHandler.ashx?enc=6QkG1d%2fPPRiCAqhKb7yhsiyaiCIuQzff7FUjD97cNmkHsu4cusE6f7aAm30Zc651pKNDvv%2f4hPnZxGkUWu12qrrOzsXgrLnk6S5gmUDBGEpu57TeyIqDnR5kWd7YYOGy</w:t>
        </w:r>
      </w:hyperlink>
      <w:r>
        <w:t xml:space="preserve">&gt;. </w:t>
      </w:r>
      <w:r w:rsidRPr="00107456">
        <w:t xml:space="preserve"> </w:t>
      </w:r>
    </w:p>
  </w:footnote>
  <w:footnote w:id="434">
    <w:p w14:paraId="00327BDC" w14:textId="599C45BC" w:rsidR="002774A4" w:rsidRDefault="002774A4">
      <w:pPr>
        <w:pStyle w:val="FootnoteText"/>
      </w:pPr>
      <w:r>
        <w:rPr>
          <w:rStyle w:val="FootnoteReference"/>
        </w:rPr>
        <w:footnoteRef/>
      </w:r>
      <w:r>
        <w:t xml:space="preserve"> RC ZELDA, </w:t>
      </w:r>
      <w:r>
        <w:rPr>
          <w:i/>
        </w:rPr>
        <w:t xml:space="preserve">Thematic report of the Resource centre for People with mental disability “ZELDA” to the UN Committee on the Rights of Persons with Disabilities </w:t>
      </w:r>
      <w:r>
        <w:t xml:space="preserve">(27 February 2017) at </w:t>
      </w:r>
      <w:r w:rsidRPr="00107456">
        <w:t>5</w:t>
      </w:r>
      <w:r>
        <w:t>, online: &lt;</w:t>
      </w:r>
      <w:r w:rsidRPr="00EC72E5">
        <w:t xml:space="preserve"> https://tbinternet.ohchr.org/Treaties/CRPD/Shared%20Documents/LVA/INT_CRPD_ICO_LVA_26871_E.doc</w:t>
      </w:r>
      <w:r>
        <w:t>&gt;.</w:t>
      </w:r>
    </w:p>
  </w:footnote>
  <w:footnote w:id="435">
    <w:p w14:paraId="1231ED82" w14:textId="316026B6" w:rsidR="002774A4" w:rsidRPr="000B5FE4" w:rsidRDefault="002774A4">
      <w:pPr>
        <w:pStyle w:val="FootnoteText"/>
      </w:pPr>
      <w:r>
        <w:rPr>
          <w:rStyle w:val="FootnoteReference"/>
        </w:rPr>
        <w:footnoteRef/>
      </w:r>
      <w:r>
        <w:t xml:space="preserve"> </w:t>
      </w:r>
      <w:r>
        <w:rPr>
          <w:i/>
        </w:rPr>
        <w:t xml:space="preserve">The Civil Law of </w:t>
      </w:r>
      <w:proofErr w:type="gramStart"/>
      <w:r>
        <w:rPr>
          <w:i/>
        </w:rPr>
        <w:t>Latvia,</w:t>
      </w:r>
      <w:proofErr w:type="gramEnd"/>
      <w:r>
        <w:rPr>
          <w:i/>
        </w:rPr>
        <w:t xml:space="preserve"> supra </w:t>
      </w:r>
      <w:r>
        <w:t xml:space="preserve">note </w:t>
      </w:r>
      <w:r>
        <w:fldChar w:fldCharType="begin"/>
      </w:r>
      <w:r>
        <w:instrText xml:space="preserve"> NOTEREF _Ref15299939 \h </w:instrText>
      </w:r>
      <w:r>
        <w:fldChar w:fldCharType="separate"/>
      </w:r>
      <w:r>
        <w:t>424</w:t>
      </w:r>
      <w:r>
        <w:fldChar w:fldCharType="end"/>
      </w:r>
      <w:r>
        <w:t>, art 356</w:t>
      </w:r>
      <w:r>
        <w:rPr>
          <w:vertAlign w:val="superscript"/>
        </w:rPr>
        <w:t>1</w:t>
      </w:r>
      <w:r>
        <w:t>.</w:t>
      </w:r>
    </w:p>
  </w:footnote>
  <w:footnote w:id="436">
    <w:p w14:paraId="7E5BCC05" w14:textId="5A07A299" w:rsidR="002774A4" w:rsidRPr="00107456" w:rsidRDefault="002774A4" w:rsidP="001256CF">
      <w:pPr>
        <w:pStyle w:val="FootnoteText"/>
      </w:pPr>
      <w:r w:rsidRPr="00107456">
        <w:rPr>
          <w:rStyle w:val="FootnoteReference"/>
        </w:rPr>
        <w:footnoteRef/>
      </w:r>
      <w:r w:rsidRPr="00107456">
        <w:t xml:space="preserve"> </w:t>
      </w:r>
      <w:r>
        <w:t xml:space="preserve">RC ZELDA, </w:t>
      </w:r>
      <w:r>
        <w:rPr>
          <w:i/>
        </w:rPr>
        <w:t>Thematic report,</w:t>
      </w:r>
      <w:r>
        <w:t xml:space="preserve"> </w:t>
      </w:r>
      <w:r>
        <w:rPr>
          <w:i/>
        </w:rPr>
        <w:t xml:space="preserve">supra </w:t>
      </w:r>
      <w:r>
        <w:t xml:space="preserve">note </w:t>
      </w:r>
      <w:r>
        <w:fldChar w:fldCharType="begin"/>
      </w:r>
      <w:r>
        <w:instrText xml:space="preserve"> NOTEREF _Ref15299994 \h </w:instrText>
      </w:r>
      <w:r>
        <w:fldChar w:fldCharType="separate"/>
      </w:r>
      <w:r>
        <w:t>434</w:t>
      </w:r>
      <w:r>
        <w:fldChar w:fldCharType="end"/>
      </w:r>
      <w:r>
        <w:t xml:space="preserve"> at </w:t>
      </w:r>
      <w:proofErr w:type="gramStart"/>
      <w:r>
        <w:t>5</w:t>
      </w:r>
      <w:proofErr w:type="gramEnd"/>
      <w:r>
        <w:rPr>
          <w:i/>
        </w:rPr>
        <w:t>.</w:t>
      </w:r>
    </w:p>
  </w:footnote>
  <w:footnote w:id="437">
    <w:p w14:paraId="7F962678" w14:textId="0D093C92" w:rsidR="002774A4" w:rsidRPr="00572008" w:rsidRDefault="002774A4" w:rsidP="001256CF">
      <w:pPr>
        <w:pStyle w:val="FootnoteText"/>
      </w:pPr>
      <w:r w:rsidRPr="00107456">
        <w:rPr>
          <w:rStyle w:val="FootnoteReference"/>
        </w:rPr>
        <w:footnoteRef/>
      </w:r>
      <w:r>
        <w:t xml:space="preserve"> </w:t>
      </w:r>
      <w:r>
        <w:rPr>
          <w:i/>
        </w:rPr>
        <w:t>The Civil Law of</w:t>
      </w:r>
      <w:r w:rsidRPr="00107456">
        <w:rPr>
          <w:i/>
        </w:rPr>
        <w:t xml:space="preserve"> </w:t>
      </w:r>
      <w:proofErr w:type="gramStart"/>
      <w:r w:rsidRPr="00107456">
        <w:rPr>
          <w:i/>
        </w:rPr>
        <w:t>Latvia</w:t>
      </w:r>
      <w:r w:rsidRPr="00107456">
        <w:t>,</w:t>
      </w:r>
      <w:proofErr w:type="gramEnd"/>
      <w:r w:rsidRPr="00107456">
        <w:t xml:space="preserve"> </w:t>
      </w:r>
      <w:r>
        <w:rPr>
          <w:i/>
        </w:rPr>
        <w:t xml:space="preserve">supra </w:t>
      </w:r>
      <w:r>
        <w:t xml:space="preserve">note </w:t>
      </w:r>
      <w:r>
        <w:fldChar w:fldCharType="begin"/>
      </w:r>
      <w:r>
        <w:instrText xml:space="preserve"> NOTEREF _Ref15299939 \h </w:instrText>
      </w:r>
      <w:r>
        <w:fldChar w:fldCharType="separate"/>
      </w:r>
      <w:r>
        <w:t>424</w:t>
      </w:r>
      <w:r>
        <w:fldChar w:fldCharType="end"/>
      </w:r>
      <w:r>
        <w:t>, art</w:t>
      </w:r>
      <w:r w:rsidRPr="00107456">
        <w:t xml:space="preserve"> 358</w:t>
      </w:r>
      <w:r>
        <w:rPr>
          <w:vertAlign w:val="superscript"/>
        </w:rPr>
        <w:t>1</w:t>
      </w:r>
      <w:r>
        <w:t>.</w:t>
      </w:r>
    </w:p>
  </w:footnote>
  <w:footnote w:id="438">
    <w:p w14:paraId="7AE90DAE" w14:textId="3ACF9007" w:rsidR="002774A4" w:rsidRPr="00FC489F" w:rsidRDefault="002774A4">
      <w:pPr>
        <w:pStyle w:val="FootnoteText"/>
      </w:pPr>
      <w:r>
        <w:rPr>
          <w:rStyle w:val="FootnoteReference"/>
        </w:rPr>
        <w:footnoteRef/>
      </w:r>
      <w:r>
        <w:t xml:space="preserve"> </w:t>
      </w:r>
      <w:r>
        <w:rPr>
          <w:i/>
        </w:rPr>
        <w:t>Ibid,</w:t>
      </w:r>
      <w:r>
        <w:t xml:space="preserve"> arts 358 &amp; 1411.</w:t>
      </w:r>
    </w:p>
  </w:footnote>
  <w:footnote w:id="439">
    <w:p w14:paraId="5CA55BC7" w14:textId="0E2188D5" w:rsidR="002774A4" w:rsidRPr="00DD4CF4" w:rsidRDefault="002774A4">
      <w:pPr>
        <w:pStyle w:val="FootnoteText"/>
      </w:pPr>
      <w:r>
        <w:rPr>
          <w:rStyle w:val="FootnoteReference"/>
        </w:rPr>
        <w:footnoteRef/>
      </w:r>
      <w:r>
        <w:t xml:space="preserve"> </w:t>
      </w:r>
      <w:r>
        <w:rPr>
          <w:i/>
        </w:rPr>
        <w:t xml:space="preserve">Ibid, </w:t>
      </w:r>
      <w:r>
        <w:t xml:space="preserve">art </w:t>
      </w:r>
      <w:proofErr w:type="gramStart"/>
      <w:r>
        <w:t>358.</w:t>
      </w:r>
      <w:proofErr w:type="gramEnd"/>
    </w:p>
  </w:footnote>
  <w:footnote w:id="440">
    <w:p w14:paraId="2ACE4166" w14:textId="333739E8" w:rsidR="002774A4" w:rsidRPr="009E48E2" w:rsidRDefault="002774A4">
      <w:pPr>
        <w:pStyle w:val="FootnoteText"/>
      </w:pPr>
      <w:r>
        <w:rPr>
          <w:rStyle w:val="FootnoteReference"/>
        </w:rPr>
        <w:footnoteRef/>
      </w:r>
      <w:r>
        <w:t xml:space="preserve"> </w:t>
      </w:r>
      <w:proofErr w:type="gramStart"/>
      <w:r>
        <w:rPr>
          <w:i/>
        </w:rPr>
        <w:t>Ibid;</w:t>
      </w:r>
      <w:proofErr w:type="gramEnd"/>
      <w:r>
        <w:t xml:space="preserve"> RC ZELDA, </w:t>
      </w:r>
      <w:r>
        <w:rPr>
          <w:i/>
        </w:rPr>
        <w:t>Thematic report,</w:t>
      </w:r>
      <w:r>
        <w:t xml:space="preserve"> </w:t>
      </w:r>
      <w:r>
        <w:rPr>
          <w:i/>
        </w:rPr>
        <w:t xml:space="preserve">supra </w:t>
      </w:r>
      <w:r>
        <w:t xml:space="preserve">note </w:t>
      </w:r>
      <w:r>
        <w:fldChar w:fldCharType="begin"/>
      </w:r>
      <w:r>
        <w:instrText xml:space="preserve"> NOTEREF _Ref15299994 \h </w:instrText>
      </w:r>
      <w:r>
        <w:fldChar w:fldCharType="separate"/>
      </w:r>
      <w:r>
        <w:t>434</w:t>
      </w:r>
      <w:r>
        <w:fldChar w:fldCharType="end"/>
      </w:r>
      <w:r>
        <w:t xml:space="preserve"> at 6.</w:t>
      </w:r>
    </w:p>
  </w:footnote>
  <w:footnote w:id="441">
    <w:p w14:paraId="79BE42E0" w14:textId="212F4380" w:rsidR="002774A4" w:rsidRPr="00AA52F8" w:rsidRDefault="002774A4">
      <w:pPr>
        <w:pStyle w:val="FootnoteText"/>
      </w:pPr>
      <w:r>
        <w:rPr>
          <w:rStyle w:val="FootnoteReference"/>
        </w:rPr>
        <w:footnoteRef/>
      </w:r>
      <w:r>
        <w:t xml:space="preserve"> </w:t>
      </w:r>
      <w:r>
        <w:rPr>
          <w:i/>
        </w:rPr>
        <w:t xml:space="preserve">The Civil Law of </w:t>
      </w:r>
      <w:proofErr w:type="gramStart"/>
      <w:r>
        <w:rPr>
          <w:i/>
        </w:rPr>
        <w:t>Latvia</w:t>
      </w:r>
      <w:r w:rsidRPr="00107456">
        <w:t>,</w:t>
      </w:r>
      <w:proofErr w:type="gramEnd"/>
      <w:r w:rsidRPr="00107456">
        <w:t xml:space="preserve"> </w:t>
      </w:r>
      <w:r>
        <w:rPr>
          <w:i/>
        </w:rPr>
        <w:t xml:space="preserve">supra </w:t>
      </w:r>
      <w:r>
        <w:t xml:space="preserve">note </w:t>
      </w:r>
      <w:r>
        <w:fldChar w:fldCharType="begin"/>
      </w:r>
      <w:r>
        <w:instrText xml:space="preserve"> NOTEREF _Ref15299939 \h </w:instrText>
      </w:r>
      <w:r>
        <w:fldChar w:fldCharType="separate"/>
      </w:r>
      <w:r>
        <w:t>424</w:t>
      </w:r>
      <w:r>
        <w:fldChar w:fldCharType="end"/>
      </w:r>
      <w:r>
        <w:t>, art 355.</w:t>
      </w:r>
    </w:p>
  </w:footnote>
  <w:footnote w:id="442">
    <w:p w14:paraId="1ABBDE7A" w14:textId="6E641972" w:rsidR="002774A4" w:rsidRPr="00C13650" w:rsidRDefault="002774A4">
      <w:pPr>
        <w:pStyle w:val="FootnoteText"/>
      </w:pPr>
      <w:r>
        <w:rPr>
          <w:rStyle w:val="FootnoteReference"/>
        </w:rPr>
        <w:footnoteRef/>
      </w:r>
      <w:r>
        <w:t xml:space="preserve"> </w:t>
      </w:r>
      <w:r>
        <w:rPr>
          <w:i/>
        </w:rPr>
        <w:t>Ibid.</w:t>
      </w:r>
    </w:p>
  </w:footnote>
  <w:footnote w:id="443">
    <w:p w14:paraId="0590CF8D" w14:textId="200F5DF8" w:rsidR="002774A4" w:rsidRPr="000775A8" w:rsidRDefault="002774A4">
      <w:pPr>
        <w:pStyle w:val="FootnoteText"/>
      </w:pPr>
      <w:r>
        <w:rPr>
          <w:rStyle w:val="FootnoteReference"/>
        </w:rPr>
        <w:footnoteRef/>
      </w:r>
      <w:r>
        <w:t xml:space="preserve"> </w:t>
      </w:r>
      <w:r>
        <w:rPr>
          <w:i/>
        </w:rPr>
        <w:t xml:space="preserve">Ibid, </w:t>
      </w:r>
      <w:r>
        <w:t xml:space="preserve">art </w:t>
      </w:r>
      <w:proofErr w:type="gramStart"/>
      <w:r>
        <w:t>364.</w:t>
      </w:r>
      <w:proofErr w:type="gramEnd"/>
    </w:p>
  </w:footnote>
  <w:footnote w:id="444">
    <w:p w14:paraId="66EBC34A" w14:textId="119452A8" w:rsidR="002774A4" w:rsidRPr="00E748D1" w:rsidRDefault="002774A4">
      <w:pPr>
        <w:pStyle w:val="FootnoteText"/>
      </w:pPr>
      <w:r>
        <w:rPr>
          <w:rStyle w:val="FootnoteReference"/>
        </w:rPr>
        <w:footnoteRef/>
      </w:r>
      <w:r>
        <w:t xml:space="preserve"> </w:t>
      </w:r>
      <w:r>
        <w:rPr>
          <w:i/>
        </w:rPr>
        <w:t xml:space="preserve">Ibid, </w:t>
      </w:r>
      <w:r>
        <w:t xml:space="preserve">art </w:t>
      </w:r>
      <w:proofErr w:type="gramStart"/>
      <w:r>
        <w:t>2317.</w:t>
      </w:r>
      <w:proofErr w:type="gramEnd"/>
    </w:p>
  </w:footnote>
  <w:footnote w:id="445">
    <w:p w14:paraId="14B1736C" w14:textId="58294396" w:rsidR="002774A4" w:rsidRPr="00EF72C4" w:rsidRDefault="002774A4">
      <w:pPr>
        <w:pStyle w:val="FootnoteText"/>
      </w:pPr>
      <w:r>
        <w:rPr>
          <w:rStyle w:val="FootnoteReference"/>
        </w:rPr>
        <w:footnoteRef/>
      </w:r>
      <w:r>
        <w:t xml:space="preserve"> </w:t>
      </w:r>
      <w:r>
        <w:rPr>
          <w:i/>
        </w:rPr>
        <w:t>Ibid.</w:t>
      </w:r>
    </w:p>
  </w:footnote>
  <w:footnote w:id="446">
    <w:p w14:paraId="7442FB43" w14:textId="22D093B0" w:rsidR="002774A4" w:rsidRPr="00871B65" w:rsidRDefault="002774A4">
      <w:pPr>
        <w:pStyle w:val="FootnoteText"/>
      </w:pPr>
      <w:r>
        <w:rPr>
          <w:rStyle w:val="FootnoteReference"/>
        </w:rPr>
        <w:footnoteRef/>
      </w:r>
      <w:r>
        <w:t xml:space="preserve"> See </w:t>
      </w:r>
      <w:r>
        <w:rPr>
          <w:i/>
        </w:rPr>
        <w:t xml:space="preserve">Ibid, </w:t>
      </w:r>
      <w:r>
        <w:t>art 356</w:t>
      </w:r>
      <w:r>
        <w:rPr>
          <w:vertAlign w:val="superscript"/>
        </w:rPr>
        <w:t>1</w:t>
      </w:r>
      <w:r>
        <w:t>.</w:t>
      </w:r>
    </w:p>
  </w:footnote>
  <w:footnote w:id="447">
    <w:p w14:paraId="1C73A150" w14:textId="6B96D59B" w:rsidR="002774A4" w:rsidRPr="00572008" w:rsidRDefault="002774A4" w:rsidP="00AE2AF7">
      <w:pPr>
        <w:pStyle w:val="FootnoteText"/>
      </w:pPr>
      <w:r>
        <w:rPr>
          <w:rStyle w:val="FootnoteReference"/>
        </w:rPr>
        <w:footnoteRef/>
      </w:r>
      <w:r>
        <w:t xml:space="preserve"> </w:t>
      </w:r>
      <w:r>
        <w:rPr>
          <w:i/>
        </w:rPr>
        <w:t xml:space="preserve">Ibid, </w:t>
      </w:r>
      <w:r>
        <w:t xml:space="preserve">art </w:t>
      </w:r>
      <w:proofErr w:type="gramStart"/>
      <w:r>
        <w:t>358.</w:t>
      </w:r>
      <w:proofErr w:type="gramEnd"/>
    </w:p>
  </w:footnote>
  <w:footnote w:id="448">
    <w:p w14:paraId="71D229AF" w14:textId="1D47B7E5" w:rsidR="002774A4" w:rsidRPr="009F5380" w:rsidRDefault="002774A4">
      <w:pPr>
        <w:pStyle w:val="FootnoteText"/>
      </w:pPr>
      <w:r>
        <w:rPr>
          <w:rStyle w:val="FootnoteReference"/>
        </w:rPr>
        <w:footnoteRef/>
      </w:r>
      <w:r>
        <w:t xml:space="preserve"> See Committee on the Rights of Persons with Disabilities, “General comment No.1,” </w:t>
      </w:r>
      <w:r>
        <w:rPr>
          <w:i/>
        </w:rPr>
        <w:t xml:space="preserve">supra </w:t>
      </w:r>
      <w:r>
        <w:t xml:space="preserve">note </w:t>
      </w:r>
      <w:r>
        <w:fldChar w:fldCharType="begin"/>
      </w:r>
      <w:r>
        <w:instrText xml:space="preserve"> NOTEREF _Ref15295251 \h </w:instrText>
      </w:r>
      <w:r>
        <w:fldChar w:fldCharType="separate"/>
      </w:r>
      <w:proofErr w:type="gramStart"/>
      <w:r>
        <w:t>7</w:t>
      </w:r>
      <w:proofErr w:type="gramEnd"/>
      <w:r>
        <w:fldChar w:fldCharType="end"/>
      </w:r>
      <w:r>
        <w:t xml:space="preserve"> at para 15.</w:t>
      </w:r>
    </w:p>
  </w:footnote>
  <w:footnote w:id="449">
    <w:p w14:paraId="7C484CEE" w14:textId="1DC63D29" w:rsidR="002774A4" w:rsidRDefault="002774A4">
      <w:pPr>
        <w:pStyle w:val="FootnoteText"/>
      </w:pPr>
      <w:r>
        <w:rPr>
          <w:rStyle w:val="FootnoteReference"/>
        </w:rPr>
        <w:footnoteRef/>
      </w:r>
      <w:r>
        <w:t xml:space="preserve"> RC ZELDA, </w:t>
      </w:r>
      <w:r>
        <w:rPr>
          <w:i/>
        </w:rPr>
        <w:t xml:space="preserve">Thematic report, supra </w:t>
      </w:r>
      <w:r>
        <w:t xml:space="preserve">note </w:t>
      </w:r>
      <w:r>
        <w:fldChar w:fldCharType="begin"/>
      </w:r>
      <w:r>
        <w:instrText xml:space="preserve"> NOTEREF _Ref15299994 \h </w:instrText>
      </w:r>
      <w:r>
        <w:fldChar w:fldCharType="separate"/>
      </w:r>
      <w:r>
        <w:t>434</w:t>
      </w:r>
      <w:r>
        <w:fldChar w:fldCharType="end"/>
      </w:r>
      <w:r>
        <w:fldChar w:fldCharType="begin"/>
      </w:r>
      <w:r>
        <w:instrText xml:space="preserve"> NOTEREF _Ref15299994 \h </w:instrText>
      </w:r>
      <w:r>
        <w:fldChar w:fldCharType="end"/>
      </w:r>
      <w:r>
        <w:t xml:space="preserve"> at </w:t>
      </w:r>
      <w:proofErr w:type="gramStart"/>
      <w:r>
        <w:t>6</w:t>
      </w:r>
      <w:proofErr w:type="gramEnd"/>
      <w:r>
        <w:t>.</w:t>
      </w:r>
    </w:p>
  </w:footnote>
  <w:footnote w:id="450">
    <w:p w14:paraId="1F692A16" w14:textId="0056ECB8" w:rsidR="002774A4" w:rsidRPr="001B342B" w:rsidRDefault="002774A4" w:rsidP="00F724B7">
      <w:pPr>
        <w:pStyle w:val="FootnoteText"/>
      </w:pPr>
      <w:r>
        <w:rPr>
          <w:rStyle w:val="FootnoteReference"/>
        </w:rPr>
        <w:footnoteRef/>
      </w:r>
      <w:r>
        <w:t xml:space="preserve"> Committee on the Rights of Persons with Disabilities, </w:t>
      </w:r>
      <w:r>
        <w:rPr>
          <w:i/>
        </w:rPr>
        <w:t xml:space="preserve">Concluding observations on the initial report of Latvia </w:t>
      </w:r>
      <w:r>
        <w:t>(10 October 2017) at para 21, online: &lt;</w:t>
      </w:r>
      <w:r w:rsidRPr="005936C6">
        <w:t xml:space="preserve"> </w:t>
      </w:r>
      <w:hyperlink r:id="rId14" w:history="1">
        <w:r w:rsidRPr="00CA63FA">
          <w:rPr>
            <w:rStyle w:val="Hyperlink"/>
          </w:rPr>
          <w:t>http://docstore.ohchr.org/SelfServices/FilesHandler.ashx?enc=6QkG1d%2fPPRiCAqhKb7yhsiyaiCIuQzff7FUjD97cNmlMwHPw42Pi74CX9nqtwZb5qlEktwaQ2x8FfTttXJ0XRXWKqzZxg9%2fh7C25wlyrQ7Z84yHwWFin%2fZGIu%2bHYTWea</w:t>
        </w:r>
      </w:hyperlink>
      <w:r>
        <w:t xml:space="preserve">&gt;. </w:t>
      </w:r>
    </w:p>
  </w:footnote>
  <w:footnote w:id="451">
    <w:p w14:paraId="3E26D387" w14:textId="021ED489" w:rsidR="002774A4" w:rsidRPr="00186D7B" w:rsidRDefault="002774A4">
      <w:pPr>
        <w:pStyle w:val="FootnoteText"/>
      </w:pPr>
      <w:r>
        <w:rPr>
          <w:rStyle w:val="FootnoteReference"/>
        </w:rPr>
        <w:footnoteRef/>
      </w:r>
      <w:r>
        <w:t xml:space="preserve"> </w:t>
      </w:r>
      <w:r>
        <w:rPr>
          <w:i/>
        </w:rPr>
        <w:t xml:space="preserve">The Civil Law of </w:t>
      </w:r>
      <w:proofErr w:type="gramStart"/>
      <w:r>
        <w:rPr>
          <w:i/>
        </w:rPr>
        <w:t>Latvia</w:t>
      </w:r>
      <w:r w:rsidRPr="00107456">
        <w:t>,</w:t>
      </w:r>
      <w:proofErr w:type="gramEnd"/>
      <w:r w:rsidRPr="00107456">
        <w:t xml:space="preserve"> </w:t>
      </w:r>
      <w:r>
        <w:rPr>
          <w:i/>
        </w:rPr>
        <w:t xml:space="preserve">supra </w:t>
      </w:r>
      <w:r>
        <w:t xml:space="preserve">note </w:t>
      </w:r>
      <w:r>
        <w:fldChar w:fldCharType="begin"/>
      </w:r>
      <w:r>
        <w:instrText xml:space="preserve"> NOTEREF _Ref15299939 \h </w:instrText>
      </w:r>
      <w:r>
        <w:fldChar w:fldCharType="separate"/>
      </w:r>
      <w:r>
        <w:t>424</w:t>
      </w:r>
      <w:r>
        <w:fldChar w:fldCharType="end"/>
      </w:r>
      <w:r>
        <w:t>, art 355.</w:t>
      </w:r>
    </w:p>
  </w:footnote>
  <w:footnote w:id="452">
    <w:p w14:paraId="3F699FE3" w14:textId="6DC55FF3" w:rsidR="002774A4" w:rsidRPr="00C17630" w:rsidRDefault="002774A4" w:rsidP="00C17630">
      <w:pPr>
        <w:rPr>
          <w:sz w:val="20"/>
          <w:szCs w:val="20"/>
        </w:rPr>
      </w:pPr>
      <w:r w:rsidRPr="00C17630">
        <w:rPr>
          <w:rStyle w:val="FootnoteReference"/>
          <w:sz w:val="20"/>
          <w:szCs w:val="20"/>
        </w:rPr>
        <w:footnoteRef/>
      </w:r>
      <w:r>
        <w:rPr>
          <w:sz w:val="20"/>
          <w:szCs w:val="20"/>
        </w:rPr>
        <w:t xml:space="preserve"> </w:t>
      </w:r>
      <w:r w:rsidRPr="00C17630">
        <w:rPr>
          <w:sz w:val="20"/>
          <w:szCs w:val="20"/>
        </w:rPr>
        <w:t xml:space="preserve">MDAC, “Latvia Abolishes Plenary Guardianship,” </w:t>
      </w:r>
      <w:r w:rsidRPr="00C17630">
        <w:rPr>
          <w:i/>
          <w:sz w:val="20"/>
          <w:szCs w:val="20"/>
        </w:rPr>
        <w:t xml:space="preserve">supra </w:t>
      </w:r>
      <w:r w:rsidRPr="00C17630">
        <w:rPr>
          <w:sz w:val="20"/>
          <w:szCs w:val="20"/>
        </w:rPr>
        <w:t xml:space="preserve">note </w:t>
      </w:r>
      <w:r>
        <w:rPr>
          <w:sz w:val="20"/>
          <w:szCs w:val="20"/>
        </w:rPr>
        <w:fldChar w:fldCharType="begin"/>
      </w:r>
      <w:r>
        <w:rPr>
          <w:sz w:val="20"/>
          <w:szCs w:val="20"/>
        </w:rPr>
        <w:instrText xml:space="preserve"> NOTEREF _Ref15299894 \h </w:instrText>
      </w:r>
      <w:r>
        <w:rPr>
          <w:sz w:val="20"/>
          <w:szCs w:val="20"/>
        </w:rPr>
      </w:r>
      <w:r>
        <w:rPr>
          <w:sz w:val="20"/>
          <w:szCs w:val="20"/>
        </w:rPr>
        <w:fldChar w:fldCharType="separate"/>
      </w:r>
      <w:r>
        <w:rPr>
          <w:sz w:val="20"/>
          <w:szCs w:val="20"/>
        </w:rPr>
        <w:t>426</w:t>
      </w:r>
      <w:r>
        <w:rPr>
          <w:sz w:val="20"/>
          <w:szCs w:val="20"/>
        </w:rPr>
        <w:fldChar w:fldCharType="end"/>
      </w:r>
      <w:r w:rsidRPr="00C17630">
        <w:rPr>
          <w:sz w:val="20"/>
          <w:szCs w:val="20"/>
        </w:rPr>
        <w:t xml:space="preserve">; See </w:t>
      </w:r>
      <w:proofErr w:type="spellStart"/>
      <w:r w:rsidRPr="00C17630">
        <w:rPr>
          <w:sz w:val="20"/>
          <w:szCs w:val="20"/>
        </w:rPr>
        <w:t>Devendas</w:t>
      </w:r>
      <w:proofErr w:type="spellEnd"/>
      <w:r w:rsidRPr="00C17630">
        <w:rPr>
          <w:sz w:val="20"/>
          <w:szCs w:val="20"/>
        </w:rPr>
        <w:t xml:space="preserve"> Aguilar, </w:t>
      </w:r>
      <w:r w:rsidRPr="00C17630">
        <w:rPr>
          <w:i/>
          <w:sz w:val="20"/>
          <w:szCs w:val="20"/>
        </w:rPr>
        <w:t xml:space="preserve">supra </w:t>
      </w:r>
      <w:r w:rsidRPr="00C17630">
        <w:rPr>
          <w:sz w:val="20"/>
          <w:szCs w:val="20"/>
        </w:rPr>
        <w:t xml:space="preserve">note </w:t>
      </w:r>
      <w:r w:rsidRPr="00C17630">
        <w:rPr>
          <w:sz w:val="20"/>
          <w:szCs w:val="20"/>
        </w:rPr>
        <w:fldChar w:fldCharType="begin"/>
      </w:r>
      <w:r w:rsidRPr="00C17630">
        <w:rPr>
          <w:sz w:val="20"/>
          <w:szCs w:val="20"/>
        </w:rPr>
        <w:instrText xml:space="preserve"> NOTEREF _Ref15295121 \h  \* MERGEFORMAT </w:instrText>
      </w:r>
      <w:r w:rsidRPr="00C17630">
        <w:rPr>
          <w:sz w:val="20"/>
          <w:szCs w:val="20"/>
        </w:rPr>
      </w:r>
      <w:r w:rsidRPr="00C17630">
        <w:rPr>
          <w:sz w:val="20"/>
          <w:szCs w:val="20"/>
        </w:rPr>
        <w:fldChar w:fldCharType="separate"/>
      </w:r>
      <w:proofErr w:type="gramStart"/>
      <w:r w:rsidRPr="00C17630">
        <w:rPr>
          <w:sz w:val="20"/>
          <w:szCs w:val="20"/>
        </w:rPr>
        <w:t>8</w:t>
      </w:r>
      <w:proofErr w:type="gramEnd"/>
      <w:r w:rsidRPr="00C17630">
        <w:rPr>
          <w:sz w:val="20"/>
          <w:szCs w:val="20"/>
        </w:rPr>
        <w:fldChar w:fldCharType="end"/>
      </w:r>
      <w:r w:rsidRPr="00C17630">
        <w:rPr>
          <w:sz w:val="20"/>
          <w:szCs w:val="20"/>
        </w:rPr>
        <w:t xml:space="preserve"> at para 45.</w:t>
      </w:r>
    </w:p>
  </w:footnote>
  <w:footnote w:id="453">
    <w:p w14:paraId="7E3E1566" w14:textId="37FDBD35" w:rsidR="002774A4" w:rsidRPr="00E1073B" w:rsidRDefault="002774A4">
      <w:pPr>
        <w:pStyle w:val="FootnoteText"/>
      </w:pPr>
      <w:r>
        <w:rPr>
          <w:rStyle w:val="FootnoteReference"/>
        </w:rPr>
        <w:footnoteRef/>
      </w:r>
      <w:r>
        <w:t xml:space="preserve"> See </w:t>
      </w:r>
      <w:r>
        <w:rPr>
          <w:i/>
        </w:rPr>
        <w:t xml:space="preserve">The Civil Law of </w:t>
      </w:r>
      <w:proofErr w:type="gramStart"/>
      <w:r>
        <w:rPr>
          <w:i/>
        </w:rPr>
        <w:t>Latvia</w:t>
      </w:r>
      <w:r w:rsidRPr="00107456">
        <w:t>,</w:t>
      </w:r>
      <w:proofErr w:type="gramEnd"/>
      <w:r w:rsidRPr="00107456">
        <w:t xml:space="preserve"> </w:t>
      </w:r>
      <w:r>
        <w:rPr>
          <w:i/>
        </w:rPr>
        <w:t xml:space="preserve">supra </w:t>
      </w:r>
      <w:r>
        <w:t xml:space="preserve">note </w:t>
      </w:r>
      <w:r>
        <w:fldChar w:fldCharType="begin"/>
      </w:r>
      <w:r>
        <w:instrText xml:space="preserve"> NOTEREF _Ref15299939 \h </w:instrText>
      </w:r>
      <w:r>
        <w:fldChar w:fldCharType="separate"/>
      </w:r>
      <w:r>
        <w:t>424</w:t>
      </w:r>
      <w:r>
        <w:fldChar w:fldCharType="end"/>
      </w:r>
      <w:r>
        <w:rPr>
          <w:i/>
        </w:rPr>
        <w:t xml:space="preserve">, </w:t>
      </w:r>
      <w:r>
        <w:t>art 358.</w:t>
      </w:r>
    </w:p>
  </w:footnote>
  <w:footnote w:id="454">
    <w:p w14:paraId="610BBC92" w14:textId="5EFB068D" w:rsidR="002774A4" w:rsidRPr="00503DE0" w:rsidRDefault="002774A4" w:rsidP="00095BE4">
      <w:pPr>
        <w:pStyle w:val="FootnoteText"/>
      </w:pPr>
      <w:r>
        <w:rPr>
          <w:rStyle w:val="FootnoteReference"/>
        </w:rPr>
        <w:footnoteRef/>
      </w:r>
      <w:r>
        <w:t xml:space="preserve"> </w:t>
      </w:r>
      <w:r>
        <w:rPr>
          <w:i/>
        </w:rPr>
        <w:t xml:space="preserve">Ibid, </w:t>
      </w:r>
      <w:r>
        <w:t xml:space="preserve">art </w:t>
      </w:r>
      <w:proofErr w:type="gramStart"/>
      <w:r>
        <w:t>364.</w:t>
      </w:r>
      <w:proofErr w:type="gramEnd"/>
    </w:p>
  </w:footnote>
  <w:footnote w:id="455">
    <w:p w14:paraId="33E5E4A5" w14:textId="354D5F09" w:rsidR="002774A4" w:rsidRPr="008B7CE5" w:rsidRDefault="002774A4">
      <w:pPr>
        <w:pStyle w:val="FootnoteText"/>
      </w:pPr>
      <w:r>
        <w:rPr>
          <w:rStyle w:val="FootnoteReference"/>
        </w:rPr>
        <w:footnoteRef/>
      </w:r>
      <w:r>
        <w:t xml:space="preserve"> </w:t>
      </w:r>
      <w:r>
        <w:rPr>
          <w:i/>
        </w:rPr>
        <w:t xml:space="preserve">Ibid, </w:t>
      </w:r>
      <w:r>
        <w:t xml:space="preserve">art </w:t>
      </w:r>
      <w:proofErr w:type="gramStart"/>
      <w:r>
        <w:t>2317.</w:t>
      </w:r>
      <w:proofErr w:type="gramEnd"/>
    </w:p>
  </w:footnote>
  <w:footnote w:id="456">
    <w:p w14:paraId="7C5C0B6B" w14:textId="711D2719" w:rsidR="002774A4" w:rsidRDefault="002774A4">
      <w:pPr>
        <w:pStyle w:val="FootnoteText"/>
      </w:pPr>
      <w:r>
        <w:rPr>
          <w:rStyle w:val="FootnoteReference"/>
        </w:rPr>
        <w:footnoteRef/>
      </w:r>
      <w:r>
        <w:t xml:space="preserve"> Committee on the Rights of Persons with Disabilities, “General comment No.1,” </w:t>
      </w:r>
      <w:r>
        <w:rPr>
          <w:i/>
        </w:rPr>
        <w:t xml:space="preserve">supra </w:t>
      </w:r>
      <w:r>
        <w:t xml:space="preserve">note </w:t>
      </w:r>
      <w:r>
        <w:fldChar w:fldCharType="begin"/>
      </w:r>
      <w:r>
        <w:instrText xml:space="preserve"> NOTEREF _Ref15295251 \h </w:instrText>
      </w:r>
      <w:r>
        <w:fldChar w:fldCharType="separate"/>
      </w:r>
      <w:proofErr w:type="gramStart"/>
      <w:r>
        <w:t>7</w:t>
      </w:r>
      <w:proofErr w:type="gramEnd"/>
      <w:r>
        <w:fldChar w:fldCharType="end"/>
      </w:r>
      <w:r>
        <w:t xml:space="preserve"> at para 17.</w:t>
      </w:r>
    </w:p>
  </w:footnote>
  <w:footnote w:id="457">
    <w:p w14:paraId="24B72736" w14:textId="0C3E814D" w:rsidR="002774A4" w:rsidRDefault="002774A4">
      <w:pPr>
        <w:pStyle w:val="FootnoteText"/>
      </w:pPr>
      <w:r>
        <w:rPr>
          <w:rStyle w:val="FootnoteReference"/>
        </w:rPr>
        <w:footnoteRef/>
      </w:r>
      <w:r>
        <w:t xml:space="preserve"> Committee on the Rights of Persons with Disabilities, </w:t>
      </w:r>
      <w:r>
        <w:rPr>
          <w:i/>
        </w:rPr>
        <w:t xml:space="preserve">Concluding observations on the initial report of Latvia, supra </w:t>
      </w:r>
      <w:r>
        <w:t xml:space="preserve">note </w:t>
      </w:r>
      <w:r>
        <w:fldChar w:fldCharType="begin"/>
      </w:r>
      <w:r>
        <w:instrText xml:space="preserve"> NOTEREF _Ref15300501 \h </w:instrText>
      </w:r>
      <w:r>
        <w:fldChar w:fldCharType="separate"/>
      </w:r>
      <w:r>
        <w:t>450</w:t>
      </w:r>
      <w:r>
        <w:fldChar w:fldCharType="end"/>
      </w:r>
      <w:r>
        <w:t xml:space="preserve"> at para 21.</w:t>
      </w:r>
    </w:p>
  </w:footnote>
  <w:footnote w:id="458">
    <w:p w14:paraId="7294A727" w14:textId="6C314CEC" w:rsidR="002774A4" w:rsidRPr="00E80FBA" w:rsidRDefault="002774A4">
      <w:pPr>
        <w:pStyle w:val="FootnoteText"/>
      </w:pPr>
      <w:r>
        <w:rPr>
          <w:rStyle w:val="FootnoteReference"/>
        </w:rPr>
        <w:footnoteRef/>
      </w:r>
      <w:r>
        <w:t xml:space="preserve"> RC ZELDA, </w:t>
      </w:r>
      <w:r>
        <w:rPr>
          <w:i/>
        </w:rPr>
        <w:t>Thematic report,</w:t>
      </w:r>
      <w:r>
        <w:t xml:space="preserve"> </w:t>
      </w:r>
      <w:r>
        <w:rPr>
          <w:i/>
        </w:rPr>
        <w:t xml:space="preserve">supra </w:t>
      </w:r>
      <w:r>
        <w:t xml:space="preserve">note </w:t>
      </w:r>
      <w:r>
        <w:fldChar w:fldCharType="begin"/>
      </w:r>
      <w:r>
        <w:instrText xml:space="preserve"> NOTEREF _Ref15299994 \h </w:instrText>
      </w:r>
      <w:r>
        <w:fldChar w:fldCharType="separate"/>
      </w:r>
      <w:r>
        <w:t>434</w:t>
      </w:r>
      <w:r>
        <w:fldChar w:fldCharType="end"/>
      </w:r>
      <w:r>
        <w:t xml:space="preserve"> at </w:t>
      </w:r>
      <w:proofErr w:type="gramStart"/>
      <w:r>
        <w:t>6</w:t>
      </w:r>
      <w:proofErr w:type="gramEnd"/>
      <w:r>
        <w:t>.</w:t>
      </w:r>
    </w:p>
  </w:footnote>
  <w:footnote w:id="459">
    <w:p w14:paraId="3BCEE34C" w14:textId="6670FB71" w:rsidR="002774A4" w:rsidRDefault="002774A4">
      <w:pPr>
        <w:pStyle w:val="FootnoteText"/>
      </w:pPr>
      <w:r>
        <w:rPr>
          <w:rStyle w:val="FootnoteReference"/>
        </w:rPr>
        <w:footnoteRef/>
      </w:r>
      <w:r>
        <w:t xml:space="preserve"> “Committee on the Rights of Persons with Disabilities considers the initial report of Latvia” (22 August 2017), online: </w:t>
      </w:r>
      <w:r>
        <w:rPr>
          <w:i/>
        </w:rPr>
        <w:t xml:space="preserve">United Nations Human Rights Office of the High Commissioner </w:t>
      </w:r>
      <w:r>
        <w:t>&lt;</w:t>
      </w:r>
      <w:r w:rsidRPr="002802BB">
        <w:t>https://www.ohchr.org/en/NewsEvents/Pages/DisplayNews.aspx?NewsID=21989&amp;LangID=E</w:t>
      </w:r>
      <w:r>
        <w:t xml:space="preserve">&gt;. </w:t>
      </w:r>
    </w:p>
  </w:footnote>
  <w:footnote w:id="460">
    <w:p w14:paraId="4924D508" w14:textId="1AE26130" w:rsidR="002774A4" w:rsidRPr="00522BEA" w:rsidRDefault="002774A4">
      <w:pPr>
        <w:pStyle w:val="FootnoteText"/>
        <w:rPr>
          <w:i/>
        </w:rPr>
      </w:pPr>
      <w:r>
        <w:rPr>
          <w:rStyle w:val="FootnoteReference"/>
        </w:rPr>
        <w:footnoteRef/>
      </w:r>
      <w:r>
        <w:t xml:space="preserve"> </w:t>
      </w:r>
      <w:r>
        <w:rPr>
          <w:i/>
        </w:rPr>
        <w:t>Ibid.</w:t>
      </w:r>
    </w:p>
  </w:footnote>
  <w:footnote w:id="461">
    <w:p w14:paraId="5F9E8DF0" w14:textId="44E0472D" w:rsidR="002774A4" w:rsidRPr="00522BEA" w:rsidRDefault="002774A4">
      <w:pPr>
        <w:pStyle w:val="FootnoteText"/>
        <w:rPr>
          <w:i/>
        </w:rPr>
      </w:pPr>
      <w:r>
        <w:rPr>
          <w:rStyle w:val="FootnoteReference"/>
        </w:rPr>
        <w:footnoteRef/>
      </w:r>
      <w:r>
        <w:t xml:space="preserve"> </w:t>
      </w:r>
      <w:r>
        <w:rPr>
          <w:i/>
        </w:rPr>
        <w:t>Ibid.</w:t>
      </w:r>
    </w:p>
  </w:footnote>
  <w:footnote w:id="462">
    <w:p w14:paraId="46DCD0A8" w14:textId="2F0900C7" w:rsidR="002774A4" w:rsidRPr="00697CBD" w:rsidRDefault="002774A4" w:rsidP="00697CBD">
      <w:pPr>
        <w:rPr>
          <w:sz w:val="20"/>
          <w:szCs w:val="20"/>
        </w:rPr>
      </w:pPr>
      <w:r w:rsidRPr="006B0C3D">
        <w:rPr>
          <w:rStyle w:val="FootnoteReference"/>
          <w:sz w:val="20"/>
          <w:szCs w:val="20"/>
        </w:rPr>
        <w:footnoteRef/>
      </w:r>
      <w:r w:rsidRPr="006B0C3D">
        <w:rPr>
          <w:sz w:val="20"/>
          <w:szCs w:val="20"/>
        </w:rPr>
        <w:t xml:space="preserve"> </w:t>
      </w:r>
      <w:r w:rsidRPr="00650605">
        <w:rPr>
          <w:i/>
          <w:color w:val="000000"/>
          <w:sz w:val="20"/>
          <w:szCs w:val="20"/>
        </w:rPr>
        <w:t>Family Act</w:t>
      </w:r>
      <w:r w:rsidRPr="006B0C3D">
        <w:rPr>
          <w:color w:val="000000"/>
          <w:sz w:val="20"/>
          <w:szCs w:val="20"/>
        </w:rPr>
        <w:t xml:space="preserve"> </w:t>
      </w:r>
      <w:r>
        <w:rPr>
          <w:color w:val="000000"/>
          <w:sz w:val="20"/>
          <w:szCs w:val="20"/>
        </w:rPr>
        <w:t>(2014), Croatia, 1 November 2015, online (in Croatian): &lt;</w:t>
      </w:r>
      <w:r w:rsidRPr="00151E2B">
        <w:rPr>
          <w:color w:val="000000"/>
          <w:sz w:val="20"/>
          <w:szCs w:val="20"/>
        </w:rPr>
        <w:t>https://www.zakon.hr/z/88/Obiteljski-zakon</w:t>
      </w:r>
      <w:r>
        <w:rPr>
          <w:color w:val="000000"/>
          <w:sz w:val="20"/>
          <w:szCs w:val="20"/>
        </w:rPr>
        <w:t xml:space="preserve">&gt;. See also Human Rights Watch, </w:t>
      </w:r>
      <w:r>
        <w:rPr>
          <w:i/>
          <w:color w:val="000000"/>
          <w:sz w:val="20"/>
          <w:szCs w:val="20"/>
        </w:rPr>
        <w:t xml:space="preserve">Human Rights Watch </w:t>
      </w:r>
      <w:r w:rsidRPr="00195C59">
        <w:rPr>
          <w:i/>
          <w:color w:val="000000"/>
          <w:sz w:val="20"/>
          <w:szCs w:val="20"/>
        </w:rPr>
        <w:t>Submission to the</w:t>
      </w:r>
      <w:r>
        <w:rPr>
          <w:i/>
          <w:color w:val="000000"/>
          <w:sz w:val="20"/>
          <w:szCs w:val="20"/>
        </w:rPr>
        <w:t xml:space="preserve"> United Nations on Croatia </w:t>
      </w:r>
      <w:r>
        <w:rPr>
          <w:color w:val="000000"/>
          <w:sz w:val="20"/>
          <w:szCs w:val="20"/>
        </w:rPr>
        <w:t>(30 March 2015), online: &lt;</w:t>
      </w:r>
      <w:r w:rsidRPr="00697CBD">
        <w:rPr>
          <w:color w:val="000000"/>
          <w:sz w:val="20"/>
          <w:szCs w:val="20"/>
        </w:rPr>
        <w:t>https://www.refworld.org/pdfid/552fb1854.pdf</w:t>
      </w:r>
      <w:r>
        <w:rPr>
          <w:color w:val="000000"/>
          <w:sz w:val="20"/>
          <w:szCs w:val="20"/>
        </w:rPr>
        <w:t>&gt;.</w:t>
      </w:r>
    </w:p>
  </w:footnote>
  <w:footnote w:id="463">
    <w:p w14:paraId="08944828" w14:textId="739B01A2" w:rsidR="002774A4" w:rsidRPr="00F02496" w:rsidRDefault="002774A4">
      <w:pPr>
        <w:pStyle w:val="FootnoteText"/>
      </w:pPr>
      <w:r>
        <w:rPr>
          <w:rStyle w:val="FootnoteReference"/>
        </w:rPr>
        <w:footnoteRef/>
      </w:r>
      <w:r>
        <w:t xml:space="preserve"> “Convention on the Rights of Persons with Disabilities,” </w:t>
      </w:r>
      <w:r>
        <w:rPr>
          <w:i/>
        </w:rPr>
        <w:t xml:space="preserve">supra </w:t>
      </w:r>
      <w:r>
        <w:t xml:space="preserve">note </w:t>
      </w:r>
      <w:r>
        <w:fldChar w:fldCharType="begin"/>
      </w:r>
      <w:r>
        <w:instrText xml:space="preserve"> NOTEREF _Ref15297432 \h </w:instrText>
      </w:r>
      <w:r>
        <w:fldChar w:fldCharType="separate"/>
      </w:r>
      <w:r>
        <w:t>20</w:t>
      </w:r>
      <w:r>
        <w:fldChar w:fldCharType="end"/>
      </w:r>
      <w:r>
        <w:t>.</w:t>
      </w:r>
    </w:p>
  </w:footnote>
  <w:footnote w:id="464">
    <w:p w14:paraId="484FB8AA" w14:textId="5CD05AC6" w:rsidR="002774A4" w:rsidRDefault="002774A4">
      <w:pPr>
        <w:pStyle w:val="FootnoteText"/>
      </w:pPr>
      <w:r>
        <w:rPr>
          <w:rStyle w:val="FootnoteReference"/>
        </w:rPr>
        <w:footnoteRef/>
      </w:r>
      <w:r>
        <w:t xml:space="preserve"> MDAC, </w:t>
      </w:r>
      <w:r>
        <w:rPr>
          <w:i/>
        </w:rPr>
        <w:t xml:space="preserve">Legal Capacity in Europe, supra </w:t>
      </w:r>
      <w:r>
        <w:t xml:space="preserve">note </w:t>
      </w:r>
      <w:r>
        <w:fldChar w:fldCharType="begin"/>
      </w:r>
      <w:r>
        <w:instrText xml:space="preserve"> NOTEREF _Ref15299808 \h </w:instrText>
      </w:r>
      <w:r>
        <w:fldChar w:fldCharType="separate"/>
      </w:r>
      <w:r>
        <w:t>414</w:t>
      </w:r>
      <w:r>
        <w:fldChar w:fldCharType="end"/>
      </w:r>
      <w:r>
        <w:t xml:space="preserve"> at 47.</w:t>
      </w:r>
    </w:p>
  </w:footnote>
  <w:footnote w:id="465">
    <w:p w14:paraId="42C245DD" w14:textId="1398071B" w:rsidR="002774A4" w:rsidRPr="008E1143" w:rsidRDefault="002774A4">
      <w:pPr>
        <w:pStyle w:val="FootnoteText"/>
        <w:rPr>
          <w:i/>
        </w:rPr>
      </w:pPr>
      <w:r>
        <w:rPr>
          <w:rStyle w:val="FootnoteReference"/>
        </w:rPr>
        <w:footnoteRef/>
      </w:r>
      <w:r>
        <w:t xml:space="preserve"> </w:t>
      </w:r>
      <w:r>
        <w:rPr>
          <w:i/>
        </w:rPr>
        <w:t>Ibid.</w:t>
      </w:r>
    </w:p>
  </w:footnote>
  <w:footnote w:id="466">
    <w:p w14:paraId="2B97471F" w14:textId="49692AE9" w:rsidR="002774A4" w:rsidRDefault="002774A4">
      <w:pPr>
        <w:pStyle w:val="FootnoteText"/>
      </w:pPr>
      <w:r>
        <w:rPr>
          <w:rStyle w:val="FootnoteReference"/>
        </w:rPr>
        <w:footnoteRef/>
      </w:r>
      <w:r>
        <w:t xml:space="preserve"> </w:t>
      </w:r>
      <w:r>
        <w:rPr>
          <w:color w:val="000000"/>
        </w:rPr>
        <w:t xml:space="preserve">Human Rights Watch, </w:t>
      </w:r>
      <w:r>
        <w:rPr>
          <w:i/>
          <w:color w:val="000000"/>
        </w:rPr>
        <w:t xml:space="preserve">supra </w:t>
      </w:r>
      <w:r>
        <w:rPr>
          <w:color w:val="000000"/>
        </w:rPr>
        <w:t xml:space="preserve">note </w:t>
      </w:r>
      <w:r>
        <w:rPr>
          <w:color w:val="000000"/>
        </w:rPr>
        <w:fldChar w:fldCharType="begin"/>
      </w:r>
      <w:r>
        <w:rPr>
          <w:color w:val="000000"/>
        </w:rPr>
        <w:instrText xml:space="preserve"> NOTEREF _Ref15300570 \h </w:instrText>
      </w:r>
      <w:r>
        <w:rPr>
          <w:color w:val="000000"/>
        </w:rPr>
      </w:r>
      <w:r>
        <w:rPr>
          <w:color w:val="000000"/>
        </w:rPr>
        <w:fldChar w:fldCharType="separate"/>
      </w:r>
      <w:r>
        <w:rPr>
          <w:color w:val="000000"/>
        </w:rPr>
        <w:t>462</w:t>
      </w:r>
      <w:r>
        <w:rPr>
          <w:color w:val="000000"/>
        </w:rPr>
        <w:fldChar w:fldCharType="end"/>
      </w:r>
      <w:r>
        <w:rPr>
          <w:color w:val="000000"/>
        </w:rPr>
        <w:t xml:space="preserve"> at 2.</w:t>
      </w:r>
    </w:p>
  </w:footnote>
  <w:footnote w:id="467">
    <w:p w14:paraId="40D7D013" w14:textId="45DA989A" w:rsidR="002774A4" w:rsidRPr="004D6A59" w:rsidRDefault="002774A4">
      <w:pPr>
        <w:pStyle w:val="FootnoteText"/>
      </w:pPr>
      <w:r>
        <w:rPr>
          <w:rStyle w:val="FootnoteReference"/>
        </w:rPr>
        <w:footnoteRef/>
      </w:r>
      <w:r>
        <w:t xml:space="preserve"> </w:t>
      </w:r>
      <w:r>
        <w:rPr>
          <w:i/>
          <w:color w:val="000000"/>
        </w:rPr>
        <w:t>Ibid</w:t>
      </w:r>
      <w:r>
        <w:rPr>
          <w:color w:val="000000"/>
        </w:rPr>
        <w:t xml:space="preserve"> at </w:t>
      </w:r>
      <w:proofErr w:type="gramStart"/>
      <w:r>
        <w:rPr>
          <w:color w:val="000000"/>
        </w:rPr>
        <w:t>1</w:t>
      </w:r>
      <w:proofErr w:type="gramEnd"/>
      <w:r>
        <w:rPr>
          <w:color w:val="000000"/>
        </w:rPr>
        <w:t>.</w:t>
      </w:r>
    </w:p>
  </w:footnote>
  <w:footnote w:id="468">
    <w:p w14:paraId="600D212D" w14:textId="487C9A69" w:rsidR="002774A4" w:rsidRPr="00DA6E8D" w:rsidRDefault="002774A4">
      <w:pPr>
        <w:pStyle w:val="FootnoteText"/>
      </w:pPr>
      <w:r>
        <w:rPr>
          <w:rStyle w:val="FootnoteReference"/>
        </w:rPr>
        <w:footnoteRef/>
      </w:r>
      <w:r>
        <w:t xml:space="preserve"> </w:t>
      </w:r>
      <w:r w:rsidRPr="00650605">
        <w:rPr>
          <w:i/>
          <w:color w:val="000000"/>
        </w:rPr>
        <w:t>Family Act</w:t>
      </w:r>
      <w:r>
        <w:rPr>
          <w:color w:val="000000"/>
        </w:rPr>
        <w:t xml:space="preserve">, </w:t>
      </w:r>
      <w:r>
        <w:rPr>
          <w:i/>
          <w:color w:val="000000"/>
        </w:rPr>
        <w:t xml:space="preserve">supra </w:t>
      </w:r>
      <w:r>
        <w:rPr>
          <w:color w:val="000000"/>
        </w:rPr>
        <w:t xml:space="preserve">note </w:t>
      </w:r>
      <w:r>
        <w:rPr>
          <w:color w:val="000000"/>
        </w:rPr>
        <w:fldChar w:fldCharType="begin"/>
      </w:r>
      <w:r>
        <w:rPr>
          <w:color w:val="000000"/>
        </w:rPr>
        <w:instrText xml:space="preserve"> NOTEREF _Ref15300570 \h </w:instrText>
      </w:r>
      <w:r>
        <w:rPr>
          <w:color w:val="000000"/>
        </w:rPr>
      </w:r>
      <w:r>
        <w:rPr>
          <w:color w:val="000000"/>
        </w:rPr>
        <w:fldChar w:fldCharType="separate"/>
      </w:r>
      <w:r>
        <w:rPr>
          <w:color w:val="000000"/>
        </w:rPr>
        <w:t>462</w:t>
      </w:r>
      <w:r>
        <w:rPr>
          <w:color w:val="000000"/>
        </w:rPr>
        <w:fldChar w:fldCharType="end"/>
      </w:r>
      <w:r>
        <w:rPr>
          <w:color w:val="000000"/>
        </w:rPr>
        <w:t xml:space="preserve">, </w:t>
      </w:r>
      <w:r>
        <w:t>art 219.</w:t>
      </w:r>
    </w:p>
  </w:footnote>
  <w:footnote w:id="469">
    <w:p w14:paraId="0485D61A" w14:textId="17C4E2ED" w:rsidR="002774A4" w:rsidRPr="00E43DA4" w:rsidRDefault="002774A4">
      <w:pPr>
        <w:pStyle w:val="FootnoteText"/>
      </w:pPr>
      <w:r>
        <w:rPr>
          <w:rStyle w:val="FootnoteReference"/>
        </w:rPr>
        <w:footnoteRef/>
      </w:r>
      <w:r>
        <w:t xml:space="preserve"> </w:t>
      </w:r>
      <w:r>
        <w:rPr>
          <w:i/>
        </w:rPr>
        <w:t xml:space="preserve">Ibid, </w:t>
      </w:r>
      <w:r>
        <w:t>art 234(3).</w:t>
      </w:r>
    </w:p>
  </w:footnote>
  <w:footnote w:id="470">
    <w:p w14:paraId="5FA777F8" w14:textId="4D54C5D7" w:rsidR="002774A4" w:rsidRPr="00C7472E" w:rsidRDefault="002774A4">
      <w:pPr>
        <w:pStyle w:val="FootnoteText"/>
      </w:pPr>
      <w:r>
        <w:rPr>
          <w:rStyle w:val="FootnoteReference"/>
        </w:rPr>
        <w:footnoteRef/>
      </w:r>
      <w:r>
        <w:t xml:space="preserve"> </w:t>
      </w:r>
      <w:r>
        <w:rPr>
          <w:i/>
        </w:rPr>
        <w:t xml:space="preserve">Ibid, </w:t>
      </w:r>
      <w:r>
        <w:t>art 234(4).</w:t>
      </w:r>
    </w:p>
  </w:footnote>
  <w:footnote w:id="471">
    <w:p w14:paraId="3B63B241" w14:textId="4ABB64C4" w:rsidR="002774A4" w:rsidRPr="0014744C" w:rsidRDefault="002774A4">
      <w:pPr>
        <w:pStyle w:val="FootnoteText"/>
      </w:pPr>
      <w:r>
        <w:rPr>
          <w:rStyle w:val="FootnoteReference"/>
        </w:rPr>
        <w:footnoteRef/>
      </w:r>
      <w:r>
        <w:t xml:space="preserve"> </w:t>
      </w:r>
      <w:r>
        <w:rPr>
          <w:i/>
        </w:rPr>
        <w:t xml:space="preserve">Ibid, </w:t>
      </w:r>
      <w:r>
        <w:t>arts 234(5)-(6).</w:t>
      </w:r>
    </w:p>
  </w:footnote>
  <w:footnote w:id="472">
    <w:p w14:paraId="78FF9279" w14:textId="5674E361" w:rsidR="002774A4" w:rsidRPr="00DB2136" w:rsidRDefault="002774A4" w:rsidP="00F668A2">
      <w:pPr>
        <w:pStyle w:val="FootnoteText"/>
      </w:pPr>
      <w:r>
        <w:rPr>
          <w:rStyle w:val="FootnoteReference"/>
        </w:rPr>
        <w:footnoteRef/>
      </w:r>
      <w:r>
        <w:t xml:space="preserve"> </w:t>
      </w:r>
      <w:r>
        <w:rPr>
          <w:color w:val="000000"/>
        </w:rPr>
        <w:t xml:space="preserve">Human Rights Watch, </w:t>
      </w:r>
      <w:r>
        <w:rPr>
          <w:i/>
          <w:color w:val="000000"/>
        </w:rPr>
        <w:t xml:space="preserve">supra </w:t>
      </w:r>
      <w:r>
        <w:rPr>
          <w:color w:val="000000"/>
        </w:rPr>
        <w:t xml:space="preserve">note </w:t>
      </w:r>
      <w:r>
        <w:rPr>
          <w:color w:val="000000"/>
        </w:rPr>
        <w:fldChar w:fldCharType="begin"/>
      </w:r>
      <w:r>
        <w:rPr>
          <w:color w:val="000000"/>
        </w:rPr>
        <w:instrText xml:space="preserve"> NOTEREF _Ref15300570 \h </w:instrText>
      </w:r>
      <w:r>
        <w:rPr>
          <w:color w:val="000000"/>
        </w:rPr>
      </w:r>
      <w:r>
        <w:rPr>
          <w:color w:val="000000"/>
        </w:rPr>
        <w:fldChar w:fldCharType="separate"/>
      </w:r>
      <w:r>
        <w:rPr>
          <w:color w:val="000000"/>
        </w:rPr>
        <w:t>462</w:t>
      </w:r>
      <w:r>
        <w:rPr>
          <w:color w:val="000000"/>
        </w:rPr>
        <w:fldChar w:fldCharType="end"/>
      </w:r>
      <w:r>
        <w:rPr>
          <w:color w:val="000000"/>
        </w:rPr>
        <w:t xml:space="preserve"> at </w:t>
      </w:r>
      <w:r>
        <w:t>4.</w:t>
      </w:r>
    </w:p>
  </w:footnote>
  <w:footnote w:id="473">
    <w:p w14:paraId="44627D5C" w14:textId="309A7C41" w:rsidR="002774A4" w:rsidRPr="00062FFC" w:rsidRDefault="002774A4">
      <w:pPr>
        <w:pStyle w:val="FootnoteText"/>
      </w:pPr>
      <w:r>
        <w:rPr>
          <w:rStyle w:val="FootnoteReference"/>
        </w:rPr>
        <w:footnoteRef/>
      </w:r>
      <w:r>
        <w:t xml:space="preserve"> </w:t>
      </w:r>
      <w:r w:rsidRPr="00650605">
        <w:rPr>
          <w:i/>
          <w:color w:val="000000"/>
        </w:rPr>
        <w:t>Family Act</w:t>
      </w:r>
      <w:r>
        <w:rPr>
          <w:color w:val="000000"/>
        </w:rPr>
        <w:t xml:space="preserve">, </w:t>
      </w:r>
      <w:r>
        <w:rPr>
          <w:i/>
          <w:color w:val="000000"/>
        </w:rPr>
        <w:t xml:space="preserve">supra </w:t>
      </w:r>
      <w:r>
        <w:rPr>
          <w:color w:val="000000"/>
        </w:rPr>
        <w:t xml:space="preserve">note </w:t>
      </w:r>
      <w:r>
        <w:rPr>
          <w:color w:val="000000"/>
        </w:rPr>
        <w:fldChar w:fldCharType="begin"/>
      </w:r>
      <w:r>
        <w:rPr>
          <w:color w:val="000000"/>
        </w:rPr>
        <w:instrText xml:space="preserve"> NOTEREF _Ref15300570 \h </w:instrText>
      </w:r>
      <w:r>
        <w:rPr>
          <w:color w:val="000000"/>
        </w:rPr>
      </w:r>
      <w:r>
        <w:rPr>
          <w:color w:val="000000"/>
        </w:rPr>
        <w:fldChar w:fldCharType="separate"/>
      </w:r>
      <w:r>
        <w:rPr>
          <w:color w:val="000000"/>
        </w:rPr>
        <w:t>462</w:t>
      </w:r>
      <w:r>
        <w:rPr>
          <w:color w:val="000000"/>
        </w:rPr>
        <w:fldChar w:fldCharType="end"/>
      </w:r>
      <w:r>
        <w:rPr>
          <w:color w:val="000000"/>
        </w:rPr>
        <w:t xml:space="preserve">, art </w:t>
      </w:r>
      <w:r>
        <w:t xml:space="preserve">233, para </w:t>
      </w:r>
      <w:proofErr w:type="gramStart"/>
      <w:r>
        <w:t>1</w:t>
      </w:r>
      <w:proofErr w:type="gramEnd"/>
      <w:r>
        <w:t>.</w:t>
      </w:r>
    </w:p>
  </w:footnote>
  <w:footnote w:id="474">
    <w:p w14:paraId="5544895C" w14:textId="68C10C53" w:rsidR="002774A4" w:rsidRPr="00E35100" w:rsidRDefault="002774A4">
      <w:pPr>
        <w:pStyle w:val="FootnoteText"/>
      </w:pPr>
      <w:r>
        <w:rPr>
          <w:rStyle w:val="FootnoteReference"/>
        </w:rPr>
        <w:footnoteRef/>
      </w:r>
      <w:r>
        <w:t xml:space="preserve"> </w:t>
      </w:r>
      <w:r>
        <w:rPr>
          <w:color w:val="000000"/>
        </w:rPr>
        <w:t xml:space="preserve">Human Rights Watch, </w:t>
      </w:r>
      <w:r>
        <w:rPr>
          <w:i/>
          <w:color w:val="000000"/>
        </w:rPr>
        <w:t xml:space="preserve">supra </w:t>
      </w:r>
      <w:r>
        <w:rPr>
          <w:color w:val="000000"/>
        </w:rPr>
        <w:t xml:space="preserve">note </w:t>
      </w:r>
      <w:r>
        <w:rPr>
          <w:color w:val="000000"/>
        </w:rPr>
        <w:fldChar w:fldCharType="begin"/>
      </w:r>
      <w:r>
        <w:rPr>
          <w:color w:val="000000"/>
        </w:rPr>
        <w:instrText xml:space="preserve"> NOTEREF _Ref15300570 \h </w:instrText>
      </w:r>
      <w:r>
        <w:rPr>
          <w:color w:val="000000"/>
        </w:rPr>
      </w:r>
      <w:r>
        <w:rPr>
          <w:color w:val="000000"/>
        </w:rPr>
        <w:fldChar w:fldCharType="separate"/>
      </w:r>
      <w:r>
        <w:rPr>
          <w:color w:val="000000"/>
        </w:rPr>
        <w:t>462</w:t>
      </w:r>
      <w:r>
        <w:rPr>
          <w:color w:val="000000"/>
        </w:rPr>
        <w:fldChar w:fldCharType="end"/>
      </w:r>
      <w:r>
        <w:rPr>
          <w:color w:val="000000"/>
        </w:rPr>
        <w:t xml:space="preserve"> at </w:t>
      </w:r>
      <w:r>
        <w:t>3.</w:t>
      </w:r>
    </w:p>
  </w:footnote>
  <w:footnote w:id="475">
    <w:p w14:paraId="6A3F1A76" w14:textId="33D8CE34" w:rsidR="002774A4" w:rsidRPr="00335201" w:rsidRDefault="002774A4">
      <w:pPr>
        <w:pStyle w:val="FootnoteText"/>
      </w:pPr>
      <w:r>
        <w:rPr>
          <w:rStyle w:val="FootnoteReference"/>
        </w:rPr>
        <w:footnoteRef/>
      </w:r>
      <w:r>
        <w:rPr>
          <w:i/>
          <w:color w:val="000000"/>
        </w:rPr>
        <w:t xml:space="preserve"> </w:t>
      </w:r>
      <w:r w:rsidRPr="00650605">
        <w:rPr>
          <w:i/>
          <w:color w:val="000000"/>
        </w:rPr>
        <w:t>Family Act</w:t>
      </w:r>
      <w:r>
        <w:rPr>
          <w:color w:val="000000"/>
        </w:rPr>
        <w:t xml:space="preserve">, </w:t>
      </w:r>
      <w:r>
        <w:rPr>
          <w:i/>
          <w:color w:val="000000"/>
        </w:rPr>
        <w:t xml:space="preserve">supra </w:t>
      </w:r>
      <w:r>
        <w:rPr>
          <w:color w:val="000000"/>
        </w:rPr>
        <w:t xml:space="preserve">note </w:t>
      </w:r>
      <w:r>
        <w:rPr>
          <w:color w:val="000000"/>
        </w:rPr>
        <w:fldChar w:fldCharType="begin"/>
      </w:r>
      <w:r>
        <w:rPr>
          <w:color w:val="000000"/>
        </w:rPr>
        <w:instrText xml:space="preserve"> NOTEREF _Ref15300570 \h </w:instrText>
      </w:r>
      <w:r>
        <w:rPr>
          <w:color w:val="000000"/>
        </w:rPr>
      </w:r>
      <w:r>
        <w:rPr>
          <w:color w:val="000000"/>
        </w:rPr>
        <w:fldChar w:fldCharType="separate"/>
      </w:r>
      <w:r>
        <w:rPr>
          <w:color w:val="000000"/>
        </w:rPr>
        <w:t>462</w:t>
      </w:r>
      <w:r>
        <w:rPr>
          <w:color w:val="000000"/>
        </w:rPr>
        <w:fldChar w:fldCharType="end"/>
      </w:r>
      <w:r>
        <w:rPr>
          <w:color w:val="000000"/>
        </w:rPr>
        <w:t>, art</w:t>
      </w:r>
      <w:r>
        <w:t xml:space="preserve"> 233, para </w:t>
      </w:r>
      <w:proofErr w:type="gramStart"/>
      <w:r>
        <w:t>4</w:t>
      </w:r>
      <w:proofErr w:type="gramEnd"/>
      <w:r>
        <w:t>.</w:t>
      </w:r>
    </w:p>
  </w:footnote>
  <w:footnote w:id="476">
    <w:p w14:paraId="3E278A17" w14:textId="438ECED6" w:rsidR="002774A4" w:rsidRPr="00A357BF" w:rsidRDefault="002774A4" w:rsidP="007606D7">
      <w:pPr>
        <w:pStyle w:val="FootnoteText"/>
      </w:pPr>
      <w:r>
        <w:rPr>
          <w:rStyle w:val="FootnoteReference"/>
        </w:rPr>
        <w:footnoteRef/>
      </w:r>
      <w:r>
        <w:t xml:space="preserve"> Committee on the Rights of Persons with Disabilities, “General comment No.1,” </w:t>
      </w:r>
      <w:r>
        <w:rPr>
          <w:i/>
        </w:rPr>
        <w:t xml:space="preserve">supra </w:t>
      </w:r>
      <w:r>
        <w:t xml:space="preserve">note </w:t>
      </w:r>
      <w:r>
        <w:fldChar w:fldCharType="begin"/>
      </w:r>
      <w:r>
        <w:instrText xml:space="preserve"> NOTEREF _Ref15295251 \h </w:instrText>
      </w:r>
      <w:r>
        <w:fldChar w:fldCharType="separate"/>
      </w:r>
      <w:proofErr w:type="gramStart"/>
      <w:r>
        <w:t>7</w:t>
      </w:r>
      <w:proofErr w:type="gramEnd"/>
      <w:r>
        <w:fldChar w:fldCharType="end"/>
      </w:r>
      <w:r>
        <w:t xml:space="preserve"> at para 15.</w:t>
      </w:r>
    </w:p>
  </w:footnote>
  <w:footnote w:id="477">
    <w:p w14:paraId="260D072B" w14:textId="332515A2" w:rsidR="002774A4" w:rsidRPr="00DF28C0" w:rsidRDefault="002774A4">
      <w:pPr>
        <w:pStyle w:val="FootnoteText"/>
      </w:pPr>
      <w:r>
        <w:rPr>
          <w:rStyle w:val="FootnoteReference"/>
        </w:rPr>
        <w:footnoteRef/>
      </w:r>
      <w:r>
        <w:t xml:space="preserve"> Committee on the Rights of Persons with Disabilities, </w:t>
      </w:r>
      <w:r>
        <w:rPr>
          <w:i/>
        </w:rPr>
        <w:t xml:space="preserve">Concluding observations on the initial report of Croatia </w:t>
      </w:r>
      <w:r>
        <w:t>(15 May 2015) at para 18, online: &lt;</w:t>
      </w:r>
      <w:r w:rsidRPr="00D64AFB">
        <w:t xml:space="preserve"> http://daccess-ods.un.org/access.nsf/Get?Open&amp;DS=CRPD/C/HRV/CO/1&amp;Lang=E</w:t>
      </w:r>
      <w:r>
        <w:t>&gt;.</w:t>
      </w:r>
    </w:p>
  </w:footnote>
  <w:footnote w:id="478">
    <w:p w14:paraId="1420ED55" w14:textId="5658F4FA" w:rsidR="002774A4" w:rsidRPr="00FC70FE" w:rsidRDefault="002774A4">
      <w:pPr>
        <w:pStyle w:val="FootnoteText"/>
      </w:pPr>
      <w:r>
        <w:rPr>
          <w:rStyle w:val="FootnoteReference"/>
        </w:rPr>
        <w:footnoteRef/>
      </w:r>
      <w:r>
        <w:t xml:space="preserve"> </w:t>
      </w:r>
      <w:r>
        <w:rPr>
          <w:i/>
        </w:rPr>
        <w:t xml:space="preserve">Ibid </w:t>
      </w:r>
      <w:r>
        <w:t>at para 17.</w:t>
      </w:r>
    </w:p>
  </w:footnote>
  <w:footnote w:id="479">
    <w:p w14:paraId="1424DB13" w14:textId="4305BDB4" w:rsidR="002774A4" w:rsidRPr="00224187" w:rsidRDefault="002774A4">
      <w:pPr>
        <w:pStyle w:val="FootnoteText"/>
      </w:pPr>
      <w:r>
        <w:rPr>
          <w:rStyle w:val="FootnoteReference"/>
        </w:rPr>
        <w:footnoteRef/>
      </w:r>
      <w:r>
        <w:t xml:space="preserve"> </w:t>
      </w:r>
      <w:r>
        <w:rPr>
          <w:i/>
        </w:rPr>
        <w:t xml:space="preserve">Ibid </w:t>
      </w:r>
      <w:r>
        <w:t>at para 18.</w:t>
      </w:r>
    </w:p>
  </w:footnote>
  <w:footnote w:id="480">
    <w:p w14:paraId="434B9DAA" w14:textId="099EB831" w:rsidR="002774A4" w:rsidRPr="00224187" w:rsidRDefault="002774A4">
      <w:pPr>
        <w:pStyle w:val="FootnoteText"/>
      </w:pPr>
      <w:r>
        <w:rPr>
          <w:rStyle w:val="FootnoteReference"/>
        </w:rPr>
        <w:footnoteRef/>
      </w:r>
      <w:r>
        <w:t xml:space="preserve"> </w:t>
      </w:r>
      <w:r>
        <w:rPr>
          <w:i/>
        </w:rPr>
        <w:t xml:space="preserve">Ibid </w:t>
      </w:r>
      <w:r>
        <w:t>at para 18.</w:t>
      </w:r>
    </w:p>
  </w:footnote>
  <w:footnote w:id="481">
    <w:p w14:paraId="2686E740" w14:textId="13CFE768" w:rsidR="002774A4" w:rsidRPr="00CB67F9" w:rsidRDefault="002774A4">
      <w:pPr>
        <w:pStyle w:val="FootnoteText"/>
      </w:pPr>
      <w:r>
        <w:rPr>
          <w:rStyle w:val="FootnoteReference"/>
        </w:rPr>
        <w:footnoteRef/>
      </w:r>
      <w:r>
        <w:t xml:space="preserve"> See Irena </w:t>
      </w:r>
      <w:proofErr w:type="spellStart"/>
      <w:r>
        <w:t>Majstorović</w:t>
      </w:r>
      <w:proofErr w:type="spellEnd"/>
      <w:r>
        <w:t xml:space="preserve"> &amp; Ivan </w:t>
      </w:r>
      <w:proofErr w:type="spellStart"/>
      <w:r>
        <w:t>Šimović</w:t>
      </w:r>
      <w:proofErr w:type="spellEnd"/>
      <w:r>
        <w:t xml:space="preserve">, “The Scope of the Deprivation of Legal Capacity as a Precondition for the Protection of Rights and Dignity of Persons” (2018) 25:1 </w:t>
      </w:r>
      <w:proofErr w:type="spellStart"/>
      <w:r>
        <w:t>Ljetopis</w:t>
      </w:r>
      <w:proofErr w:type="spellEnd"/>
      <w:r>
        <w:t xml:space="preserve"> </w:t>
      </w:r>
      <w:proofErr w:type="spellStart"/>
      <w:r>
        <w:t>socijalnog</w:t>
      </w:r>
      <w:proofErr w:type="spellEnd"/>
      <w:r>
        <w:t xml:space="preserve"> </w:t>
      </w:r>
      <w:proofErr w:type="spellStart"/>
      <w:r>
        <w:t>rada</w:t>
      </w:r>
      <w:proofErr w:type="spellEnd"/>
      <w:r>
        <w:t xml:space="preserve"> 65 at 71.</w:t>
      </w:r>
    </w:p>
  </w:footnote>
  <w:footnote w:id="482">
    <w:p w14:paraId="731F9B27" w14:textId="5E88C530" w:rsidR="002774A4" w:rsidRPr="00190F01" w:rsidRDefault="002774A4">
      <w:pPr>
        <w:pStyle w:val="FootnoteText"/>
      </w:pPr>
      <w:r>
        <w:rPr>
          <w:rStyle w:val="FootnoteReference"/>
        </w:rPr>
        <w:footnoteRef/>
      </w:r>
      <w:r>
        <w:t xml:space="preserve"> </w:t>
      </w:r>
      <w:r w:rsidRPr="00650605">
        <w:rPr>
          <w:i/>
          <w:color w:val="000000"/>
        </w:rPr>
        <w:t>Family Act</w:t>
      </w:r>
      <w:r w:rsidRPr="006B0C3D">
        <w:rPr>
          <w:color w:val="000000"/>
        </w:rPr>
        <w:t xml:space="preserve"> </w:t>
      </w:r>
      <w:r>
        <w:rPr>
          <w:color w:val="000000"/>
        </w:rPr>
        <w:t xml:space="preserve">(2014), </w:t>
      </w:r>
      <w:r>
        <w:rPr>
          <w:i/>
          <w:color w:val="000000"/>
        </w:rPr>
        <w:t xml:space="preserve">supra </w:t>
      </w:r>
      <w:r>
        <w:rPr>
          <w:color w:val="000000"/>
        </w:rPr>
        <w:t xml:space="preserve">note </w:t>
      </w:r>
      <w:r>
        <w:rPr>
          <w:color w:val="000000"/>
        </w:rPr>
        <w:fldChar w:fldCharType="begin"/>
      </w:r>
      <w:r>
        <w:rPr>
          <w:color w:val="000000"/>
        </w:rPr>
        <w:instrText xml:space="preserve"> NOTEREF _Ref15300570 \h </w:instrText>
      </w:r>
      <w:r>
        <w:rPr>
          <w:color w:val="000000"/>
        </w:rPr>
      </w:r>
      <w:r>
        <w:rPr>
          <w:color w:val="000000"/>
        </w:rPr>
        <w:fldChar w:fldCharType="separate"/>
      </w:r>
      <w:r>
        <w:rPr>
          <w:color w:val="000000"/>
        </w:rPr>
        <w:t>462</w:t>
      </w:r>
      <w:r>
        <w:rPr>
          <w:color w:val="000000"/>
        </w:rPr>
        <w:fldChar w:fldCharType="end"/>
      </w:r>
      <w:r>
        <w:rPr>
          <w:color w:val="000000"/>
        </w:rPr>
        <w:t xml:space="preserve">, </w:t>
      </w:r>
      <w:r>
        <w:t xml:space="preserve">art 233, para </w:t>
      </w:r>
      <w:proofErr w:type="gramStart"/>
      <w:r>
        <w:t>4</w:t>
      </w:r>
      <w:proofErr w:type="gramEnd"/>
      <w:r>
        <w:t>.</w:t>
      </w:r>
    </w:p>
  </w:footnote>
  <w:footnote w:id="483">
    <w:p w14:paraId="58E5E791" w14:textId="54136E7B" w:rsidR="002774A4" w:rsidRPr="00E56798" w:rsidRDefault="002774A4" w:rsidP="00F668A2">
      <w:pPr>
        <w:pStyle w:val="FootnoteText"/>
      </w:pPr>
      <w:r>
        <w:rPr>
          <w:rStyle w:val="FootnoteReference"/>
        </w:rPr>
        <w:footnoteRef/>
      </w:r>
      <w:r>
        <w:t xml:space="preserve"> </w:t>
      </w:r>
      <w:r>
        <w:rPr>
          <w:color w:val="000000"/>
        </w:rPr>
        <w:t xml:space="preserve">Human Rights Watch, </w:t>
      </w:r>
      <w:r>
        <w:rPr>
          <w:i/>
          <w:color w:val="000000"/>
        </w:rPr>
        <w:t xml:space="preserve">supra </w:t>
      </w:r>
      <w:r>
        <w:rPr>
          <w:color w:val="000000"/>
        </w:rPr>
        <w:t xml:space="preserve">note </w:t>
      </w:r>
      <w:r>
        <w:rPr>
          <w:color w:val="000000"/>
        </w:rPr>
        <w:fldChar w:fldCharType="begin"/>
      </w:r>
      <w:r>
        <w:rPr>
          <w:color w:val="000000"/>
        </w:rPr>
        <w:instrText xml:space="preserve"> NOTEREF _Ref15300570 \h </w:instrText>
      </w:r>
      <w:r>
        <w:rPr>
          <w:color w:val="000000"/>
        </w:rPr>
      </w:r>
      <w:r>
        <w:rPr>
          <w:color w:val="000000"/>
        </w:rPr>
        <w:fldChar w:fldCharType="separate"/>
      </w:r>
      <w:r>
        <w:rPr>
          <w:color w:val="000000"/>
        </w:rPr>
        <w:t>462</w:t>
      </w:r>
      <w:r>
        <w:rPr>
          <w:color w:val="000000"/>
        </w:rPr>
        <w:fldChar w:fldCharType="end"/>
      </w:r>
      <w:r>
        <w:rPr>
          <w:color w:val="000000"/>
        </w:rPr>
        <w:t xml:space="preserve"> at </w:t>
      </w:r>
      <w:r>
        <w:t>3.</w:t>
      </w:r>
    </w:p>
  </w:footnote>
  <w:footnote w:id="484">
    <w:p w14:paraId="11C644B8" w14:textId="3374C240" w:rsidR="002774A4" w:rsidRPr="00CD4674" w:rsidRDefault="002774A4">
      <w:pPr>
        <w:pStyle w:val="FootnoteText"/>
      </w:pPr>
      <w:r>
        <w:rPr>
          <w:rStyle w:val="FootnoteReference"/>
        </w:rPr>
        <w:footnoteRef/>
      </w:r>
      <w:r>
        <w:t xml:space="preserve"> </w:t>
      </w:r>
      <w:r w:rsidRPr="00650605">
        <w:rPr>
          <w:i/>
          <w:color w:val="000000"/>
        </w:rPr>
        <w:t>Family Act</w:t>
      </w:r>
      <w:r w:rsidRPr="006B0C3D">
        <w:rPr>
          <w:color w:val="000000"/>
        </w:rPr>
        <w:t xml:space="preserve"> </w:t>
      </w:r>
      <w:r>
        <w:rPr>
          <w:color w:val="000000"/>
        </w:rPr>
        <w:t xml:space="preserve">(2014), </w:t>
      </w:r>
      <w:r>
        <w:rPr>
          <w:i/>
          <w:color w:val="000000"/>
        </w:rPr>
        <w:t xml:space="preserve">supra </w:t>
      </w:r>
      <w:r>
        <w:rPr>
          <w:color w:val="000000"/>
        </w:rPr>
        <w:t xml:space="preserve">note </w:t>
      </w:r>
      <w:r>
        <w:rPr>
          <w:color w:val="000000"/>
        </w:rPr>
        <w:fldChar w:fldCharType="begin"/>
      </w:r>
      <w:r>
        <w:rPr>
          <w:color w:val="000000"/>
        </w:rPr>
        <w:instrText xml:space="preserve"> NOTEREF _Ref15300570 \h </w:instrText>
      </w:r>
      <w:r>
        <w:rPr>
          <w:color w:val="000000"/>
        </w:rPr>
      </w:r>
      <w:r>
        <w:rPr>
          <w:color w:val="000000"/>
        </w:rPr>
        <w:fldChar w:fldCharType="separate"/>
      </w:r>
      <w:r>
        <w:rPr>
          <w:color w:val="000000"/>
        </w:rPr>
        <w:t>462</w:t>
      </w:r>
      <w:r>
        <w:rPr>
          <w:color w:val="000000"/>
        </w:rPr>
        <w:fldChar w:fldCharType="end"/>
      </w:r>
      <w:r>
        <w:rPr>
          <w:color w:val="000000"/>
        </w:rPr>
        <w:t xml:space="preserve">, </w:t>
      </w:r>
      <w:r>
        <w:t xml:space="preserve">art 233, para </w:t>
      </w:r>
      <w:proofErr w:type="gramStart"/>
      <w:r>
        <w:t>4</w:t>
      </w:r>
      <w:proofErr w:type="gramEnd"/>
      <w:r>
        <w:t>.</w:t>
      </w:r>
    </w:p>
  </w:footnote>
  <w:footnote w:id="485">
    <w:p w14:paraId="568A0736" w14:textId="5E394E26" w:rsidR="002774A4" w:rsidRPr="00194CE1" w:rsidRDefault="002774A4">
      <w:pPr>
        <w:pStyle w:val="FootnoteText"/>
      </w:pPr>
      <w:r>
        <w:rPr>
          <w:rStyle w:val="FootnoteReference"/>
        </w:rPr>
        <w:footnoteRef/>
      </w:r>
      <w:r>
        <w:t xml:space="preserve"> </w:t>
      </w:r>
      <w:r>
        <w:rPr>
          <w:color w:val="000000"/>
        </w:rPr>
        <w:t xml:space="preserve">Human Rights Watch, </w:t>
      </w:r>
      <w:r>
        <w:rPr>
          <w:i/>
          <w:color w:val="000000"/>
        </w:rPr>
        <w:t xml:space="preserve">supra </w:t>
      </w:r>
      <w:r>
        <w:rPr>
          <w:color w:val="000000"/>
        </w:rPr>
        <w:t xml:space="preserve">note </w:t>
      </w:r>
      <w:r>
        <w:rPr>
          <w:color w:val="000000"/>
        </w:rPr>
        <w:fldChar w:fldCharType="begin"/>
      </w:r>
      <w:r>
        <w:rPr>
          <w:color w:val="000000"/>
        </w:rPr>
        <w:instrText xml:space="preserve"> NOTEREF _Ref15300570 \h </w:instrText>
      </w:r>
      <w:r>
        <w:rPr>
          <w:color w:val="000000"/>
        </w:rPr>
      </w:r>
      <w:r>
        <w:rPr>
          <w:color w:val="000000"/>
        </w:rPr>
        <w:fldChar w:fldCharType="separate"/>
      </w:r>
      <w:r>
        <w:rPr>
          <w:color w:val="000000"/>
        </w:rPr>
        <w:t>462</w:t>
      </w:r>
      <w:r>
        <w:rPr>
          <w:color w:val="000000"/>
        </w:rPr>
        <w:fldChar w:fldCharType="end"/>
      </w:r>
      <w:r>
        <w:rPr>
          <w:color w:val="000000"/>
        </w:rPr>
        <w:t xml:space="preserve"> at </w:t>
      </w:r>
      <w:r>
        <w:t>3.</w:t>
      </w:r>
    </w:p>
  </w:footnote>
  <w:footnote w:id="486">
    <w:p w14:paraId="5BFC6E60" w14:textId="16F464DA" w:rsidR="002774A4" w:rsidRPr="004847B4" w:rsidRDefault="002774A4">
      <w:pPr>
        <w:pStyle w:val="FootnoteText"/>
      </w:pPr>
      <w:r w:rsidRPr="00172D24">
        <w:rPr>
          <w:rStyle w:val="FootnoteReference"/>
        </w:rPr>
        <w:footnoteRef/>
      </w:r>
      <w:r w:rsidRPr="00172D24">
        <w:t xml:space="preserve"> </w:t>
      </w:r>
      <w:r w:rsidRPr="00172D24">
        <w:rPr>
          <w:i/>
        </w:rPr>
        <w:t xml:space="preserve">Law No XII-1566, </w:t>
      </w:r>
      <w:r w:rsidRPr="00172D24">
        <w:t xml:space="preserve">Lithuania, </w:t>
      </w:r>
      <w:proofErr w:type="gramStart"/>
      <w:r w:rsidRPr="00172D24">
        <w:t>10</w:t>
      </w:r>
      <w:proofErr w:type="gramEnd"/>
      <w:r w:rsidRPr="00172D24">
        <w:t xml:space="preserve"> April 2015, online (in Lithuanian): &lt;https://e-seimas.lrs.lt/portal/legalAct/lt/TAD/b75c13a1d84711e49a8e8a8aa8141086&gt;</w:t>
      </w:r>
      <w:r w:rsidRPr="00172D24">
        <w:rPr>
          <w:i/>
        </w:rPr>
        <w:t>.</w:t>
      </w:r>
      <w:r w:rsidRPr="00172D24">
        <w:t xml:space="preserve"> </w:t>
      </w:r>
      <w:proofErr w:type="gramStart"/>
      <w:r w:rsidRPr="00172D24">
        <w:t>See Council of Europe</w:t>
      </w:r>
      <w:proofErr w:type="gramEnd"/>
      <w:r w:rsidRPr="00172D24">
        <w:t xml:space="preserve">, </w:t>
      </w:r>
      <w:proofErr w:type="gramStart"/>
      <w:r w:rsidRPr="00172D24">
        <w:rPr>
          <w:i/>
        </w:rPr>
        <w:t xml:space="preserve">supra </w:t>
      </w:r>
      <w:r w:rsidRPr="00172D24">
        <w:t xml:space="preserve">note </w:t>
      </w:r>
      <w:r>
        <w:fldChar w:fldCharType="begin"/>
      </w:r>
      <w:r>
        <w:instrText xml:space="preserve"> NOTEREF _Ref15299300 \h </w:instrText>
      </w:r>
      <w:r>
        <w:fldChar w:fldCharType="separate"/>
      </w:r>
      <w:r>
        <w:t>314</w:t>
      </w:r>
      <w:r>
        <w:fldChar w:fldCharType="end"/>
      </w:r>
      <w:r>
        <w:t xml:space="preserve"> </w:t>
      </w:r>
      <w:r w:rsidRPr="00172D24">
        <w:t>at 56ff</w:t>
      </w:r>
      <w:proofErr w:type="gramEnd"/>
      <w:r w:rsidRPr="00172D24">
        <w:t>.</w:t>
      </w:r>
    </w:p>
  </w:footnote>
  <w:footnote w:id="487">
    <w:p w14:paraId="0FA53F39" w14:textId="7D3C2577" w:rsidR="002774A4" w:rsidRPr="00457C81" w:rsidRDefault="002774A4">
      <w:pPr>
        <w:pStyle w:val="FootnoteText"/>
      </w:pPr>
      <w:r>
        <w:rPr>
          <w:rStyle w:val="FootnoteReference"/>
        </w:rPr>
        <w:footnoteRef/>
      </w:r>
      <w:r>
        <w:t xml:space="preserve"> </w:t>
      </w:r>
      <w:r w:rsidRPr="00D13E80">
        <w:t xml:space="preserve">Council of Europe, </w:t>
      </w:r>
      <w:r w:rsidRPr="00D13E80">
        <w:rPr>
          <w:i/>
        </w:rPr>
        <w:t xml:space="preserve">supra </w:t>
      </w:r>
      <w:r w:rsidRPr="00D13E80">
        <w:t>note</w:t>
      </w:r>
      <w:r>
        <w:t xml:space="preserve"> </w:t>
      </w:r>
      <w:r>
        <w:fldChar w:fldCharType="begin"/>
      </w:r>
      <w:r>
        <w:instrText xml:space="preserve"> NOTEREF _Ref15299300 \h </w:instrText>
      </w:r>
      <w:r>
        <w:fldChar w:fldCharType="separate"/>
      </w:r>
      <w:r>
        <w:t>314</w:t>
      </w:r>
      <w:r>
        <w:fldChar w:fldCharType="end"/>
      </w:r>
      <w:r>
        <w:t xml:space="preserve"> </w:t>
      </w:r>
      <w:r w:rsidRPr="00D13E80">
        <w:t>at 56.</w:t>
      </w:r>
    </w:p>
  </w:footnote>
  <w:footnote w:id="488">
    <w:p w14:paraId="5ED2FE04" w14:textId="47311B72" w:rsidR="002774A4" w:rsidRPr="00457C81" w:rsidRDefault="002774A4">
      <w:pPr>
        <w:pStyle w:val="FootnoteText"/>
      </w:pPr>
      <w:r>
        <w:rPr>
          <w:rStyle w:val="FootnoteReference"/>
        </w:rPr>
        <w:footnoteRef/>
      </w:r>
      <w:r>
        <w:t xml:space="preserve"> “Convention on the Rights of Persons with Disabilities,” </w:t>
      </w:r>
      <w:r>
        <w:rPr>
          <w:i/>
        </w:rPr>
        <w:t xml:space="preserve">supra </w:t>
      </w:r>
      <w:r>
        <w:t xml:space="preserve">note </w:t>
      </w:r>
      <w:r>
        <w:fldChar w:fldCharType="begin"/>
      </w:r>
      <w:r>
        <w:instrText xml:space="preserve"> NOTEREF _Ref15297432 \h </w:instrText>
      </w:r>
      <w:r>
        <w:fldChar w:fldCharType="separate"/>
      </w:r>
      <w:r>
        <w:t>20</w:t>
      </w:r>
      <w:r>
        <w:fldChar w:fldCharType="end"/>
      </w:r>
      <w:r>
        <w:t>.</w:t>
      </w:r>
    </w:p>
  </w:footnote>
  <w:footnote w:id="489">
    <w:p w14:paraId="6EEDC70D" w14:textId="674E1089" w:rsidR="002774A4" w:rsidRDefault="002774A4">
      <w:pPr>
        <w:pStyle w:val="FootnoteText"/>
      </w:pPr>
      <w:r>
        <w:rPr>
          <w:rStyle w:val="FootnoteReference"/>
        </w:rPr>
        <w:footnoteRef/>
      </w:r>
      <w:r>
        <w:t xml:space="preserve"> “Lithuanian Disability Forum,” online: </w:t>
      </w:r>
      <w:r>
        <w:rPr>
          <w:i/>
        </w:rPr>
        <w:t>Idea 12</w:t>
      </w:r>
      <w:r>
        <w:t xml:space="preserve"> &lt;</w:t>
      </w:r>
      <w:r w:rsidRPr="00BE4818">
        <w:t xml:space="preserve"> https://www.idea12.eu/project-partners/lithuanian-disability-forum/</w:t>
      </w:r>
      <w:r>
        <w:t>&gt;.</w:t>
      </w:r>
    </w:p>
  </w:footnote>
  <w:footnote w:id="490">
    <w:p w14:paraId="452758FB" w14:textId="45F8F43A" w:rsidR="002774A4" w:rsidRPr="002D6582" w:rsidRDefault="002774A4">
      <w:pPr>
        <w:pStyle w:val="FootnoteText"/>
        <w:rPr>
          <w:i/>
        </w:rPr>
      </w:pPr>
      <w:r>
        <w:rPr>
          <w:rStyle w:val="FootnoteReference"/>
        </w:rPr>
        <w:footnoteRef/>
      </w:r>
      <w:r>
        <w:t xml:space="preserve"> </w:t>
      </w:r>
      <w:r>
        <w:rPr>
          <w:i/>
        </w:rPr>
        <w:t>Ibid.</w:t>
      </w:r>
    </w:p>
  </w:footnote>
  <w:footnote w:id="491">
    <w:p w14:paraId="65B68FFA" w14:textId="3567AF28" w:rsidR="002774A4" w:rsidRPr="002D6582" w:rsidRDefault="002774A4">
      <w:pPr>
        <w:pStyle w:val="FootnoteText"/>
        <w:rPr>
          <w:i/>
        </w:rPr>
      </w:pPr>
      <w:r>
        <w:rPr>
          <w:rStyle w:val="FootnoteReference"/>
        </w:rPr>
        <w:footnoteRef/>
      </w:r>
      <w:r>
        <w:t xml:space="preserve"> </w:t>
      </w:r>
      <w:r>
        <w:rPr>
          <w:i/>
        </w:rPr>
        <w:t>Ibid.</w:t>
      </w:r>
    </w:p>
  </w:footnote>
  <w:footnote w:id="492">
    <w:p w14:paraId="74DDBBC2" w14:textId="74E66459" w:rsidR="002774A4" w:rsidRPr="008E39C1" w:rsidRDefault="002774A4">
      <w:pPr>
        <w:pStyle w:val="FootnoteText"/>
      </w:pPr>
      <w:r>
        <w:rPr>
          <w:rStyle w:val="FootnoteReference"/>
        </w:rPr>
        <w:footnoteRef/>
      </w:r>
      <w:r>
        <w:t xml:space="preserve"> </w:t>
      </w:r>
      <w:r>
        <w:rPr>
          <w:i/>
        </w:rPr>
        <w:t xml:space="preserve">D.D. v Lithuania </w:t>
      </w:r>
      <w:r>
        <w:t>(Application No. 13469/06, judgment of 14 February 2012).</w:t>
      </w:r>
    </w:p>
  </w:footnote>
  <w:footnote w:id="493">
    <w:p w14:paraId="299E3E2B" w14:textId="068C1178" w:rsidR="002774A4" w:rsidRPr="000D4464" w:rsidRDefault="002774A4">
      <w:pPr>
        <w:pStyle w:val="FootnoteText"/>
      </w:pPr>
      <w:r>
        <w:rPr>
          <w:rStyle w:val="FootnoteReference"/>
        </w:rPr>
        <w:footnoteRef/>
      </w:r>
      <w:r>
        <w:t xml:space="preserve"> </w:t>
      </w:r>
      <w:r w:rsidRPr="00D13E80">
        <w:t xml:space="preserve">Council of Europe, </w:t>
      </w:r>
      <w:r w:rsidRPr="00D13E80">
        <w:rPr>
          <w:i/>
        </w:rPr>
        <w:t xml:space="preserve">supra </w:t>
      </w:r>
      <w:r w:rsidRPr="00D13E80">
        <w:t xml:space="preserve">note </w:t>
      </w:r>
      <w:r>
        <w:fldChar w:fldCharType="begin"/>
      </w:r>
      <w:r>
        <w:instrText xml:space="preserve"> NOTEREF _Ref15299300 \h </w:instrText>
      </w:r>
      <w:r>
        <w:fldChar w:fldCharType="separate"/>
      </w:r>
      <w:r>
        <w:t>314</w:t>
      </w:r>
      <w:r>
        <w:fldChar w:fldCharType="end"/>
      </w:r>
      <w:r>
        <w:t xml:space="preserve"> </w:t>
      </w:r>
      <w:r w:rsidRPr="00D13E80">
        <w:t>at 56.</w:t>
      </w:r>
    </w:p>
  </w:footnote>
  <w:footnote w:id="494">
    <w:p w14:paraId="2EC4C3CB" w14:textId="1C01BB6E" w:rsidR="002774A4" w:rsidRPr="00267BC1" w:rsidRDefault="002774A4">
      <w:pPr>
        <w:pStyle w:val="FootnoteText"/>
      </w:pPr>
      <w:r>
        <w:rPr>
          <w:rStyle w:val="FootnoteReference"/>
        </w:rPr>
        <w:footnoteRef/>
      </w:r>
      <w:r>
        <w:t xml:space="preserve"> </w:t>
      </w:r>
      <w:r>
        <w:rPr>
          <w:i/>
        </w:rPr>
        <w:t>Ibid.</w:t>
      </w:r>
    </w:p>
  </w:footnote>
  <w:footnote w:id="495">
    <w:p w14:paraId="2D66D7D8" w14:textId="16F87A8A" w:rsidR="002774A4" w:rsidRPr="00CD3747" w:rsidRDefault="002774A4">
      <w:pPr>
        <w:pStyle w:val="FootnoteText"/>
        <w:rPr>
          <w:i/>
        </w:rPr>
      </w:pPr>
      <w:r>
        <w:rPr>
          <w:rStyle w:val="FootnoteReference"/>
        </w:rPr>
        <w:footnoteRef/>
      </w:r>
      <w:r>
        <w:t xml:space="preserve"> </w:t>
      </w:r>
      <w:r>
        <w:rPr>
          <w:i/>
        </w:rPr>
        <w:t>Ibid.</w:t>
      </w:r>
    </w:p>
  </w:footnote>
  <w:footnote w:id="496">
    <w:p w14:paraId="241E0F87" w14:textId="5CE5FF21" w:rsidR="002774A4" w:rsidRPr="003D288A" w:rsidRDefault="002774A4">
      <w:pPr>
        <w:pStyle w:val="FootnoteText"/>
      </w:pPr>
      <w:r>
        <w:rPr>
          <w:rStyle w:val="FootnoteReference"/>
        </w:rPr>
        <w:footnoteRef/>
      </w:r>
      <w:r>
        <w:t xml:space="preserve"> </w:t>
      </w:r>
      <w:r>
        <w:rPr>
          <w:i/>
        </w:rPr>
        <w:t>Ibid.</w:t>
      </w:r>
    </w:p>
  </w:footnote>
  <w:footnote w:id="497">
    <w:p w14:paraId="72CC717F" w14:textId="0CC122D5" w:rsidR="002774A4" w:rsidRPr="00CB399F" w:rsidRDefault="002774A4">
      <w:pPr>
        <w:pStyle w:val="FootnoteText"/>
      </w:pPr>
      <w:r>
        <w:rPr>
          <w:rStyle w:val="FootnoteReference"/>
        </w:rPr>
        <w:footnoteRef/>
      </w:r>
      <w:r>
        <w:t xml:space="preserve"> </w:t>
      </w:r>
      <w:r>
        <w:rPr>
          <w:i/>
        </w:rPr>
        <w:t>Ibid.</w:t>
      </w:r>
    </w:p>
  </w:footnote>
  <w:footnote w:id="498">
    <w:p w14:paraId="65014BC3" w14:textId="32A57486" w:rsidR="002774A4" w:rsidRPr="00F11AA3" w:rsidRDefault="002774A4" w:rsidP="00E96B99">
      <w:pPr>
        <w:pStyle w:val="FootnoteText"/>
      </w:pPr>
      <w:r>
        <w:rPr>
          <w:rStyle w:val="FootnoteReference"/>
        </w:rPr>
        <w:footnoteRef/>
      </w:r>
      <w:r>
        <w:t xml:space="preserve"> </w:t>
      </w:r>
      <w:r>
        <w:rPr>
          <w:i/>
        </w:rPr>
        <w:t>Lithuanian Civil Code</w:t>
      </w:r>
      <w:r>
        <w:t xml:space="preserve">, </w:t>
      </w:r>
      <w:r>
        <w:rPr>
          <w:i/>
        </w:rPr>
        <w:t xml:space="preserve">supra </w:t>
      </w:r>
      <w:r>
        <w:t xml:space="preserve">note </w:t>
      </w:r>
      <w:r>
        <w:fldChar w:fldCharType="begin"/>
      </w:r>
      <w:r>
        <w:instrText xml:space="preserve"> NOTEREF _Ref15300999 \h </w:instrText>
      </w:r>
      <w:r>
        <w:fldChar w:fldCharType="separate"/>
      </w:r>
      <w:r>
        <w:t>486</w:t>
      </w:r>
      <w:r>
        <w:fldChar w:fldCharType="end"/>
      </w:r>
      <w:r>
        <w:t>, art 2.10(1).</w:t>
      </w:r>
    </w:p>
  </w:footnote>
  <w:footnote w:id="499">
    <w:p w14:paraId="7DC45F8A" w14:textId="77777777" w:rsidR="002774A4" w:rsidRPr="0088072B" w:rsidRDefault="002774A4" w:rsidP="00E96B99">
      <w:pPr>
        <w:pStyle w:val="FootnoteText"/>
        <w:rPr>
          <w:i/>
        </w:rPr>
      </w:pPr>
      <w:r>
        <w:rPr>
          <w:rStyle w:val="FootnoteReference"/>
        </w:rPr>
        <w:footnoteRef/>
      </w:r>
      <w:r>
        <w:t xml:space="preserve"> </w:t>
      </w:r>
      <w:r>
        <w:rPr>
          <w:i/>
        </w:rPr>
        <w:t>Ibid.</w:t>
      </w:r>
    </w:p>
  </w:footnote>
  <w:footnote w:id="500">
    <w:p w14:paraId="719219F4" w14:textId="77777777" w:rsidR="002774A4" w:rsidRPr="00C4427C" w:rsidRDefault="002774A4" w:rsidP="00E96B99">
      <w:pPr>
        <w:pStyle w:val="FootnoteText"/>
      </w:pPr>
      <w:r>
        <w:rPr>
          <w:rStyle w:val="FootnoteReference"/>
        </w:rPr>
        <w:footnoteRef/>
      </w:r>
      <w:r>
        <w:t xml:space="preserve"> </w:t>
      </w:r>
      <w:r>
        <w:rPr>
          <w:i/>
        </w:rPr>
        <w:t xml:space="preserve">Ibid, </w:t>
      </w:r>
      <w:r>
        <w:t>art 3.240(2).</w:t>
      </w:r>
    </w:p>
  </w:footnote>
  <w:footnote w:id="501">
    <w:p w14:paraId="0CFAAA58" w14:textId="77777777" w:rsidR="002774A4" w:rsidRPr="008E565B" w:rsidRDefault="002774A4" w:rsidP="00E96B99">
      <w:pPr>
        <w:pStyle w:val="FootnoteText"/>
      </w:pPr>
      <w:r>
        <w:rPr>
          <w:rStyle w:val="FootnoteReference"/>
        </w:rPr>
        <w:footnoteRef/>
      </w:r>
      <w:r>
        <w:t xml:space="preserve"> </w:t>
      </w:r>
      <w:r>
        <w:rPr>
          <w:i/>
        </w:rPr>
        <w:t xml:space="preserve">Ibid, </w:t>
      </w:r>
      <w:r>
        <w:t>art 2.10(2).</w:t>
      </w:r>
    </w:p>
  </w:footnote>
  <w:footnote w:id="502">
    <w:p w14:paraId="24FA72FB" w14:textId="252A7147" w:rsidR="002774A4" w:rsidRDefault="002774A4">
      <w:pPr>
        <w:pStyle w:val="FootnoteText"/>
      </w:pPr>
      <w:r>
        <w:rPr>
          <w:rStyle w:val="FootnoteReference"/>
        </w:rPr>
        <w:footnoteRef/>
      </w:r>
      <w:r>
        <w:t xml:space="preserve"> </w:t>
      </w:r>
      <w:r w:rsidRPr="00D13E80">
        <w:t xml:space="preserve">Council of Europe, </w:t>
      </w:r>
      <w:r w:rsidRPr="00D13E80">
        <w:rPr>
          <w:i/>
        </w:rPr>
        <w:t xml:space="preserve">supra </w:t>
      </w:r>
      <w:r w:rsidRPr="00D13E80">
        <w:t xml:space="preserve">note </w:t>
      </w:r>
      <w:r>
        <w:fldChar w:fldCharType="begin"/>
      </w:r>
      <w:r>
        <w:instrText xml:space="preserve"> NOTEREF _Ref15299300 \h </w:instrText>
      </w:r>
      <w:r>
        <w:fldChar w:fldCharType="separate"/>
      </w:r>
      <w:r>
        <w:t>314</w:t>
      </w:r>
      <w:r>
        <w:fldChar w:fldCharType="end"/>
      </w:r>
      <w:r>
        <w:t xml:space="preserve"> </w:t>
      </w:r>
      <w:r w:rsidRPr="00D13E80">
        <w:t>at 56</w:t>
      </w:r>
      <w:r>
        <w:t>.</w:t>
      </w:r>
    </w:p>
  </w:footnote>
  <w:footnote w:id="503">
    <w:p w14:paraId="07659976" w14:textId="447DDCA0" w:rsidR="002774A4" w:rsidRPr="003F64B9" w:rsidRDefault="002774A4" w:rsidP="00E96B99">
      <w:pPr>
        <w:pStyle w:val="FootnoteText"/>
        <w:rPr>
          <w:i/>
        </w:rPr>
      </w:pPr>
      <w:r>
        <w:rPr>
          <w:rStyle w:val="FootnoteReference"/>
        </w:rPr>
        <w:footnoteRef/>
      </w:r>
      <w:r>
        <w:t xml:space="preserve"> </w:t>
      </w:r>
      <w:r>
        <w:rPr>
          <w:i/>
        </w:rPr>
        <w:t>Ibid.</w:t>
      </w:r>
    </w:p>
  </w:footnote>
  <w:footnote w:id="504">
    <w:p w14:paraId="5FBCECC7" w14:textId="77777777" w:rsidR="002774A4" w:rsidRPr="00DE0BA8" w:rsidRDefault="002774A4" w:rsidP="00E96B99">
      <w:pPr>
        <w:pStyle w:val="FootnoteText"/>
      </w:pPr>
      <w:r>
        <w:rPr>
          <w:rStyle w:val="FootnoteReference"/>
        </w:rPr>
        <w:footnoteRef/>
      </w:r>
      <w:r>
        <w:t xml:space="preserve"> The Lithuanian Disability Forum, </w:t>
      </w:r>
      <w:r>
        <w:rPr>
          <w:i/>
        </w:rPr>
        <w:t xml:space="preserve">Replies to the List of Issues </w:t>
      </w:r>
      <w:r>
        <w:t xml:space="preserve">(17 March 2016) at </w:t>
      </w:r>
      <w:proofErr w:type="gramStart"/>
      <w:r>
        <w:t>3</w:t>
      </w:r>
      <w:proofErr w:type="gramEnd"/>
      <w:r>
        <w:t>, online: &lt;</w:t>
      </w:r>
      <w:r w:rsidRPr="00B60F57">
        <w:t xml:space="preserve"> https://tbinternet.ohchr.org/Treaties/CRPD/Shared%20Documents/LTU/INT_CRPD_CSS_LTU_23329_E.doc</w:t>
      </w:r>
      <w:r>
        <w:t xml:space="preserve">&gt;. </w:t>
      </w:r>
    </w:p>
  </w:footnote>
  <w:footnote w:id="505">
    <w:p w14:paraId="0D266716" w14:textId="6ABEE918" w:rsidR="002774A4" w:rsidRPr="00392F64" w:rsidRDefault="002774A4">
      <w:pPr>
        <w:pStyle w:val="FootnoteText"/>
      </w:pPr>
      <w:r>
        <w:rPr>
          <w:rStyle w:val="FootnoteReference"/>
        </w:rPr>
        <w:footnoteRef/>
      </w:r>
      <w:r>
        <w:t xml:space="preserve"> </w:t>
      </w:r>
      <w:r>
        <w:rPr>
          <w:i/>
        </w:rPr>
        <w:t xml:space="preserve">Lithuanian Civil Code, supra </w:t>
      </w:r>
      <w:r>
        <w:t xml:space="preserve">note </w:t>
      </w:r>
      <w:r>
        <w:fldChar w:fldCharType="begin"/>
      </w:r>
      <w:r>
        <w:instrText xml:space="preserve"> NOTEREF _Ref15300999 \h </w:instrText>
      </w:r>
      <w:r>
        <w:fldChar w:fldCharType="separate"/>
      </w:r>
      <w:r>
        <w:t>486</w:t>
      </w:r>
      <w:r>
        <w:fldChar w:fldCharType="end"/>
      </w:r>
      <w:r>
        <w:t>, art 72(2).</w:t>
      </w:r>
    </w:p>
  </w:footnote>
  <w:footnote w:id="506">
    <w:p w14:paraId="6DD46EE0" w14:textId="7A96EC9D" w:rsidR="002774A4" w:rsidRPr="0069301C" w:rsidRDefault="002774A4" w:rsidP="00E96B99">
      <w:pPr>
        <w:pStyle w:val="FootnoteText"/>
      </w:pPr>
      <w:r>
        <w:rPr>
          <w:rStyle w:val="FootnoteReference"/>
        </w:rPr>
        <w:footnoteRef/>
      </w:r>
      <w:r>
        <w:t xml:space="preserve"> </w:t>
      </w:r>
      <w:r>
        <w:rPr>
          <w:i/>
        </w:rPr>
        <w:t>Ibid</w:t>
      </w:r>
      <w:r>
        <w:t>, art 2.11(1).</w:t>
      </w:r>
    </w:p>
  </w:footnote>
  <w:footnote w:id="507">
    <w:p w14:paraId="09AE6663" w14:textId="77777777" w:rsidR="002774A4" w:rsidRPr="00082E8D" w:rsidRDefault="002774A4" w:rsidP="00E96B99">
      <w:pPr>
        <w:pStyle w:val="FootnoteText"/>
      </w:pPr>
      <w:r>
        <w:rPr>
          <w:rStyle w:val="FootnoteReference"/>
        </w:rPr>
        <w:footnoteRef/>
      </w:r>
      <w:r>
        <w:t xml:space="preserve"> </w:t>
      </w:r>
      <w:r>
        <w:rPr>
          <w:i/>
        </w:rPr>
        <w:t xml:space="preserve">Ibid, </w:t>
      </w:r>
      <w:r>
        <w:t>arts 2.11(1) &amp; 3.240(3).</w:t>
      </w:r>
    </w:p>
  </w:footnote>
  <w:footnote w:id="508">
    <w:p w14:paraId="029AA3BC" w14:textId="77777777" w:rsidR="002774A4" w:rsidRPr="00082E8D" w:rsidRDefault="002774A4" w:rsidP="00E96B99">
      <w:pPr>
        <w:pStyle w:val="FootnoteText"/>
      </w:pPr>
      <w:r>
        <w:rPr>
          <w:rStyle w:val="FootnoteReference"/>
        </w:rPr>
        <w:footnoteRef/>
      </w:r>
      <w:r>
        <w:t xml:space="preserve"> </w:t>
      </w:r>
      <w:r>
        <w:rPr>
          <w:i/>
        </w:rPr>
        <w:t xml:space="preserve">Ibid, </w:t>
      </w:r>
      <w:r>
        <w:t>art 2.11(2).</w:t>
      </w:r>
    </w:p>
  </w:footnote>
  <w:footnote w:id="509">
    <w:p w14:paraId="01880684" w14:textId="77777777" w:rsidR="002774A4" w:rsidRPr="001D0123" w:rsidRDefault="002774A4" w:rsidP="00E96B99">
      <w:pPr>
        <w:pStyle w:val="FootnoteText"/>
      </w:pPr>
      <w:r>
        <w:rPr>
          <w:rStyle w:val="FootnoteReference"/>
        </w:rPr>
        <w:footnoteRef/>
      </w:r>
      <w:r>
        <w:t xml:space="preserve"> </w:t>
      </w:r>
      <w:r>
        <w:rPr>
          <w:i/>
        </w:rPr>
        <w:t xml:space="preserve">Ibid, </w:t>
      </w:r>
      <w:r>
        <w:t>art 3.240(3).</w:t>
      </w:r>
    </w:p>
  </w:footnote>
  <w:footnote w:id="510">
    <w:p w14:paraId="39BD0000" w14:textId="77777777" w:rsidR="002774A4" w:rsidRPr="002730C7" w:rsidRDefault="002774A4" w:rsidP="009209A4">
      <w:pPr>
        <w:pStyle w:val="FootnoteText"/>
      </w:pPr>
      <w:r>
        <w:rPr>
          <w:rStyle w:val="FootnoteReference"/>
        </w:rPr>
        <w:footnoteRef/>
      </w:r>
      <w:r>
        <w:t xml:space="preserve"> </w:t>
      </w:r>
      <w:r>
        <w:rPr>
          <w:i/>
        </w:rPr>
        <w:t xml:space="preserve">Ibid, </w:t>
      </w:r>
      <w:r>
        <w:t>art 3.2791(1).</w:t>
      </w:r>
    </w:p>
  </w:footnote>
  <w:footnote w:id="511">
    <w:p w14:paraId="0688633C" w14:textId="2C773D49" w:rsidR="002774A4" w:rsidRPr="008846DB" w:rsidRDefault="002774A4">
      <w:pPr>
        <w:pStyle w:val="FootnoteText"/>
        <w:rPr>
          <w:i/>
        </w:rPr>
      </w:pPr>
      <w:r>
        <w:rPr>
          <w:rStyle w:val="FootnoteReference"/>
        </w:rPr>
        <w:footnoteRef/>
      </w:r>
      <w:r>
        <w:t xml:space="preserve"> </w:t>
      </w:r>
      <w:r>
        <w:rPr>
          <w:i/>
        </w:rPr>
        <w:t>Ibid.</w:t>
      </w:r>
    </w:p>
  </w:footnote>
  <w:footnote w:id="512">
    <w:p w14:paraId="22B5E395" w14:textId="77777777" w:rsidR="002774A4" w:rsidRPr="00DE7226" w:rsidRDefault="002774A4" w:rsidP="009209A4">
      <w:pPr>
        <w:pStyle w:val="FootnoteText"/>
      </w:pPr>
      <w:r>
        <w:rPr>
          <w:rStyle w:val="FootnoteReference"/>
        </w:rPr>
        <w:footnoteRef/>
      </w:r>
      <w:r>
        <w:t xml:space="preserve"> </w:t>
      </w:r>
      <w:r>
        <w:rPr>
          <w:i/>
        </w:rPr>
        <w:t xml:space="preserve">Ibid, </w:t>
      </w:r>
      <w:r>
        <w:t>art 3.2791(2).</w:t>
      </w:r>
    </w:p>
  </w:footnote>
  <w:footnote w:id="513">
    <w:p w14:paraId="36E88DF7" w14:textId="77777777" w:rsidR="002774A4" w:rsidRPr="009C7E0B" w:rsidRDefault="002774A4" w:rsidP="009209A4">
      <w:pPr>
        <w:pStyle w:val="FootnoteText"/>
      </w:pPr>
      <w:r>
        <w:rPr>
          <w:rStyle w:val="FootnoteReference"/>
        </w:rPr>
        <w:footnoteRef/>
      </w:r>
      <w:r>
        <w:t xml:space="preserve"> </w:t>
      </w:r>
      <w:r>
        <w:rPr>
          <w:i/>
        </w:rPr>
        <w:t xml:space="preserve">Ibid, </w:t>
      </w:r>
      <w:r>
        <w:t>arts 3.2791(3) &amp; 2.135(1).</w:t>
      </w:r>
    </w:p>
  </w:footnote>
  <w:footnote w:id="514">
    <w:p w14:paraId="129B1779" w14:textId="77777777" w:rsidR="002774A4" w:rsidRPr="007A6A2F" w:rsidRDefault="002774A4" w:rsidP="009209A4">
      <w:pPr>
        <w:pStyle w:val="FootnoteText"/>
      </w:pPr>
      <w:r>
        <w:rPr>
          <w:rStyle w:val="FootnoteReference"/>
        </w:rPr>
        <w:footnoteRef/>
      </w:r>
      <w:r>
        <w:t xml:space="preserve"> </w:t>
      </w:r>
      <w:r>
        <w:rPr>
          <w:i/>
        </w:rPr>
        <w:t xml:space="preserve">Ibid, </w:t>
      </w:r>
      <w:r>
        <w:t>art 3.2791(4) (note that these institutions also monitor the activities of guardians and caretakers).</w:t>
      </w:r>
    </w:p>
  </w:footnote>
  <w:footnote w:id="515">
    <w:p w14:paraId="62E02F28" w14:textId="77777777" w:rsidR="002774A4" w:rsidRPr="0025015A" w:rsidRDefault="002774A4" w:rsidP="009209A4">
      <w:pPr>
        <w:pStyle w:val="FootnoteText"/>
      </w:pPr>
      <w:r>
        <w:rPr>
          <w:rStyle w:val="FootnoteReference"/>
        </w:rPr>
        <w:footnoteRef/>
      </w:r>
      <w:r>
        <w:t xml:space="preserve"> </w:t>
      </w:r>
      <w:r>
        <w:rPr>
          <w:i/>
        </w:rPr>
        <w:t xml:space="preserve">Ibid, </w:t>
      </w:r>
      <w:r>
        <w:t>art 3.2793(1).</w:t>
      </w:r>
    </w:p>
  </w:footnote>
  <w:footnote w:id="516">
    <w:p w14:paraId="4D7E0632" w14:textId="77777777" w:rsidR="002774A4" w:rsidRPr="0074735F" w:rsidRDefault="002774A4" w:rsidP="009209A4">
      <w:pPr>
        <w:pStyle w:val="FootnoteText"/>
      </w:pPr>
      <w:r>
        <w:rPr>
          <w:rStyle w:val="FootnoteReference"/>
        </w:rPr>
        <w:footnoteRef/>
      </w:r>
      <w:r>
        <w:t xml:space="preserve"> </w:t>
      </w:r>
      <w:r>
        <w:rPr>
          <w:i/>
        </w:rPr>
        <w:t xml:space="preserve">Ibid, </w:t>
      </w:r>
      <w:r>
        <w:t xml:space="preserve">art </w:t>
      </w:r>
      <w:proofErr w:type="gramStart"/>
      <w:r>
        <w:t>2.1371.</w:t>
      </w:r>
      <w:proofErr w:type="gramEnd"/>
    </w:p>
  </w:footnote>
  <w:footnote w:id="517">
    <w:p w14:paraId="76C07EE2" w14:textId="77777777" w:rsidR="002774A4" w:rsidRPr="00A047CE" w:rsidRDefault="002774A4" w:rsidP="009209A4">
      <w:pPr>
        <w:pStyle w:val="FootnoteText"/>
      </w:pPr>
      <w:r>
        <w:rPr>
          <w:rStyle w:val="FootnoteReference"/>
        </w:rPr>
        <w:footnoteRef/>
      </w:r>
      <w:r>
        <w:t xml:space="preserve"> </w:t>
      </w:r>
      <w:r>
        <w:rPr>
          <w:i/>
        </w:rPr>
        <w:t xml:space="preserve">Ibid, </w:t>
      </w:r>
      <w:r>
        <w:t>art 2.1371(1).</w:t>
      </w:r>
    </w:p>
  </w:footnote>
  <w:footnote w:id="518">
    <w:p w14:paraId="51D09252" w14:textId="77777777" w:rsidR="002774A4" w:rsidRPr="00B14CD7" w:rsidRDefault="002774A4" w:rsidP="009209A4">
      <w:pPr>
        <w:pStyle w:val="FootnoteText"/>
      </w:pPr>
      <w:r>
        <w:rPr>
          <w:rStyle w:val="FootnoteReference"/>
        </w:rPr>
        <w:footnoteRef/>
      </w:r>
      <w:r>
        <w:t xml:space="preserve"> </w:t>
      </w:r>
      <w:r>
        <w:rPr>
          <w:i/>
        </w:rPr>
        <w:t xml:space="preserve">Ibid, </w:t>
      </w:r>
      <w:r>
        <w:t>art 2.1371(2</w:t>
      </w:r>
      <w:proofErr w:type="gramStart"/>
      <w:r>
        <w:t>)(</w:t>
      </w:r>
      <w:proofErr w:type="gramEnd"/>
      <w:r>
        <w:t>1).</w:t>
      </w:r>
    </w:p>
  </w:footnote>
  <w:footnote w:id="519">
    <w:p w14:paraId="498A351F" w14:textId="77777777" w:rsidR="002774A4" w:rsidRPr="00267BAC" w:rsidRDefault="002774A4" w:rsidP="009209A4">
      <w:pPr>
        <w:pStyle w:val="FootnoteText"/>
      </w:pPr>
      <w:r>
        <w:rPr>
          <w:rStyle w:val="FootnoteReference"/>
        </w:rPr>
        <w:footnoteRef/>
      </w:r>
      <w:r>
        <w:t xml:space="preserve"> </w:t>
      </w:r>
      <w:r>
        <w:rPr>
          <w:i/>
        </w:rPr>
        <w:t xml:space="preserve">Ibid, </w:t>
      </w:r>
      <w:r>
        <w:t>art 2.1371(2</w:t>
      </w:r>
      <w:proofErr w:type="gramStart"/>
      <w:r>
        <w:t>)(</w:t>
      </w:r>
      <w:proofErr w:type="gramEnd"/>
      <w:r>
        <w:t>5).</w:t>
      </w:r>
    </w:p>
  </w:footnote>
  <w:footnote w:id="520">
    <w:p w14:paraId="5624BE3A" w14:textId="77777777" w:rsidR="002774A4" w:rsidRPr="001B5D4B" w:rsidRDefault="002774A4" w:rsidP="009209A4">
      <w:pPr>
        <w:pStyle w:val="FootnoteText"/>
      </w:pPr>
      <w:r>
        <w:rPr>
          <w:rStyle w:val="FootnoteReference"/>
        </w:rPr>
        <w:footnoteRef/>
      </w:r>
      <w:r>
        <w:t xml:space="preserve"> </w:t>
      </w:r>
      <w:r>
        <w:rPr>
          <w:i/>
        </w:rPr>
        <w:t xml:space="preserve">Ibid, </w:t>
      </w:r>
      <w:r>
        <w:t>art 2.1371(3).</w:t>
      </w:r>
    </w:p>
  </w:footnote>
  <w:footnote w:id="521">
    <w:p w14:paraId="5AA29A59" w14:textId="77777777" w:rsidR="002774A4" w:rsidRPr="0049309B" w:rsidRDefault="002774A4" w:rsidP="009209A4">
      <w:pPr>
        <w:pStyle w:val="FootnoteText"/>
      </w:pPr>
      <w:r>
        <w:rPr>
          <w:rStyle w:val="FootnoteReference"/>
        </w:rPr>
        <w:footnoteRef/>
      </w:r>
      <w:r>
        <w:t xml:space="preserve"> </w:t>
      </w:r>
      <w:r>
        <w:rPr>
          <w:i/>
        </w:rPr>
        <w:t xml:space="preserve">Ibid, </w:t>
      </w:r>
      <w:r>
        <w:t>art 2.1371(4).</w:t>
      </w:r>
    </w:p>
  </w:footnote>
  <w:footnote w:id="522">
    <w:p w14:paraId="2B083C06" w14:textId="77777777" w:rsidR="002774A4" w:rsidRPr="00642ED7" w:rsidRDefault="002774A4" w:rsidP="009209A4">
      <w:pPr>
        <w:pStyle w:val="FootnoteText"/>
        <w:adjustRightInd w:val="0"/>
        <w:snapToGrid w:val="0"/>
      </w:pPr>
      <w:r>
        <w:rPr>
          <w:rStyle w:val="FootnoteReference"/>
        </w:rPr>
        <w:footnoteRef/>
      </w:r>
      <w:r>
        <w:t xml:space="preserve"> </w:t>
      </w:r>
      <w:r>
        <w:rPr>
          <w:i/>
        </w:rPr>
        <w:t xml:space="preserve">Ibid, </w:t>
      </w:r>
      <w:r>
        <w:t>art 2.1371(5).</w:t>
      </w:r>
    </w:p>
  </w:footnote>
  <w:footnote w:id="523">
    <w:p w14:paraId="3423B437" w14:textId="24F1965E" w:rsidR="002774A4" w:rsidRPr="00A23390" w:rsidRDefault="002774A4" w:rsidP="004914D1">
      <w:pPr>
        <w:pStyle w:val="FootnoteText"/>
        <w:adjustRightInd w:val="0"/>
        <w:snapToGrid w:val="0"/>
      </w:pPr>
      <w:r>
        <w:rPr>
          <w:rStyle w:val="FootnoteReference"/>
        </w:rPr>
        <w:footnoteRef/>
      </w:r>
      <w:r>
        <w:t xml:space="preserve"> See Committee on the Rights of Persons with Disabilities, “General comment No.1,” </w:t>
      </w:r>
      <w:r>
        <w:rPr>
          <w:i/>
        </w:rPr>
        <w:t xml:space="preserve">supra </w:t>
      </w:r>
      <w:r>
        <w:t xml:space="preserve">note </w:t>
      </w:r>
      <w:r>
        <w:fldChar w:fldCharType="begin"/>
      </w:r>
      <w:r>
        <w:instrText xml:space="preserve"> NOTEREF _Ref15295251 \h </w:instrText>
      </w:r>
      <w:r>
        <w:fldChar w:fldCharType="separate"/>
      </w:r>
      <w:proofErr w:type="gramStart"/>
      <w:r>
        <w:t>7</w:t>
      </w:r>
      <w:proofErr w:type="gramEnd"/>
      <w:r>
        <w:fldChar w:fldCharType="end"/>
      </w:r>
      <w:r>
        <w:t xml:space="preserve"> at para 15.</w:t>
      </w:r>
    </w:p>
  </w:footnote>
  <w:footnote w:id="524">
    <w:p w14:paraId="4C2165E7" w14:textId="3C7F3D76" w:rsidR="002774A4" w:rsidRPr="0054630D" w:rsidRDefault="002774A4" w:rsidP="004914D1">
      <w:pPr>
        <w:pStyle w:val="FootnoteText"/>
        <w:adjustRightInd w:val="0"/>
        <w:snapToGrid w:val="0"/>
      </w:pPr>
      <w:r w:rsidRPr="0054630D">
        <w:rPr>
          <w:rStyle w:val="FootnoteReference"/>
        </w:rPr>
        <w:footnoteRef/>
      </w:r>
      <w:r w:rsidRPr="0054630D">
        <w:t xml:space="preserve"> Committee on the Rights of Persons with Disabilities, </w:t>
      </w:r>
      <w:r w:rsidRPr="0054630D">
        <w:rPr>
          <w:i/>
        </w:rPr>
        <w:t xml:space="preserve">Concluding observations on the initial report of Lithuania </w:t>
      </w:r>
      <w:r w:rsidRPr="0054630D">
        <w:t>(11 May 2016) at para 25.</w:t>
      </w:r>
    </w:p>
  </w:footnote>
  <w:footnote w:id="525">
    <w:p w14:paraId="2E23A5D2" w14:textId="090CA27A" w:rsidR="002774A4" w:rsidRPr="0054630D" w:rsidRDefault="002774A4" w:rsidP="004914D1">
      <w:pPr>
        <w:adjustRightInd w:val="0"/>
        <w:snapToGrid w:val="0"/>
        <w:rPr>
          <w:b/>
          <w:sz w:val="28"/>
          <w:szCs w:val="28"/>
        </w:rPr>
      </w:pPr>
      <w:r w:rsidRPr="0054630D">
        <w:rPr>
          <w:rStyle w:val="FootnoteReference"/>
          <w:sz w:val="20"/>
          <w:szCs w:val="20"/>
        </w:rPr>
        <w:footnoteRef/>
      </w:r>
      <w:r w:rsidRPr="0054630D">
        <w:rPr>
          <w:sz w:val="20"/>
          <w:szCs w:val="20"/>
        </w:rPr>
        <w:t xml:space="preserve"> The Lithuanian Disability Forum, </w:t>
      </w:r>
      <w:r w:rsidRPr="0054630D">
        <w:rPr>
          <w:i/>
          <w:sz w:val="20"/>
          <w:szCs w:val="20"/>
          <w:lang w:val="en-GB"/>
        </w:rPr>
        <w:t xml:space="preserve">Proposal for the </w:t>
      </w:r>
      <w:r w:rsidRPr="0054630D">
        <w:rPr>
          <w:i/>
          <w:sz w:val="20"/>
          <w:szCs w:val="20"/>
        </w:rPr>
        <w:t xml:space="preserve">List of issues in relation to the initial report of the Republic of Lithuania </w:t>
      </w:r>
      <w:r w:rsidRPr="0054630D">
        <w:rPr>
          <w:sz w:val="20"/>
          <w:szCs w:val="20"/>
        </w:rPr>
        <w:t xml:space="preserve">(3 August 2015) at </w:t>
      </w:r>
      <w:proofErr w:type="gramStart"/>
      <w:r w:rsidRPr="0054630D">
        <w:rPr>
          <w:sz w:val="20"/>
          <w:szCs w:val="20"/>
        </w:rPr>
        <w:t>5</w:t>
      </w:r>
      <w:proofErr w:type="gramEnd"/>
      <w:r w:rsidRPr="0054630D">
        <w:rPr>
          <w:sz w:val="20"/>
          <w:szCs w:val="20"/>
        </w:rPr>
        <w:t>, online: &lt; https://tbinternet.ohchr.org/Treaties/CRPD/Shared%20Documents/LTU/INT_CRPD_ICO_LTU_21462_E.docx&gt;.</w:t>
      </w:r>
      <w:r>
        <w:rPr>
          <w:b/>
          <w:i/>
          <w:sz w:val="20"/>
          <w:szCs w:val="20"/>
        </w:rPr>
        <w:t xml:space="preserve"> </w:t>
      </w:r>
    </w:p>
  </w:footnote>
  <w:footnote w:id="526">
    <w:p w14:paraId="7D912A22" w14:textId="38CDB179" w:rsidR="002774A4" w:rsidRDefault="002774A4">
      <w:pPr>
        <w:pStyle w:val="FootnoteText"/>
      </w:pPr>
      <w:r>
        <w:rPr>
          <w:rStyle w:val="FootnoteReference"/>
        </w:rPr>
        <w:footnoteRef/>
      </w:r>
      <w:r>
        <w:t xml:space="preserve"> See </w:t>
      </w:r>
      <w:r>
        <w:rPr>
          <w:i/>
        </w:rPr>
        <w:t xml:space="preserve">Lithuanian Civil </w:t>
      </w:r>
      <w:proofErr w:type="gramStart"/>
      <w:r>
        <w:rPr>
          <w:i/>
        </w:rPr>
        <w:t>Code,</w:t>
      </w:r>
      <w:proofErr w:type="gramEnd"/>
      <w:r>
        <w:rPr>
          <w:i/>
        </w:rPr>
        <w:t xml:space="preserve"> supra </w:t>
      </w:r>
      <w:r>
        <w:t xml:space="preserve">note </w:t>
      </w:r>
      <w:r>
        <w:fldChar w:fldCharType="begin"/>
      </w:r>
      <w:r>
        <w:instrText xml:space="preserve"> NOTEREF _Ref15300999 \h </w:instrText>
      </w:r>
      <w:r>
        <w:fldChar w:fldCharType="separate"/>
      </w:r>
      <w:r>
        <w:t>486</w:t>
      </w:r>
      <w:r>
        <w:fldChar w:fldCharType="end"/>
      </w:r>
      <w:r>
        <w:rPr>
          <w:i/>
        </w:rPr>
        <w:t xml:space="preserve">, </w:t>
      </w:r>
      <w:r>
        <w:t>art 3.2791(4).</w:t>
      </w:r>
    </w:p>
  </w:footnote>
  <w:footnote w:id="527">
    <w:p w14:paraId="7F7D920C" w14:textId="6A8BA5DA" w:rsidR="002774A4" w:rsidRPr="007329B9" w:rsidRDefault="002774A4">
      <w:pPr>
        <w:pStyle w:val="FootnoteText"/>
      </w:pPr>
      <w:r>
        <w:rPr>
          <w:rStyle w:val="FootnoteReference"/>
        </w:rPr>
        <w:footnoteRef/>
      </w:r>
      <w:r>
        <w:t xml:space="preserve"> See </w:t>
      </w:r>
      <w:r>
        <w:rPr>
          <w:i/>
        </w:rPr>
        <w:t xml:space="preserve">Ibid, </w:t>
      </w:r>
      <w:r>
        <w:t>art 3.2793(1).</w:t>
      </w:r>
    </w:p>
  </w:footnote>
  <w:footnote w:id="528">
    <w:p w14:paraId="1240C228" w14:textId="37AF1971" w:rsidR="002774A4" w:rsidRPr="008D53BE" w:rsidRDefault="002774A4" w:rsidP="004914D1">
      <w:pPr>
        <w:pStyle w:val="FootnoteText"/>
        <w:adjustRightInd w:val="0"/>
        <w:snapToGrid w:val="0"/>
      </w:pPr>
      <w:r>
        <w:rPr>
          <w:rStyle w:val="FootnoteReference"/>
        </w:rPr>
        <w:footnoteRef/>
      </w:r>
      <w:r>
        <w:t xml:space="preserve"> See </w:t>
      </w:r>
      <w:proofErr w:type="spellStart"/>
      <w:r>
        <w:t>Devandas</w:t>
      </w:r>
      <w:proofErr w:type="spellEnd"/>
      <w:r>
        <w:t xml:space="preserve"> Aguilar, </w:t>
      </w:r>
      <w:r w:rsidRPr="00190954">
        <w:rPr>
          <w:i/>
        </w:rPr>
        <w:t>s</w:t>
      </w:r>
      <w:r>
        <w:rPr>
          <w:i/>
        </w:rPr>
        <w:t xml:space="preserve">upra </w:t>
      </w:r>
      <w:r>
        <w:t xml:space="preserve">note </w:t>
      </w:r>
      <w:r>
        <w:fldChar w:fldCharType="begin"/>
      </w:r>
      <w:r>
        <w:instrText xml:space="preserve"> NOTEREF _Ref15295121 \h </w:instrText>
      </w:r>
      <w:r>
        <w:fldChar w:fldCharType="separate"/>
      </w:r>
      <w:proofErr w:type="gramStart"/>
      <w:r>
        <w:t>8</w:t>
      </w:r>
      <w:proofErr w:type="gramEnd"/>
      <w:r>
        <w:fldChar w:fldCharType="end"/>
      </w:r>
      <w:r>
        <w:t xml:space="preserve"> </w:t>
      </w:r>
      <w:r w:rsidRPr="00190954">
        <w:t>at</w:t>
      </w:r>
      <w:r>
        <w:t xml:space="preserve"> para 44.</w:t>
      </w:r>
    </w:p>
  </w:footnote>
  <w:footnote w:id="529">
    <w:p w14:paraId="141BF1D1" w14:textId="6464B88B" w:rsidR="002774A4" w:rsidRPr="002647F4" w:rsidRDefault="002774A4">
      <w:pPr>
        <w:pStyle w:val="FootnoteText"/>
        <w:rPr>
          <w:i/>
        </w:rPr>
      </w:pPr>
      <w:r>
        <w:rPr>
          <w:rStyle w:val="FootnoteReference"/>
        </w:rPr>
        <w:footnoteRef/>
      </w:r>
      <w:r>
        <w:t xml:space="preserve"> </w:t>
      </w:r>
      <w:r>
        <w:rPr>
          <w:i/>
        </w:rPr>
        <w:t>Ibid.</w:t>
      </w:r>
    </w:p>
  </w:footnote>
  <w:footnote w:id="530">
    <w:p w14:paraId="2F20CC80" w14:textId="270148D8" w:rsidR="002774A4" w:rsidRDefault="002774A4">
      <w:pPr>
        <w:pStyle w:val="FootnoteText"/>
      </w:pPr>
      <w:r>
        <w:rPr>
          <w:rStyle w:val="FootnoteReference"/>
        </w:rPr>
        <w:footnoteRef/>
      </w:r>
      <w:r>
        <w:t xml:space="preserve"> See </w:t>
      </w:r>
      <w:r>
        <w:rPr>
          <w:i/>
        </w:rPr>
        <w:t xml:space="preserve">Lithuanian Civil Code, supra </w:t>
      </w:r>
      <w:r>
        <w:t xml:space="preserve">note </w:t>
      </w:r>
      <w:r>
        <w:fldChar w:fldCharType="begin"/>
      </w:r>
      <w:r>
        <w:instrText xml:space="preserve"> NOTEREF _Ref15300999 \h </w:instrText>
      </w:r>
      <w:r>
        <w:fldChar w:fldCharType="separate"/>
      </w:r>
      <w:r>
        <w:t>486</w:t>
      </w:r>
      <w:r>
        <w:fldChar w:fldCharType="end"/>
      </w:r>
      <w:r>
        <w:t>, art 2.1371(2</w:t>
      </w:r>
      <w:proofErr w:type="gramStart"/>
      <w:r>
        <w:t>)(</w:t>
      </w:r>
      <w:proofErr w:type="gramEnd"/>
      <w:r>
        <w:t>1).</w:t>
      </w:r>
    </w:p>
  </w:footnote>
  <w:footnote w:id="531">
    <w:p w14:paraId="0AB36ACB" w14:textId="2F35D46B" w:rsidR="002774A4" w:rsidRDefault="002774A4">
      <w:pPr>
        <w:pStyle w:val="FootnoteText"/>
      </w:pPr>
      <w:r>
        <w:rPr>
          <w:rStyle w:val="FootnoteReference"/>
        </w:rPr>
        <w:footnoteRef/>
      </w:r>
      <w:r>
        <w:t xml:space="preserve"> </w:t>
      </w:r>
      <w:r>
        <w:rPr>
          <w:i/>
        </w:rPr>
        <w:t xml:space="preserve">Ibid, </w:t>
      </w:r>
      <w:r>
        <w:t>art 2.1371(5).</w:t>
      </w:r>
    </w:p>
  </w:footnote>
  <w:footnote w:id="532">
    <w:p w14:paraId="0A0253D8" w14:textId="521F17E4" w:rsidR="002774A4" w:rsidRDefault="002774A4">
      <w:pPr>
        <w:pStyle w:val="FootnoteText"/>
      </w:pPr>
      <w:r>
        <w:rPr>
          <w:rStyle w:val="FootnoteReference"/>
        </w:rPr>
        <w:footnoteRef/>
      </w:r>
      <w:r>
        <w:t xml:space="preserve"> See </w:t>
      </w:r>
      <w:proofErr w:type="spellStart"/>
      <w:r>
        <w:t>Devandas</w:t>
      </w:r>
      <w:proofErr w:type="spellEnd"/>
      <w:r>
        <w:t xml:space="preserve"> Aguilar, </w:t>
      </w:r>
      <w:r w:rsidRPr="00190954">
        <w:rPr>
          <w:i/>
        </w:rPr>
        <w:t>s</w:t>
      </w:r>
      <w:r>
        <w:rPr>
          <w:i/>
        </w:rPr>
        <w:t xml:space="preserve">upra </w:t>
      </w:r>
      <w:r>
        <w:t xml:space="preserve">note </w:t>
      </w:r>
      <w:r>
        <w:fldChar w:fldCharType="begin"/>
      </w:r>
      <w:r>
        <w:instrText xml:space="preserve"> NOTEREF _Ref15295121 \h </w:instrText>
      </w:r>
      <w:r>
        <w:fldChar w:fldCharType="separate"/>
      </w:r>
      <w:proofErr w:type="gramStart"/>
      <w:r>
        <w:t>8</w:t>
      </w:r>
      <w:proofErr w:type="gramEnd"/>
      <w:r>
        <w:fldChar w:fldCharType="end"/>
      </w:r>
      <w:r>
        <w:t xml:space="preserve"> </w:t>
      </w:r>
      <w:r w:rsidRPr="00190954">
        <w:t>at</w:t>
      </w:r>
      <w:r>
        <w:t xml:space="preserve"> para 44.</w:t>
      </w:r>
    </w:p>
  </w:footnote>
  <w:footnote w:id="533">
    <w:p w14:paraId="07B6A163" w14:textId="11DC7B50" w:rsidR="002774A4" w:rsidRPr="008663C8" w:rsidRDefault="002774A4" w:rsidP="002A11D8">
      <w:pPr>
        <w:pStyle w:val="FootnoteText"/>
      </w:pPr>
      <w:r>
        <w:rPr>
          <w:rStyle w:val="FootnoteReference"/>
        </w:rPr>
        <w:footnoteRef/>
      </w:r>
      <w:r>
        <w:t xml:space="preserve"> Committee on the Rights of Persons with Disabilities, </w:t>
      </w:r>
      <w:r w:rsidRPr="0054630D">
        <w:rPr>
          <w:i/>
        </w:rPr>
        <w:t>Concluding observations on the initial report of Lithuania</w:t>
      </w:r>
      <w:r>
        <w:rPr>
          <w:i/>
        </w:rPr>
        <w:t xml:space="preserve">, supra </w:t>
      </w:r>
      <w:r>
        <w:t xml:space="preserve">note </w:t>
      </w:r>
      <w:r>
        <w:fldChar w:fldCharType="begin"/>
      </w:r>
      <w:r>
        <w:instrText xml:space="preserve"> NOTEREF _Ref15301149 \h </w:instrText>
      </w:r>
      <w:r>
        <w:fldChar w:fldCharType="separate"/>
      </w:r>
      <w:r>
        <w:t>524</w:t>
      </w:r>
      <w:r>
        <w:fldChar w:fldCharType="end"/>
      </w:r>
      <w:r>
        <w:t xml:space="preserve"> at para 26.</w:t>
      </w:r>
    </w:p>
  </w:footnote>
  <w:footnote w:id="534">
    <w:p w14:paraId="34C57A7D" w14:textId="4D485653" w:rsidR="002774A4" w:rsidRPr="00582E6C" w:rsidRDefault="002774A4">
      <w:pPr>
        <w:pStyle w:val="FootnoteText"/>
      </w:pPr>
      <w:r>
        <w:rPr>
          <w:rStyle w:val="FootnoteReference"/>
        </w:rPr>
        <w:footnoteRef/>
      </w:r>
      <w:r>
        <w:t xml:space="preserve"> MDAC, </w:t>
      </w:r>
      <w:r>
        <w:rPr>
          <w:i/>
        </w:rPr>
        <w:t xml:space="preserve">Legal Capacity in Europe, supra </w:t>
      </w:r>
      <w:r>
        <w:t xml:space="preserve">note </w:t>
      </w:r>
      <w:r>
        <w:fldChar w:fldCharType="begin"/>
      </w:r>
      <w:r>
        <w:instrText xml:space="preserve"> NOTEREF _Ref15299808 \h </w:instrText>
      </w:r>
      <w:r>
        <w:fldChar w:fldCharType="separate"/>
      </w:r>
      <w:r>
        <w:t>414</w:t>
      </w:r>
      <w:r>
        <w:fldChar w:fldCharType="end"/>
      </w:r>
      <w:r>
        <w:t xml:space="preserve"> at 55.</w:t>
      </w:r>
    </w:p>
  </w:footnote>
  <w:footnote w:id="535">
    <w:p w14:paraId="36604BE4" w14:textId="458EBE59" w:rsidR="002774A4" w:rsidRPr="005F1A7D" w:rsidRDefault="002774A4">
      <w:pPr>
        <w:pStyle w:val="FootnoteText"/>
        <w:rPr>
          <w:i/>
          <w:color w:val="000000" w:themeColor="text1"/>
        </w:rPr>
      </w:pPr>
      <w:r>
        <w:rPr>
          <w:rStyle w:val="FootnoteReference"/>
        </w:rPr>
        <w:footnoteRef/>
      </w:r>
      <w:r>
        <w:t xml:space="preserve"> </w:t>
      </w:r>
      <w:r>
        <w:rPr>
          <w:rStyle w:val="Hyperlink"/>
          <w:i/>
          <w:color w:val="000000" w:themeColor="text1"/>
          <w:u w:val="none"/>
        </w:rPr>
        <w:t>Ibid.</w:t>
      </w:r>
    </w:p>
  </w:footnote>
  <w:footnote w:id="536">
    <w:p w14:paraId="1734E0CD" w14:textId="4C9DB3A5" w:rsidR="002774A4" w:rsidRDefault="002774A4">
      <w:pPr>
        <w:pStyle w:val="FootnoteText"/>
      </w:pPr>
      <w:r>
        <w:rPr>
          <w:rStyle w:val="FootnoteReference"/>
        </w:rPr>
        <w:footnoteRef/>
      </w:r>
      <w:r>
        <w:t xml:space="preserve"> MDAC, “Hungary,” online: </w:t>
      </w:r>
      <w:r>
        <w:rPr>
          <w:i/>
        </w:rPr>
        <w:t xml:space="preserve">MDAC </w:t>
      </w:r>
      <w:r>
        <w:t>&lt;</w:t>
      </w:r>
      <w:hyperlink r:id="rId15" w:history="1">
        <w:r w:rsidRPr="00CA63FA">
          <w:rPr>
            <w:rStyle w:val="Hyperlink"/>
          </w:rPr>
          <w:t>https://www.mdac.org/en/Hungary</w:t>
        </w:r>
      </w:hyperlink>
      <w:r>
        <w:t>&gt;.</w:t>
      </w:r>
    </w:p>
  </w:footnote>
  <w:footnote w:id="537">
    <w:p w14:paraId="05A8CEC9" w14:textId="00480A9F" w:rsidR="002774A4" w:rsidRPr="009C7440" w:rsidRDefault="002774A4">
      <w:pPr>
        <w:pStyle w:val="FootnoteText"/>
      </w:pPr>
      <w:r>
        <w:rPr>
          <w:rStyle w:val="FootnoteReference"/>
        </w:rPr>
        <w:footnoteRef/>
      </w:r>
      <w:r>
        <w:t xml:space="preserve"> </w:t>
      </w:r>
      <w:r>
        <w:rPr>
          <w:i/>
        </w:rPr>
        <w:t>Ibid.</w:t>
      </w:r>
      <w:r>
        <w:t xml:space="preserve"> The argument was that the law should not come into effect since local governments had received insufficient training.</w:t>
      </w:r>
    </w:p>
  </w:footnote>
  <w:footnote w:id="538">
    <w:p w14:paraId="6CAA464E" w14:textId="4ABE9C36" w:rsidR="002774A4" w:rsidRPr="00283841" w:rsidRDefault="002774A4">
      <w:pPr>
        <w:pStyle w:val="FootnoteText"/>
      </w:pPr>
      <w:r>
        <w:rPr>
          <w:rStyle w:val="FootnoteReference"/>
        </w:rPr>
        <w:footnoteRef/>
      </w:r>
      <w:r>
        <w:t xml:space="preserve"> </w:t>
      </w:r>
      <w:r>
        <w:rPr>
          <w:i/>
        </w:rPr>
        <w:t xml:space="preserve">Act V of 2013 on the Civil Code, </w:t>
      </w:r>
      <w:r>
        <w:t xml:space="preserve">Hungary, </w:t>
      </w:r>
      <w:proofErr w:type="gramStart"/>
      <w:r>
        <w:t>26</w:t>
      </w:r>
      <w:proofErr w:type="gramEnd"/>
      <w:r>
        <w:t xml:space="preserve"> February 2013, online: &lt;</w:t>
      </w:r>
      <w:r w:rsidRPr="00283841">
        <w:t xml:space="preserve"> </w:t>
      </w:r>
      <w:hyperlink r:id="rId16" w:history="1">
        <w:r w:rsidRPr="00CA63FA">
          <w:rPr>
            <w:rStyle w:val="Hyperlink"/>
          </w:rPr>
          <w:t>https://tdziegler.files.wordpress.com/2014/06/civil_code.pdf</w:t>
        </w:r>
      </w:hyperlink>
      <w:r>
        <w:t xml:space="preserve">&gt;. </w:t>
      </w:r>
    </w:p>
  </w:footnote>
  <w:footnote w:id="539">
    <w:p w14:paraId="5A69AA76" w14:textId="07CCB741" w:rsidR="002774A4" w:rsidRPr="00F407D1" w:rsidRDefault="002774A4">
      <w:pPr>
        <w:pStyle w:val="FootnoteText"/>
      </w:pPr>
      <w:r>
        <w:rPr>
          <w:rStyle w:val="FootnoteReference"/>
        </w:rPr>
        <w:footnoteRef/>
      </w:r>
      <w:r>
        <w:t xml:space="preserve"> See </w:t>
      </w:r>
      <w:r>
        <w:rPr>
          <w:i/>
        </w:rPr>
        <w:t xml:space="preserve">Hungarian Civil </w:t>
      </w:r>
      <w:proofErr w:type="gramStart"/>
      <w:r>
        <w:rPr>
          <w:i/>
        </w:rPr>
        <w:t>Code,</w:t>
      </w:r>
      <w:proofErr w:type="gramEnd"/>
      <w:r>
        <w:rPr>
          <w:i/>
        </w:rPr>
        <w:t xml:space="preserve"> supra </w:t>
      </w:r>
      <w:r>
        <w:t xml:space="preserve">note </w:t>
      </w:r>
      <w:r>
        <w:fldChar w:fldCharType="begin"/>
      </w:r>
      <w:r>
        <w:instrText xml:space="preserve"> NOTEREF _Ref15301220 \h </w:instrText>
      </w:r>
      <w:r>
        <w:fldChar w:fldCharType="separate"/>
      </w:r>
      <w:r>
        <w:t>538</w:t>
      </w:r>
      <w:r>
        <w:fldChar w:fldCharType="end"/>
      </w:r>
      <w:r>
        <w:t>, s 2:21(1).</w:t>
      </w:r>
    </w:p>
  </w:footnote>
  <w:footnote w:id="540">
    <w:p w14:paraId="15FDFD6E" w14:textId="0B271F75" w:rsidR="002774A4" w:rsidRPr="00F3088C" w:rsidRDefault="002774A4">
      <w:pPr>
        <w:pStyle w:val="FootnoteText"/>
      </w:pPr>
      <w:r>
        <w:rPr>
          <w:rStyle w:val="FootnoteReference"/>
        </w:rPr>
        <w:footnoteRef/>
      </w:r>
      <w:r>
        <w:t xml:space="preserve"> See </w:t>
      </w:r>
      <w:r>
        <w:rPr>
          <w:i/>
        </w:rPr>
        <w:t xml:space="preserve">Ibid, </w:t>
      </w:r>
      <w:r>
        <w:t>s 2:38.</w:t>
      </w:r>
    </w:p>
  </w:footnote>
  <w:footnote w:id="541">
    <w:p w14:paraId="713ADD85" w14:textId="509C8B91" w:rsidR="002774A4" w:rsidRPr="00696F4D" w:rsidRDefault="002774A4">
      <w:pPr>
        <w:pStyle w:val="FootnoteText"/>
      </w:pPr>
      <w:r w:rsidRPr="00371ECE">
        <w:rPr>
          <w:rStyle w:val="FootnoteReference"/>
        </w:rPr>
        <w:footnoteRef/>
      </w:r>
      <w:r w:rsidRPr="00371ECE">
        <w:t xml:space="preserve"> </w:t>
      </w:r>
      <w:r w:rsidRPr="00371ECE">
        <w:rPr>
          <w:rFonts w:ascii="times" w:hAnsi="times"/>
          <w:i/>
        </w:rPr>
        <w:t xml:space="preserve">Act CLV of 2013 on Supported Decision-Making, </w:t>
      </w:r>
      <w:r w:rsidRPr="00371ECE">
        <w:rPr>
          <w:rFonts w:ascii="times" w:hAnsi="times"/>
        </w:rPr>
        <w:t>Hungary, online (in</w:t>
      </w:r>
      <w:r>
        <w:rPr>
          <w:rFonts w:ascii="times" w:hAnsi="times"/>
        </w:rPr>
        <w:t xml:space="preserve"> Hungarian</w:t>
      </w:r>
      <w:proofErr w:type="gramStart"/>
      <w:r>
        <w:rPr>
          <w:rFonts w:ascii="times" w:hAnsi="times"/>
        </w:rPr>
        <w:t>):</w:t>
      </w:r>
      <w:proofErr w:type="gramEnd"/>
      <w:r>
        <w:rPr>
          <w:rFonts w:ascii="times" w:hAnsi="times"/>
        </w:rPr>
        <w:t xml:space="preserve"> &lt;</w:t>
      </w:r>
      <w:r w:rsidRPr="00BC4012">
        <w:rPr>
          <w:rFonts w:ascii="times" w:hAnsi="times"/>
        </w:rPr>
        <w:t>https://net.jogtar.hu/jogszabaly?docid=A1300155.TV</w:t>
      </w:r>
      <w:r>
        <w:rPr>
          <w:rFonts w:ascii="times" w:hAnsi="times"/>
        </w:rPr>
        <w:t xml:space="preserve">&gt;. See also </w:t>
      </w:r>
      <w:r>
        <w:rPr>
          <w:rFonts w:ascii="times" w:hAnsi="times"/>
          <w:i/>
        </w:rPr>
        <w:t xml:space="preserve">Information received from Hungary on the follow-up to the concluding observations </w:t>
      </w:r>
      <w:r>
        <w:rPr>
          <w:rFonts w:ascii="times" w:hAnsi="times"/>
        </w:rPr>
        <w:t>(28 October 2013) at para 17, online: &lt;</w:t>
      </w:r>
      <w:r w:rsidRPr="00AF23A7">
        <w:t xml:space="preserve"> </w:t>
      </w:r>
      <w:hyperlink r:id="rId17" w:history="1">
        <w:r w:rsidRPr="00CA63FA">
          <w:rPr>
            <w:rStyle w:val="Hyperlink"/>
            <w:rFonts w:ascii="times" w:hAnsi="times"/>
          </w:rPr>
          <w:t>http://docstore.ohchr.org/SelfServices/FilesHandler.ashx?enc=6QkG1d%2fPPRiCAqhKb7yhsmg8z0DXeL2x2%2fDmZ9jKJsn%2bvgDgQamIHh2by41iKdtBqX6%2fmcK7LAx1cVgfXGMMwJn3718zD3IMIjnCsqay3rkyHzOhuK5uyHrTCGRxaeBIQkmHcCe7%2bKCjPDB4KLjsfA%3d%3d</w:t>
        </w:r>
      </w:hyperlink>
      <w:r>
        <w:rPr>
          <w:rFonts w:ascii="times" w:hAnsi="times"/>
        </w:rPr>
        <w:t xml:space="preserve">&gt;. </w:t>
      </w:r>
    </w:p>
  </w:footnote>
  <w:footnote w:id="542">
    <w:p w14:paraId="611BB74A" w14:textId="632F2F83" w:rsidR="002774A4" w:rsidRPr="003F0863" w:rsidRDefault="002774A4">
      <w:pPr>
        <w:pStyle w:val="FootnoteText"/>
      </w:pPr>
      <w:r>
        <w:rPr>
          <w:rStyle w:val="FootnoteReference"/>
        </w:rPr>
        <w:footnoteRef/>
      </w:r>
      <w:r>
        <w:t xml:space="preserve"> Hungarian Disability Caucus, </w:t>
      </w:r>
      <w:r w:rsidRPr="0098017F">
        <w:rPr>
          <w:i/>
        </w:rPr>
        <w:t>List of issues submissions</w:t>
      </w:r>
      <w:r>
        <w:t xml:space="preserve"> (2 April 2012) at 5, online: &lt;</w:t>
      </w:r>
      <w:r w:rsidRPr="00493F29">
        <w:t xml:space="preserve"> </w:t>
      </w:r>
      <w:hyperlink r:id="rId18" w:history="1">
        <w:r w:rsidRPr="00CA63FA">
          <w:rPr>
            <w:rStyle w:val="Hyperlink"/>
          </w:rPr>
          <w:t>https://www.google.com/url?sa=t&amp;rct=j&amp;q=&amp;esrc=s&amp;source=web&amp;cd=1&amp;ved=2ahUKEwj6xpu84crjAhWRXsAKHduZCfQQFjAAegQIABAC&amp;url=http%3A%2F%2Fwww2.ohchr.org%2FSPdocs%2FCRPD%2F7thsession%2FHungarianDisabilityCaucus.doc&amp;usg=AOvVaw1UIBa2ErwyfNMCpiX6SZLy</w:t>
        </w:r>
      </w:hyperlink>
      <w:r>
        <w:t xml:space="preserve">&gt;. </w:t>
      </w:r>
    </w:p>
  </w:footnote>
  <w:footnote w:id="543">
    <w:p w14:paraId="0A0629AC" w14:textId="790A402F" w:rsidR="002774A4" w:rsidRPr="00374237" w:rsidRDefault="002774A4">
      <w:pPr>
        <w:pStyle w:val="FootnoteText"/>
        <w:rPr>
          <w:i/>
        </w:rPr>
      </w:pPr>
      <w:r>
        <w:rPr>
          <w:rStyle w:val="FootnoteReference"/>
        </w:rPr>
        <w:footnoteRef/>
      </w:r>
      <w:r>
        <w:t xml:space="preserve"> </w:t>
      </w:r>
      <w:r>
        <w:rPr>
          <w:i/>
        </w:rPr>
        <w:t>Ibid.</w:t>
      </w:r>
    </w:p>
  </w:footnote>
  <w:footnote w:id="544">
    <w:p w14:paraId="49CB5116" w14:textId="5B288C7E" w:rsidR="002774A4" w:rsidRPr="00180463" w:rsidRDefault="002774A4">
      <w:pPr>
        <w:pStyle w:val="FootnoteText"/>
        <w:rPr>
          <w:i/>
        </w:rPr>
      </w:pPr>
      <w:r>
        <w:rPr>
          <w:rStyle w:val="FootnoteReference"/>
        </w:rPr>
        <w:footnoteRef/>
      </w:r>
      <w:r>
        <w:t xml:space="preserve"> </w:t>
      </w:r>
      <w:r>
        <w:rPr>
          <w:i/>
        </w:rPr>
        <w:t xml:space="preserve">Ibid. </w:t>
      </w:r>
    </w:p>
  </w:footnote>
  <w:footnote w:id="545">
    <w:p w14:paraId="0032DC96" w14:textId="7A6C7F8D" w:rsidR="002774A4" w:rsidRPr="002B4EEF" w:rsidRDefault="002774A4">
      <w:pPr>
        <w:pStyle w:val="FootnoteText"/>
        <w:rPr>
          <w:i/>
        </w:rPr>
      </w:pPr>
      <w:r>
        <w:rPr>
          <w:rStyle w:val="FootnoteReference"/>
        </w:rPr>
        <w:footnoteRef/>
      </w:r>
      <w:r>
        <w:t xml:space="preserve"> </w:t>
      </w:r>
      <w:r>
        <w:rPr>
          <w:i/>
        </w:rPr>
        <w:t>Ibid.</w:t>
      </w:r>
    </w:p>
  </w:footnote>
  <w:footnote w:id="546">
    <w:p w14:paraId="1BB92328" w14:textId="549AD33D" w:rsidR="002774A4" w:rsidRPr="00FF30D6" w:rsidRDefault="002774A4">
      <w:pPr>
        <w:pStyle w:val="FootnoteText"/>
      </w:pPr>
      <w:r>
        <w:rPr>
          <w:rStyle w:val="FootnoteReference"/>
        </w:rPr>
        <w:footnoteRef/>
      </w:r>
      <w:r>
        <w:t xml:space="preserve"> </w:t>
      </w:r>
      <w:r>
        <w:rPr>
          <w:i/>
        </w:rPr>
        <w:t xml:space="preserve">Ibid, </w:t>
      </w:r>
      <w:r>
        <w:t xml:space="preserve">see </w:t>
      </w:r>
      <w:r>
        <w:rPr>
          <w:i/>
        </w:rPr>
        <w:t xml:space="preserve">Hungarian Civil </w:t>
      </w:r>
      <w:proofErr w:type="gramStart"/>
      <w:r>
        <w:rPr>
          <w:i/>
        </w:rPr>
        <w:t>Code,</w:t>
      </w:r>
      <w:proofErr w:type="gramEnd"/>
      <w:r>
        <w:rPr>
          <w:i/>
        </w:rPr>
        <w:t xml:space="preserve"> supra </w:t>
      </w:r>
      <w:r>
        <w:t xml:space="preserve">note </w:t>
      </w:r>
      <w:r>
        <w:fldChar w:fldCharType="begin"/>
      </w:r>
      <w:r>
        <w:instrText xml:space="preserve"> NOTEREF _Ref15301220 \h </w:instrText>
      </w:r>
      <w:r>
        <w:fldChar w:fldCharType="separate"/>
      </w:r>
      <w:r>
        <w:t>538</w:t>
      </w:r>
      <w:r>
        <w:fldChar w:fldCharType="end"/>
      </w:r>
      <w:r>
        <w:t>, s 2:21.</w:t>
      </w:r>
    </w:p>
  </w:footnote>
  <w:footnote w:id="547">
    <w:p w14:paraId="0742F248" w14:textId="6C043D77" w:rsidR="002774A4" w:rsidRPr="00446500" w:rsidRDefault="002774A4">
      <w:pPr>
        <w:pStyle w:val="FootnoteText"/>
      </w:pPr>
      <w:r>
        <w:rPr>
          <w:rStyle w:val="FootnoteReference"/>
        </w:rPr>
        <w:footnoteRef/>
      </w:r>
      <w:r>
        <w:t xml:space="preserve"> </w:t>
      </w:r>
      <w:r>
        <w:rPr>
          <w:i/>
        </w:rPr>
        <w:t xml:space="preserve">Ibid, </w:t>
      </w:r>
      <w:r>
        <w:t>s 2:21(2).</w:t>
      </w:r>
    </w:p>
  </w:footnote>
  <w:footnote w:id="548">
    <w:p w14:paraId="0CA9A447" w14:textId="2498EB38" w:rsidR="002774A4" w:rsidRPr="00D10E5E" w:rsidRDefault="002774A4">
      <w:pPr>
        <w:pStyle w:val="FootnoteText"/>
      </w:pPr>
      <w:r>
        <w:rPr>
          <w:rStyle w:val="FootnoteReference"/>
        </w:rPr>
        <w:footnoteRef/>
      </w:r>
      <w:r>
        <w:t xml:space="preserve"> See </w:t>
      </w:r>
      <w:r>
        <w:rPr>
          <w:i/>
        </w:rPr>
        <w:t xml:space="preserve">Ibid, </w:t>
      </w:r>
      <w:r>
        <w:t>s 2:19.</w:t>
      </w:r>
    </w:p>
  </w:footnote>
  <w:footnote w:id="549">
    <w:p w14:paraId="25C8FC2D" w14:textId="2DBEB634" w:rsidR="002774A4" w:rsidRPr="00736D50" w:rsidRDefault="002774A4">
      <w:pPr>
        <w:pStyle w:val="FootnoteText"/>
      </w:pPr>
      <w:r>
        <w:rPr>
          <w:rStyle w:val="FootnoteReference"/>
        </w:rPr>
        <w:footnoteRef/>
      </w:r>
      <w:r>
        <w:t xml:space="preserve"> </w:t>
      </w:r>
      <w:r>
        <w:rPr>
          <w:i/>
        </w:rPr>
        <w:t xml:space="preserve">Ibid, </w:t>
      </w:r>
      <w:r>
        <w:t>s 2:19(2).</w:t>
      </w:r>
    </w:p>
  </w:footnote>
  <w:footnote w:id="550">
    <w:p w14:paraId="48F650DF" w14:textId="3FE56AC3" w:rsidR="002774A4" w:rsidRPr="00FF30D6" w:rsidRDefault="002774A4">
      <w:pPr>
        <w:pStyle w:val="FootnoteText"/>
      </w:pPr>
      <w:r>
        <w:rPr>
          <w:rStyle w:val="FootnoteReference"/>
        </w:rPr>
        <w:footnoteRef/>
      </w:r>
      <w:r>
        <w:t xml:space="preserve"> </w:t>
      </w:r>
      <w:r>
        <w:rPr>
          <w:i/>
        </w:rPr>
        <w:t xml:space="preserve">Ibid, </w:t>
      </w:r>
      <w:r>
        <w:t>s 2:19.</w:t>
      </w:r>
    </w:p>
  </w:footnote>
  <w:footnote w:id="551">
    <w:p w14:paraId="07A18A13" w14:textId="499133F6" w:rsidR="002774A4" w:rsidRPr="0082189B" w:rsidRDefault="002774A4" w:rsidP="007C26E8">
      <w:pPr>
        <w:pStyle w:val="FootnoteText"/>
      </w:pPr>
      <w:r>
        <w:rPr>
          <w:rStyle w:val="FootnoteReference"/>
        </w:rPr>
        <w:footnoteRef/>
      </w:r>
      <w:r>
        <w:t xml:space="preserve"> </w:t>
      </w:r>
      <w:r>
        <w:rPr>
          <w:i/>
        </w:rPr>
        <w:t xml:space="preserve">Ibid, </w:t>
      </w:r>
      <w:r>
        <w:t>s 2:39.</w:t>
      </w:r>
    </w:p>
  </w:footnote>
  <w:footnote w:id="552">
    <w:p w14:paraId="5B3ABCB0" w14:textId="72D32C56" w:rsidR="002774A4" w:rsidRPr="001373B5" w:rsidRDefault="002774A4" w:rsidP="007C26E8">
      <w:pPr>
        <w:pStyle w:val="FootnoteText"/>
      </w:pPr>
      <w:r>
        <w:rPr>
          <w:rStyle w:val="FootnoteReference"/>
        </w:rPr>
        <w:footnoteRef/>
      </w:r>
      <w:r>
        <w:t xml:space="preserve"> </w:t>
      </w:r>
      <w:r>
        <w:rPr>
          <w:i/>
        </w:rPr>
        <w:t xml:space="preserve">Ibid, </w:t>
      </w:r>
      <w:r>
        <w:t>s 2:39(2</w:t>
      </w:r>
      <w:proofErr w:type="gramStart"/>
      <w:r>
        <w:t>)(</w:t>
      </w:r>
      <w:proofErr w:type="gramEnd"/>
      <w:r>
        <w:t>a).</w:t>
      </w:r>
    </w:p>
  </w:footnote>
  <w:footnote w:id="553">
    <w:p w14:paraId="7765A3B5" w14:textId="5C5BF69C" w:rsidR="002774A4" w:rsidRPr="00AE5929" w:rsidRDefault="002774A4" w:rsidP="007C26E8">
      <w:pPr>
        <w:pStyle w:val="FootnoteText"/>
      </w:pPr>
      <w:r>
        <w:rPr>
          <w:rStyle w:val="FootnoteReference"/>
        </w:rPr>
        <w:footnoteRef/>
      </w:r>
      <w:r>
        <w:t xml:space="preserve"> </w:t>
      </w:r>
      <w:r>
        <w:rPr>
          <w:i/>
        </w:rPr>
        <w:t xml:space="preserve">Ibid, </w:t>
      </w:r>
      <w:r>
        <w:t>s 2:39(2</w:t>
      </w:r>
      <w:proofErr w:type="gramStart"/>
      <w:r>
        <w:t>)(</w:t>
      </w:r>
      <w:proofErr w:type="gramEnd"/>
      <w:r>
        <w:t>c).</w:t>
      </w:r>
    </w:p>
  </w:footnote>
  <w:footnote w:id="554">
    <w:p w14:paraId="00589B7D" w14:textId="7A3531C7" w:rsidR="002774A4" w:rsidRPr="002517A8" w:rsidRDefault="002774A4">
      <w:pPr>
        <w:pStyle w:val="FootnoteText"/>
      </w:pPr>
      <w:r w:rsidRPr="002517A8">
        <w:rPr>
          <w:rStyle w:val="FootnoteReference"/>
        </w:rPr>
        <w:footnoteRef/>
      </w:r>
      <w:r w:rsidRPr="002517A8">
        <w:t xml:space="preserve"> </w:t>
      </w:r>
      <w:r w:rsidRPr="002517A8">
        <w:rPr>
          <w:i/>
        </w:rPr>
        <w:t xml:space="preserve">Ibid, </w:t>
      </w:r>
      <w:r w:rsidRPr="002517A8">
        <w:rPr>
          <w:lang w:val="en-GB"/>
        </w:rPr>
        <w:t>s 2:38(1).</w:t>
      </w:r>
    </w:p>
  </w:footnote>
  <w:footnote w:id="555">
    <w:p w14:paraId="1931FEF5" w14:textId="3BB850D3" w:rsidR="002774A4" w:rsidRPr="002517A8" w:rsidRDefault="002774A4">
      <w:pPr>
        <w:pStyle w:val="FootnoteText"/>
      </w:pPr>
      <w:r w:rsidRPr="002517A8">
        <w:rPr>
          <w:rStyle w:val="FootnoteReference"/>
        </w:rPr>
        <w:footnoteRef/>
      </w:r>
      <w:r w:rsidRPr="002517A8">
        <w:t xml:space="preserve"> </w:t>
      </w:r>
      <w:r w:rsidRPr="002517A8">
        <w:rPr>
          <w:i/>
        </w:rPr>
        <w:t>Ibid.</w:t>
      </w:r>
    </w:p>
  </w:footnote>
  <w:footnote w:id="556">
    <w:p w14:paraId="090957CE" w14:textId="21155317" w:rsidR="002774A4" w:rsidRPr="002517A8" w:rsidRDefault="002774A4">
      <w:pPr>
        <w:pStyle w:val="FootnoteText"/>
      </w:pPr>
      <w:r w:rsidRPr="002517A8">
        <w:rPr>
          <w:rStyle w:val="FootnoteReference"/>
        </w:rPr>
        <w:footnoteRef/>
      </w:r>
      <w:r w:rsidRPr="002517A8">
        <w:t xml:space="preserve"> </w:t>
      </w:r>
      <w:r w:rsidRPr="002517A8">
        <w:rPr>
          <w:i/>
        </w:rPr>
        <w:t xml:space="preserve">Ibid, </w:t>
      </w:r>
      <w:proofErr w:type="spellStart"/>
      <w:r w:rsidRPr="002517A8">
        <w:t>s</w:t>
      </w:r>
      <w:r>
        <w:t>s</w:t>
      </w:r>
      <w:proofErr w:type="spellEnd"/>
      <w:r w:rsidRPr="002517A8">
        <w:t xml:space="preserve"> 2:38(1)-(2).</w:t>
      </w:r>
    </w:p>
  </w:footnote>
  <w:footnote w:id="557">
    <w:p w14:paraId="1EB550ED" w14:textId="3C722B20" w:rsidR="002774A4" w:rsidRPr="002517A8" w:rsidRDefault="002774A4">
      <w:pPr>
        <w:pStyle w:val="FootnoteText"/>
      </w:pPr>
      <w:r w:rsidRPr="002517A8">
        <w:rPr>
          <w:rStyle w:val="FootnoteReference"/>
        </w:rPr>
        <w:footnoteRef/>
      </w:r>
      <w:r w:rsidRPr="002517A8">
        <w:t xml:space="preserve"> </w:t>
      </w:r>
      <w:r w:rsidRPr="002517A8">
        <w:rPr>
          <w:i/>
        </w:rPr>
        <w:t xml:space="preserve">Ibid, </w:t>
      </w:r>
      <w:r w:rsidRPr="002517A8">
        <w:t>s 2:38(2).</w:t>
      </w:r>
    </w:p>
  </w:footnote>
  <w:footnote w:id="558">
    <w:p w14:paraId="1A4305EB" w14:textId="60E44EA0" w:rsidR="002774A4" w:rsidRPr="002517A8" w:rsidRDefault="002774A4" w:rsidP="00D62575">
      <w:pPr>
        <w:pStyle w:val="FootnoteText"/>
      </w:pPr>
      <w:r w:rsidRPr="002517A8">
        <w:rPr>
          <w:rStyle w:val="FootnoteReference"/>
        </w:rPr>
        <w:footnoteRef/>
      </w:r>
      <w:r w:rsidRPr="002517A8">
        <w:t xml:space="preserve"> </w:t>
      </w:r>
      <w:r w:rsidRPr="002517A8">
        <w:rPr>
          <w:i/>
        </w:rPr>
        <w:t xml:space="preserve">Ibid, </w:t>
      </w:r>
      <w:r w:rsidRPr="002517A8">
        <w:t>s 2:38(3).</w:t>
      </w:r>
    </w:p>
  </w:footnote>
  <w:footnote w:id="559">
    <w:p w14:paraId="7104C361" w14:textId="579709AD" w:rsidR="002774A4" w:rsidRPr="00E34410" w:rsidRDefault="002774A4" w:rsidP="00F41126">
      <w:pPr>
        <w:pStyle w:val="FootnoteText"/>
      </w:pPr>
      <w:r w:rsidRPr="002517A8">
        <w:rPr>
          <w:rStyle w:val="FootnoteReference"/>
        </w:rPr>
        <w:footnoteRef/>
      </w:r>
      <w:r w:rsidRPr="002517A8">
        <w:rPr>
          <w:rFonts w:ascii="times" w:hAnsi="times"/>
          <w:i/>
        </w:rPr>
        <w:t xml:space="preserve"> Act CLV of 2013 on Supported Decision-</w:t>
      </w:r>
      <w:proofErr w:type="gramStart"/>
      <w:r w:rsidRPr="002517A8">
        <w:rPr>
          <w:rFonts w:ascii="times" w:hAnsi="times"/>
          <w:i/>
        </w:rPr>
        <w:t>Making</w:t>
      </w:r>
      <w:r w:rsidRPr="002517A8">
        <w:t>,</w:t>
      </w:r>
      <w:proofErr w:type="gramEnd"/>
      <w:r w:rsidRPr="002517A8">
        <w:t xml:space="preserve"> </w:t>
      </w:r>
      <w:r w:rsidRPr="002517A8">
        <w:rPr>
          <w:i/>
        </w:rPr>
        <w:t>supra</w:t>
      </w:r>
      <w:r>
        <w:rPr>
          <w:i/>
        </w:rPr>
        <w:t xml:space="preserve"> </w:t>
      </w:r>
      <w:r>
        <w:t xml:space="preserve">note </w:t>
      </w:r>
      <w:r>
        <w:fldChar w:fldCharType="begin"/>
      </w:r>
      <w:r>
        <w:instrText xml:space="preserve"> NOTEREF _Ref15301253 \h </w:instrText>
      </w:r>
      <w:r>
        <w:fldChar w:fldCharType="separate"/>
      </w:r>
      <w:r>
        <w:t>541</w:t>
      </w:r>
      <w:r>
        <w:fldChar w:fldCharType="end"/>
      </w:r>
      <w:r>
        <w:t xml:space="preserve"> at s 2(2).</w:t>
      </w:r>
    </w:p>
  </w:footnote>
  <w:footnote w:id="560">
    <w:p w14:paraId="5EC84AC9" w14:textId="4A718E09" w:rsidR="002774A4" w:rsidRPr="00ED6887" w:rsidRDefault="002774A4" w:rsidP="00F41126">
      <w:pPr>
        <w:pStyle w:val="FootnoteText"/>
      </w:pPr>
      <w:r>
        <w:rPr>
          <w:rStyle w:val="FootnoteReference"/>
        </w:rPr>
        <w:footnoteRef/>
      </w:r>
      <w:r>
        <w:t xml:space="preserve"> </w:t>
      </w:r>
      <w:r>
        <w:rPr>
          <w:i/>
        </w:rPr>
        <w:t xml:space="preserve">Ibid, </w:t>
      </w:r>
      <w:r>
        <w:t>s 6.</w:t>
      </w:r>
    </w:p>
  </w:footnote>
  <w:footnote w:id="561">
    <w:p w14:paraId="44E9E63F" w14:textId="3DC9927F" w:rsidR="002774A4" w:rsidRPr="00CF56FF" w:rsidRDefault="002774A4" w:rsidP="00F41126">
      <w:pPr>
        <w:pStyle w:val="FootnoteText"/>
      </w:pPr>
      <w:r>
        <w:rPr>
          <w:rStyle w:val="FootnoteReference"/>
        </w:rPr>
        <w:footnoteRef/>
      </w:r>
      <w:r>
        <w:t xml:space="preserve"> </w:t>
      </w:r>
      <w:r>
        <w:rPr>
          <w:i/>
        </w:rPr>
        <w:t xml:space="preserve">Ibid, </w:t>
      </w:r>
      <w:r>
        <w:t>s 6(3).</w:t>
      </w:r>
    </w:p>
  </w:footnote>
  <w:footnote w:id="562">
    <w:p w14:paraId="4208F7DB" w14:textId="6EF51EA5" w:rsidR="002774A4" w:rsidRPr="008251F2" w:rsidRDefault="002774A4">
      <w:pPr>
        <w:pStyle w:val="FootnoteText"/>
      </w:pPr>
      <w:r>
        <w:rPr>
          <w:rStyle w:val="FootnoteReference"/>
        </w:rPr>
        <w:footnoteRef/>
      </w:r>
      <w:r>
        <w:t xml:space="preserve"> </w:t>
      </w:r>
      <w:r>
        <w:rPr>
          <w:i/>
        </w:rPr>
        <w:t xml:space="preserve">Ibid, </w:t>
      </w:r>
      <w:r>
        <w:t>s 2(2).</w:t>
      </w:r>
    </w:p>
  </w:footnote>
  <w:footnote w:id="563">
    <w:p w14:paraId="686F06C9" w14:textId="24F62F03" w:rsidR="002774A4" w:rsidRPr="00CF58F7" w:rsidRDefault="002774A4" w:rsidP="002A0A54">
      <w:pPr>
        <w:pStyle w:val="FootnoteText"/>
      </w:pPr>
      <w:r>
        <w:rPr>
          <w:rStyle w:val="FootnoteReference"/>
        </w:rPr>
        <w:footnoteRef/>
      </w:r>
      <w:r>
        <w:t xml:space="preserve"> </w:t>
      </w:r>
      <w:r>
        <w:rPr>
          <w:i/>
        </w:rPr>
        <w:t xml:space="preserve">Ibid, </w:t>
      </w:r>
      <w:r>
        <w:t>s 2(1).</w:t>
      </w:r>
    </w:p>
  </w:footnote>
  <w:footnote w:id="564">
    <w:p w14:paraId="31C9BB50" w14:textId="0A83EDB1" w:rsidR="002774A4" w:rsidRPr="00680F12" w:rsidRDefault="002774A4">
      <w:pPr>
        <w:pStyle w:val="FootnoteText"/>
      </w:pPr>
      <w:r>
        <w:rPr>
          <w:rStyle w:val="FootnoteReference"/>
        </w:rPr>
        <w:footnoteRef/>
      </w:r>
      <w:r>
        <w:t xml:space="preserve"> </w:t>
      </w:r>
      <w:r>
        <w:rPr>
          <w:i/>
        </w:rPr>
        <w:t xml:space="preserve">Ibid, </w:t>
      </w:r>
      <w:proofErr w:type="spellStart"/>
      <w:r>
        <w:t>ss</w:t>
      </w:r>
      <w:proofErr w:type="spellEnd"/>
      <w:r>
        <w:t xml:space="preserve"> 4(1</w:t>
      </w:r>
      <w:proofErr w:type="gramStart"/>
      <w:r>
        <w:t>)(</w:t>
      </w:r>
      <w:proofErr w:type="gramEnd"/>
      <w:r>
        <w:t>d)-(e).</w:t>
      </w:r>
    </w:p>
  </w:footnote>
  <w:footnote w:id="565">
    <w:p w14:paraId="147B92D5" w14:textId="709D00B2" w:rsidR="002774A4" w:rsidRPr="00350665" w:rsidRDefault="002774A4">
      <w:pPr>
        <w:pStyle w:val="FootnoteText"/>
      </w:pPr>
      <w:r>
        <w:rPr>
          <w:rStyle w:val="FootnoteReference"/>
        </w:rPr>
        <w:footnoteRef/>
      </w:r>
      <w:r>
        <w:t xml:space="preserve"> </w:t>
      </w:r>
      <w:r>
        <w:rPr>
          <w:i/>
        </w:rPr>
        <w:t xml:space="preserve">Ibid, </w:t>
      </w:r>
      <w:r>
        <w:t>s 2(1).</w:t>
      </w:r>
    </w:p>
  </w:footnote>
  <w:footnote w:id="566">
    <w:p w14:paraId="3AEA88BB" w14:textId="26E6E0E0" w:rsidR="002774A4" w:rsidRPr="003F7424" w:rsidRDefault="002774A4">
      <w:pPr>
        <w:pStyle w:val="FootnoteText"/>
      </w:pPr>
      <w:r>
        <w:rPr>
          <w:rStyle w:val="FootnoteReference"/>
        </w:rPr>
        <w:footnoteRef/>
      </w:r>
      <w:r>
        <w:t xml:space="preserve"> </w:t>
      </w:r>
      <w:r>
        <w:rPr>
          <w:i/>
        </w:rPr>
        <w:t xml:space="preserve">Ibid, </w:t>
      </w:r>
      <w:r>
        <w:t>s 5(1).</w:t>
      </w:r>
    </w:p>
  </w:footnote>
  <w:footnote w:id="567">
    <w:p w14:paraId="57772358" w14:textId="1173FAD9" w:rsidR="002774A4" w:rsidRPr="00A80B79" w:rsidRDefault="002774A4">
      <w:pPr>
        <w:pStyle w:val="FootnoteText"/>
      </w:pPr>
      <w:r>
        <w:rPr>
          <w:rStyle w:val="FootnoteReference"/>
        </w:rPr>
        <w:footnoteRef/>
      </w:r>
      <w:r>
        <w:t xml:space="preserve"> </w:t>
      </w:r>
      <w:r w:rsidRPr="00A80B79">
        <w:rPr>
          <w:i/>
        </w:rPr>
        <w:t xml:space="preserve">Ibid, </w:t>
      </w:r>
      <w:r w:rsidRPr="00A80B79">
        <w:t>s 5(2).</w:t>
      </w:r>
    </w:p>
  </w:footnote>
  <w:footnote w:id="568">
    <w:p w14:paraId="12C6E844" w14:textId="2D1FCCB3" w:rsidR="002774A4" w:rsidRPr="00CE1D01" w:rsidRDefault="002774A4">
      <w:pPr>
        <w:pStyle w:val="FootnoteText"/>
      </w:pPr>
      <w:r>
        <w:rPr>
          <w:rStyle w:val="FootnoteReference"/>
        </w:rPr>
        <w:footnoteRef/>
      </w:r>
      <w:r>
        <w:t xml:space="preserve"> See </w:t>
      </w:r>
      <w:r>
        <w:rPr>
          <w:i/>
        </w:rPr>
        <w:t xml:space="preserve">Ibid, </w:t>
      </w:r>
      <w:proofErr w:type="spellStart"/>
      <w:r>
        <w:t>ss</w:t>
      </w:r>
      <w:proofErr w:type="spellEnd"/>
      <w:r>
        <w:t xml:space="preserve"> 2:19(2) &amp; 2:21(2).</w:t>
      </w:r>
    </w:p>
  </w:footnote>
  <w:footnote w:id="569">
    <w:p w14:paraId="78806F50" w14:textId="4666130F" w:rsidR="002774A4" w:rsidRPr="00A80B79" w:rsidRDefault="002774A4">
      <w:pPr>
        <w:pStyle w:val="FootnoteText"/>
      </w:pPr>
      <w:r w:rsidRPr="00A80B79">
        <w:rPr>
          <w:rStyle w:val="FootnoteReference"/>
        </w:rPr>
        <w:footnoteRef/>
      </w:r>
      <w:r w:rsidRPr="00A80B79">
        <w:t xml:space="preserve"> Committee on the Rights of Persons with Disabilities, </w:t>
      </w:r>
      <w:r>
        <w:t xml:space="preserve">“General comment No.1,” </w:t>
      </w:r>
      <w:r w:rsidRPr="00A80B79">
        <w:rPr>
          <w:i/>
        </w:rPr>
        <w:t xml:space="preserve">supra </w:t>
      </w:r>
      <w:r w:rsidRPr="00A80B79">
        <w:t xml:space="preserve">note </w:t>
      </w:r>
      <w:r>
        <w:fldChar w:fldCharType="begin"/>
      </w:r>
      <w:r>
        <w:instrText xml:space="preserve"> NOTEREF _Ref15295251 \h </w:instrText>
      </w:r>
      <w:r>
        <w:fldChar w:fldCharType="separate"/>
      </w:r>
      <w:proofErr w:type="gramStart"/>
      <w:r>
        <w:t>7</w:t>
      </w:r>
      <w:proofErr w:type="gramEnd"/>
      <w:r>
        <w:fldChar w:fldCharType="end"/>
      </w:r>
      <w:r>
        <w:t xml:space="preserve"> </w:t>
      </w:r>
      <w:r w:rsidRPr="00A80B79">
        <w:t>at para 15.</w:t>
      </w:r>
    </w:p>
  </w:footnote>
  <w:footnote w:id="570">
    <w:p w14:paraId="1040C79F" w14:textId="77774BA6" w:rsidR="002774A4" w:rsidRPr="00A80B79" w:rsidRDefault="002774A4" w:rsidP="003C0125">
      <w:pPr>
        <w:pStyle w:val="NormalWeb"/>
        <w:spacing w:before="0" w:beforeAutospacing="0" w:after="0" w:afterAutospacing="0"/>
        <w:rPr>
          <w:sz w:val="20"/>
          <w:szCs w:val="20"/>
        </w:rPr>
      </w:pPr>
      <w:r w:rsidRPr="00A80B79">
        <w:rPr>
          <w:rStyle w:val="FootnoteReference"/>
          <w:sz w:val="20"/>
          <w:szCs w:val="20"/>
        </w:rPr>
        <w:footnoteRef/>
      </w:r>
      <w:r w:rsidRPr="00A80B79">
        <w:rPr>
          <w:sz w:val="20"/>
          <w:szCs w:val="20"/>
        </w:rPr>
        <w:t xml:space="preserve"> </w:t>
      </w:r>
      <w:r w:rsidRPr="00A80B79">
        <w:rPr>
          <w:i/>
          <w:sz w:val="20"/>
          <w:szCs w:val="20"/>
        </w:rPr>
        <w:t xml:space="preserve">Hungarian Civil Code, supra </w:t>
      </w:r>
      <w:r w:rsidRPr="00A80B79">
        <w:rPr>
          <w:sz w:val="20"/>
          <w:szCs w:val="20"/>
        </w:rPr>
        <w:t xml:space="preserve">note </w:t>
      </w:r>
      <w:r>
        <w:rPr>
          <w:sz w:val="20"/>
          <w:szCs w:val="20"/>
        </w:rPr>
        <w:fldChar w:fldCharType="begin"/>
      </w:r>
      <w:r>
        <w:rPr>
          <w:sz w:val="20"/>
          <w:szCs w:val="20"/>
        </w:rPr>
        <w:instrText xml:space="preserve"> NOTEREF _Ref15301220 \h </w:instrText>
      </w:r>
      <w:r>
        <w:rPr>
          <w:sz w:val="20"/>
          <w:szCs w:val="20"/>
        </w:rPr>
      </w:r>
      <w:r>
        <w:rPr>
          <w:sz w:val="20"/>
          <w:szCs w:val="20"/>
        </w:rPr>
        <w:fldChar w:fldCharType="separate"/>
      </w:r>
      <w:r>
        <w:rPr>
          <w:sz w:val="20"/>
          <w:szCs w:val="20"/>
        </w:rPr>
        <w:t>538</w:t>
      </w:r>
      <w:r>
        <w:rPr>
          <w:sz w:val="20"/>
          <w:szCs w:val="20"/>
        </w:rPr>
        <w:fldChar w:fldCharType="end"/>
      </w:r>
      <w:r w:rsidRPr="00A80B79">
        <w:rPr>
          <w:sz w:val="20"/>
          <w:szCs w:val="20"/>
        </w:rPr>
        <w:t>, s 4:10(1).</w:t>
      </w:r>
    </w:p>
  </w:footnote>
  <w:footnote w:id="571">
    <w:p w14:paraId="2DB1E364" w14:textId="6AA233A8" w:rsidR="002774A4" w:rsidRPr="00A80B79" w:rsidRDefault="002774A4" w:rsidP="003C0125">
      <w:pPr>
        <w:pStyle w:val="NormalWeb"/>
        <w:spacing w:before="0" w:beforeAutospacing="0" w:after="0" w:afterAutospacing="0"/>
        <w:rPr>
          <w:sz w:val="20"/>
          <w:szCs w:val="20"/>
        </w:rPr>
      </w:pPr>
      <w:r w:rsidRPr="00A80B79">
        <w:rPr>
          <w:rStyle w:val="FootnoteReference"/>
          <w:sz w:val="20"/>
          <w:szCs w:val="20"/>
        </w:rPr>
        <w:footnoteRef/>
      </w:r>
      <w:r w:rsidRPr="00A80B79">
        <w:rPr>
          <w:sz w:val="20"/>
          <w:szCs w:val="20"/>
        </w:rPr>
        <w:t xml:space="preserve"> </w:t>
      </w:r>
      <w:r>
        <w:rPr>
          <w:i/>
          <w:sz w:val="20"/>
          <w:szCs w:val="20"/>
        </w:rPr>
        <w:t xml:space="preserve">Ibid, </w:t>
      </w:r>
      <w:r>
        <w:rPr>
          <w:sz w:val="20"/>
          <w:szCs w:val="20"/>
        </w:rPr>
        <w:t xml:space="preserve">s </w:t>
      </w:r>
      <w:r w:rsidRPr="00A80B79">
        <w:rPr>
          <w:sz w:val="20"/>
          <w:szCs w:val="20"/>
        </w:rPr>
        <w:t xml:space="preserve">7:11 </w:t>
      </w:r>
      <w:r>
        <w:rPr>
          <w:sz w:val="20"/>
          <w:szCs w:val="20"/>
        </w:rPr>
        <w:t>&amp; s</w:t>
      </w:r>
      <w:r w:rsidRPr="00A80B79">
        <w:rPr>
          <w:sz w:val="20"/>
          <w:szCs w:val="20"/>
        </w:rPr>
        <w:t xml:space="preserve"> 2:22(1)</w:t>
      </w:r>
      <w:r>
        <w:rPr>
          <w:sz w:val="20"/>
          <w:szCs w:val="20"/>
        </w:rPr>
        <w:t>.</w:t>
      </w:r>
    </w:p>
  </w:footnote>
  <w:footnote w:id="572">
    <w:p w14:paraId="183F22D0" w14:textId="2E5836BC" w:rsidR="002774A4" w:rsidRPr="00A80B79" w:rsidRDefault="002774A4" w:rsidP="003C0125">
      <w:pPr>
        <w:pStyle w:val="NormalWeb"/>
        <w:spacing w:before="0" w:beforeAutospacing="0" w:after="0" w:afterAutospacing="0"/>
        <w:rPr>
          <w:sz w:val="20"/>
          <w:szCs w:val="20"/>
        </w:rPr>
      </w:pPr>
      <w:r w:rsidRPr="00A80B79">
        <w:rPr>
          <w:rStyle w:val="FootnoteReference"/>
          <w:sz w:val="20"/>
          <w:szCs w:val="20"/>
        </w:rPr>
        <w:footnoteRef/>
      </w:r>
      <w:r w:rsidRPr="00A80B79">
        <w:rPr>
          <w:sz w:val="20"/>
          <w:szCs w:val="20"/>
        </w:rPr>
        <w:t xml:space="preserve"> </w:t>
      </w:r>
      <w:r>
        <w:rPr>
          <w:i/>
          <w:sz w:val="20"/>
          <w:szCs w:val="20"/>
        </w:rPr>
        <w:t xml:space="preserve">Ibid, </w:t>
      </w:r>
      <w:r>
        <w:rPr>
          <w:sz w:val="20"/>
          <w:szCs w:val="20"/>
        </w:rPr>
        <w:t>s</w:t>
      </w:r>
      <w:r w:rsidRPr="00A80B79">
        <w:rPr>
          <w:sz w:val="20"/>
          <w:szCs w:val="20"/>
        </w:rPr>
        <w:t xml:space="preserve"> 4:121(1). </w:t>
      </w:r>
    </w:p>
  </w:footnote>
  <w:footnote w:id="573">
    <w:p w14:paraId="60178A24" w14:textId="027B79A7" w:rsidR="002774A4" w:rsidRPr="00277BC9" w:rsidRDefault="002774A4" w:rsidP="003C0125">
      <w:pPr>
        <w:pStyle w:val="NormalWeb"/>
        <w:spacing w:before="0" w:beforeAutospacing="0" w:after="0" w:afterAutospacing="0"/>
        <w:rPr>
          <w:sz w:val="20"/>
          <w:szCs w:val="20"/>
        </w:rPr>
      </w:pPr>
      <w:r w:rsidRPr="00277BC9">
        <w:rPr>
          <w:rStyle w:val="FootnoteReference"/>
          <w:sz w:val="20"/>
          <w:szCs w:val="20"/>
        </w:rPr>
        <w:footnoteRef/>
      </w:r>
      <w:r w:rsidRPr="00277BC9">
        <w:rPr>
          <w:sz w:val="20"/>
          <w:szCs w:val="20"/>
        </w:rPr>
        <w:t xml:space="preserve"> Section 15(2) of the Act CLIV of 1997 on Health. Section 16 (2) and Section 21 of the Act CLIV of 1997 on Health.</w:t>
      </w:r>
    </w:p>
  </w:footnote>
  <w:footnote w:id="574">
    <w:p w14:paraId="7B2D3CC3" w14:textId="55F6A88D" w:rsidR="002774A4" w:rsidRPr="00277BC9" w:rsidRDefault="002774A4" w:rsidP="003C0125">
      <w:pPr>
        <w:pStyle w:val="NormalWeb"/>
        <w:spacing w:before="0" w:beforeAutospacing="0" w:after="0" w:afterAutospacing="0"/>
        <w:rPr>
          <w:sz w:val="20"/>
          <w:szCs w:val="20"/>
        </w:rPr>
      </w:pPr>
      <w:r w:rsidRPr="00277BC9">
        <w:rPr>
          <w:rStyle w:val="FootnoteReference"/>
          <w:sz w:val="20"/>
          <w:szCs w:val="20"/>
        </w:rPr>
        <w:footnoteRef/>
      </w:r>
      <w:r w:rsidRPr="00277BC9">
        <w:rPr>
          <w:sz w:val="20"/>
          <w:szCs w:val="20"/>
        </w:rPr>
        <w:t xml:space="preserve"> Section 49(1)-(2) of the Act III of 1952 on the Code of Civil Procedure</w:t>
      </w:r>
      <w:proofErr w:type="gramStart"/>
      <w:r w:rsidRPr="00277BC9">
        <w:rPr>
          <w:sz w:val="20"/>
          <w:szCs w:val="20"/>
        </w:rPr>
        <w:t>;</w:t>
      </w:r>
      <w:proofErr w:type="gramEnd"/>
      <w:r w:rsidRPr="00277BC9">
        <w:rPr>
          <w:sz w:val="20"/>
          <w:szCs w:val="20"/>
        </w:rPr>
        <w:t xml:space="preserve"> Section 15 (7) of the Act CXL of 2004 on the General Rules of Administrative Proceedings and Services.</w:t>
      </w:r>
    </w:p>
  </w:footnote>
  <w:footnote w:id="575">
    <w:p w14:paraId="58D9C2E4" w14:textId="2767AA00" w:rsidR="002774A4" w:rsidRPr="00A80B79" w:rsidRDefault="002774A4" w:rsidP="00A70E36">
      <w:pPr>
        <w:pStyle w:val="NormalWeb"/>
        <w:spacing w:before="0" w:beforeAutospacing="0" w:after="0" w:afterAutospacing="0"/>
        <w:rPr>
          <w:sz w:val="20"/>
          <w:szCs w:val="20"/>
        </w:rPr>
      </w:pPr>
      <w:r w:rsidRPr="00277BC9">
        <w:rPr>
          <w:rStyle w:val="FootnoteReference"/>
          <w:sz w:val="20"/>
          <w:szCs w:val="20"/>
        </w:rPr>
        <w:footnoteRef/>
      </w:r>
      <w:r w:rsidRPr="00277BC9">
        <w:rPr>
          <w:sz w:val="20"/>
          <w:szCs w:val="20"/>
        </w:rPr>
        <w:t xml:space="preserve"> </w:t>
      </w:r>
      <w:r w:rsidRPr="00277BC9">
        <w:rPr>
          <w:i/>
          <w:sz w:val="20"/>
          <w:szCs w:val="20"/>
        </w:rPr>
        <w:t xml:space="preserve">Hungarian Civil Code, supra </w:t>
      </w:r>
      <w:r w:rsidRPr="00277BC9">
        <w:rPr>
          <w:sz w:val="20"/>
          <w:szCs w:val="20"/>
        </w:rPr>
        <w:t xml:space="preserve">note </w:t>
      </w:r>
      <w:r>
        <w:rPr>
          <w:sz w:val="20"/>
          <w:szCs w:val="20"/>
        </w:rPr>
        <w:fldChar w:fldCharType="begin"/>
      </w:r>
      <w:r>
        <w:rPr>
          <w:sz w:val="20"/>
          <w:szCs w:val="20"/>
        </w:rPr>
        <w:instrText xml:space="preserve"> NOTEREF _Ref15301220 \h </w:instrText>
      </w:r>
      <w:r>
        <w:rPr>
          <w:sz w:val="20"/>
          <w:szCs w:val="20"/>
        </w:rPr>
      </w:r>
      <w:r>
        <w:rPr>
          <w:sz w:val="20"/>
          <w:szCs w:val="20"/>
        </w:rPr>
        <w:fldChar w:fldCharType="separate"/>
      </w:r>
      <w:r>
        <w:rPr>
          <w:sz w:val="20"/>
          <w:szCs w:val="20"/>
        </w:rPr>
        <w:t>538</w:t>
      </w:r>
      <w:r>
        <w:rPr>
          <w:sz w:val="20"/>
          <w:szCs w:val="20"/>
        </w:rPr>
        <w:fldChar w:fldCharType="end"/>
      </w:r>
      <w:r w:rsidRPr="00277BC9">
        <w:rPr>
          <w:sz w:val="20"/>
          <w:szCs w:val="20"/>
        </w:rPr>
        <w:t xml:space="preserve">, s 2:22(1) (3); Mental Disability Advocacy Centre (MDAC), </w:t>
      </w:r>
      <w:r w:rsidRPr="00277BC9">
        <w:rPr>
          <w:i/>
          <w:sz w:val="20"/>
          <w:szCs w:val="20"/>
        </w:rPr>
        <w:t>Recommendations for Hungary – UN Universal Periodic</w:t>
      </w:r>
      <w:r w:rsidRPr="00277BC9">
        <w:rPr>
          <w:sz w:val="20"/>
          <w:szCs w:val="20"/>
        </w:rPr>
        <w:t xml:space="preserve"> </w:t>
      </w:r>
      <w:r w:rsidRPr="00277BC9">
        <w:rPr>
          <w:i/>
          <w:sz w:val="20"/>
          <w:szCs w:val="20"/>
        </w:rPr>
        <w:t>Review</w:t>
      </w:r>
      <w:r w:rsidRPr="00277BC9">
        <w:rPr>
          <w:sz w:val="20"/>
          <w:szCs w:val="20"/>
        </w:rPr>
        <w:t xml:space="preserve"> (21 September 2015) at 2-3, online: &lt;</w:t>
      </w:r>
      <w:r w:rsidRPr="00277BC9">
        <w:t xml:space="preserve"> </w:t>
      </w:r>
      <w:hyperlink r:id="rId19" w:history="1">
        <w:r w:rsidRPr="00277BC9">
          <w:rPr>
            <w:rStyle w:val="Hyperlink"/>
            <w:sz w:val="20"/>
            <w:szCs w:val="20"/>
          </w:rPr>
          <w:t>https://www.google.com/url?sa=t&amp;rct=j&amp;q=&amp;esrc=s&amp;source=web&amp;cd=1&amp;ved=2ahUKEwiO6eeX8crjAhWHiVwKHca8CKMQFjAAegQIABAC&amp;url=https%3A%2F%2Fuprdoc.ohchr.org%2Fuprweb%2Fdownloadfile.aspx%3Ffilename%3D2610%26file%3DEnglishTranslation&amp;usg=AOvVaw3g4c_Bav4mYf2tjCi4f7Tl</w:t>
        </w:r>
      </w:hyperlink>
      <w:r>
        <w:rPr>
          <w:sz w:val="20"/>
          <w:szCs w:val="20"/>
        </w:rPr>
        <w:t xml:space="preserve">&gt;. </w:t>
      </w:r>
    </w:p>
  </w:footnote>
  <w:footnote w:id="576">
    <w:p w14:paraId="1A6BB5B0" w14:textId="71F8EBC0" w:rsidR="002774A4" w:rsidRPr="00A70E36" w:rsidRDefault="002774A4">
      <w:pPr>
        <w:pStyle w:val="FootnoteText"/>
      </w:pPr>
      <w:r w:rsidRPr="00A80B79">
        <w:rPr>
          <w:rStyle w:val="FootnoteReference"/>
        </w:rPr>
        <w:footnoteRef/>
      </w:r>
      <w:r w:rsidRPr="00A80B79">
        <w:t xml:space="preserve"> </w:t>
      </w:r>
      <w:r w:rsidRPr="00A80B79">
        <w:rPr>
          <w:i/>
        </w:rPr>
        <w:t xml:space="preserve">Hungarian Civil Code, supra </w:t>
      </w:r>
      <w:r w:rsidRPr="00A80B79">
        <w:t xml:space="preserve">note </w:t>
      </w:r>
      <w:r>
        <w:fldChar w:fldCharType="begin"/>
      </w:r>
      <w:r>
        <w:instrText xml:space="preserve"> NOTEREF _Ref15301220 \h </w:instrText>
      </w:r>
      <w:r>
        <w:fldChar w:fldCharType="separate"/>
      </w:r>
      <w:r>
        <w:t>538</w:t>
      </w:r>
      <w:r>
        <w:fldChar w:fldCharType="end"/>
      </w:r>
      <w:r w:rsidRPr="00A80B79">
        <w:t xml:space="preserve">, s </w:t>
      </w:r>
      <w:r w:rsidRPr="00A80B79">
        <w:rPr>
          <w:lang w:val="en-GB"/>
        </w:rPr>
        <w:t>2:38(1).</w:t>
      </w:r>
    </w:p>
  </w:footnote>
  <w:footnote w:id="577">
    <w:p w14:paraId="55763458" w14:textId="49657BC6" w:rsidR="002774A4" w:rsidRPr="00A4161F" w:rsidRDefault="002774A4" w:rsidP="00A4161F">
      <w:pPr>
        <w:pStyle w:val="Heading3"/>
        <w:spacing w:before="0"/>
        <w:rPr>
          <w:rFonts w:ascii="Times New Roman" w:hAnsi="Times New Roman" w:cs="Times New Roman"/>
          <w:color w:val="000000"/>
          <w:sz w:val="20"/>
          <w:szCs w:val="20"/>
        </w:rPr>
      </w:pPr>
      <w:r w:rsidRPr="00D960A6">
        <w:rPr>
          <w:rStyle w:val="FootnoteReference"/>
          <w:rFonts w:ascii="Times New Roman" w:hAnsi="Times New Roman" w:cs="Times New Roman"/>
          <w:sz w:val="20"/>
          <w:szCs w:val="20"/>
        </w:rPr>
        <w:footnoteRef/>
      </w:r>
      <w:r w:rsidRPr="00D960A6">
        <w:rPr>
          <w:rFonts w:ascii="Times New Roman" w:hAnsi="Times New Roman" w:cs="Times New Roman"/>
          <w:sz w:val="20"/>
          <w:szCs w:val="20"/>
        </w:rPr>
        <w:t xml:space="preserve"> </w:t>
      </w:r>
      <w:bookmarkStart w:id="67" w:name="_ixo06tbznbsl" w:colFirst="0" w:colLast="0"/>
      <w:bookmarkEnd w:id="67"/>
      <w:proofErr w:type="gramStart"/>
      <w:r w:rsidRPr="00D960A6">
        <w:rPr>
          <w:rFonts w:ascii="Times New Roman" w:hAnsi="Times New Roman" w:cs="Times New Roman"/>
          <w:color w:val="000000"/>
          <w:sz w:val="20"/>
          <w:szCs w:val="20"/>
        </w:rPr>
        <w:t xml:space="preserve">Hungarian Association for People with </w:t>
      </w:r>
      <w:r w:rsidRPr="004A2A04">
        <w:rPr>
          <w:rFonts w:ascii="Times New Roman" w:hAnsi="Times New Roman" w:cs="Times New Roman"/>
          <w:color w:val="000000"/>
          <w:sz w:val="20"/>
          <w:szCs w:val="20"/>
        </w:rPr>
        <w:t xml:space="preserve">Intellectual Disabilities, </w:t>
      </w:r>
      <w:bookmarkStart w:id="68" w:name="_xqxavqez4u6g" w:colFirst="0" w:colLast="0"/>
      <w:bookmarkEnd w:id="68"/>
      <w:r w:rsidRPr="004A2A04">
        <w:rPr>
          <w:rFonts w:ascii="Times New Roman" w:hAnsi="Times New Roman" w:cs="Times New Roman"/>
          <w:i/>
          <w:color w:val="000000"/>
          <w:sz w:val="20"/>
          <w:szCs w:val="20"/>
        </w:rPr>
        <w:t>Periodic reporting of HUNGARY to the Committee on the Rights of Persons with Disabilities under the simplified reporting procedure</w:t>
      </w:r>
      <w:bookmarkStart w:id="69" w:name="_u02wg8dxsu5z" w:colFirst="0" w:colLast="0"/>
      <w:bookmarkEnd w:id="69"/>
      <w:r w:rsidRPr="004A2A04">
        <w:rPr>
          <w:rFonts w:ascii="Times New Roman" w:hAnsi="Times New Roman" w:cs="Times New Roman"/>
          <w:color w:val="000000"/>
          <w:sz w:val="20"/>
          <w:szCs w:val="20"/>
        </w:rPr>
        <w:t xml:space="preserve"> (1 May 2018) at 10, online: &lt;</w:t>
      </w:r>
      <w:r w:rsidRPr="004A2A04">
        <w:t xml:space="preserve"> </w:t>
      </w:r>
      <w:hyperlink r:id="rId20" w:history="1">
        <w:r w:rsidRPr="00CA63FA">
          <w:rPr>
            <w:rStyle w:val="Hyperlink"/>
            <w:rFonts w:ascii="Times New Roman" w:hAnsi="Times New Roman" w:cs="Times New Roman"/>
            <w:sz w:val="20"/>
            <w:szCs w:val="20"/>
          </w:rPr>
          <w:t>https://tbinternet.ohchr.org/Treaties/CRPD/Shared%20Documents/HUN/INT_CRPD_ICS_HUN_31035_E.docx</w:t>
        </w:r>
      </w:hyperlink>
      <w:r w:rsidRPr="004A2A04">
        <w:rPr>
          <w:rFonts w:ascii="Times New Roman" w:hAnsi="Times New Roman" w:cs="Times New Roman"/>
          <w:color w:val="000000" w:themeColor="text1"/>
          <w:sz w:val="20"/>
          <w:szCs w:val="20"/>
        </w:rPr>
        <w:t>&gt;</w:t>
      </w:r>
      <w:r>
        <w:rPr>
          <w:rFonts w:ascii="Times New Roman" w:hAnsi="Times New Roman" w:cs="Times New Roman"/>
          <w:color w:val="000000" w:themeColor="text1"/>
          <w:sz w:val="20"/>
          <w:szCs w:val="20"/>
        </w:rPr>
        <w:t xml:space="preserve"> </w:t>
      </w:r>
      <w:r w:rsidRPr="004A2A04">
        <w:rPr>
          <w:rFonts w:ascii="Times New Roman" w:hAnsi="Times New Roman" w:cs="Times New Roman"/>
          <w:color w:val="000000" w:themeColor="text1"/>
          <w:sz w:val="20"/>
          <w:szCs w:val="20"/>
        </w:rPr>
        <w:t xml:space="preserve">; The UN Committee on Rights of Persons with Disabilities has emphasized that the availability of supported decision-making should not be based on evaluations of mental capacity: Committee on the Rights of Persons with Disabilities, “General comment No.1,” </w:t>
      </w:r>
      <w:r w:rsidRPr="004A2A04">
        <w:rPr>
          <w:rFonts w:ascii="Times New Roman" w:hAnsi="Times New Roman" w:cs="Times New Roman"/>
          <w:i/>
          <w:color w:val="000000" w:themeColor="text1"/>
          <w:sz w:val="20"/>
          <w:szCs w:val="20"/>
        </w:rPr>
        <w:t xml:space="preserve">supra </w:t>
      </w:r>
      <w:r w:rsidRPr="004A2A04">
        <w:rPr>
          <w:rFonts w:ascii="Times New Roman" w:hAnsi="Times New Roman" w:cs="Times New Roman"/>
          <w:color w:val="000000" w:themeColor="text1"/>
          <w:sz w:val="20"/>
          <w:szCs w:val="20"/>
        </w:rPr>
        <w:t xml:space="preserve">note </w:t>
      </w:r>
      <w:r w:rsidRPr="004A2A04">
        <w:rPr>
          <w:rFonts w:ascii="Times New Roman" w:hAnsi="Times New Roman" w:cs="Times New Roman"/>
          <w:color w:val="000000" w:themeColor="text1"/>
          <w:sz w:val="20"/>
          <w:szCs w:val="20"/>
        </w:rPr>
        <w:fldChar w:fldCharType="begin"/>
      </w:r>
      <w:r w:rsidRPr="004A2A04">
        <w:rPr>
          <w:rFonts w:ascii="Times New Roman" w:hAnsi="Times New Roman" w:cs="Times New Roman"/>
          <w:color w:val="000000" w:themeColor="text1"/>
          <w:sz w:val="20"/>
          <w:szCs w:val="20"/>
        </w:rPr>
        <w:instrText xml:space="preserve"> NOTEREF _Ref15295251 \h </w:instrText>
      </w:r>
      <w:r>
        <w:rPr>
          <w:rFonts w:ascii="Times New Roman" w:hAnsi="Times New Roman" w:cs="Times New Roman"/>
          <w:color w:val="000000" w:themeColor="text1"/>
          <w:sz w:val="20"/>
          <w:szCs w:val="20"/>
        </w:rPr>
        <w:instrText xml:space="preserve"> \* MERGEFORMAT </w:instrText>
      </w:r>
      <w:r w:rsidRPr="004A2A04">
        <w:rPr>
          <w:rFonts w:ascii="Times New Roman" w:hAnsi="Times New Roman" w:cs="Times New Roman"/>
          <w:color w:val="000000" w:themeColor="text1"/>
          <w:sz w:val="20"/>
          <w:szCs w:val="20"/>
        </w:rPr>
      </w:r>
      <w:r w:rsidRPr="004A2A04">
        <w:rPr>
          <w:rFonts w:ascii="Times New Roman" w:hAnsi="Times New Roman" w:cs="Times New Roman"/>
          <w:color w:val="000000" w:themeColor="text1"/>
          <w:sz w:val="20"/>
          <w:szCs w:val="20"/>
        </w:rPr>
        <w:fldChar w:fldCharType="separate"/>
      </w:r>
      <w:r w:rsidRPr="004A2A04">
        <w:rPr>
          <w:rFonts w:ascii="Times New Roman" w:hAnsi="Times New Roman" w:cs="Times New Roman"/>
          <w:color w:val="000000" w:themeColor="text1"/>
          <w:sz w:val="20"/>
          <w:szCs w:val="20"/>
        </w:rPr>
        <w:t>7</w:t>
      </w:r>
      <w:r w:rsidRPr="004A2A04">
        <w:rPr>
          <w:rFonts w:ascii="Times New Roman" w:hAnsi="Times New Roman" w:cs="Times New Roman"/>
          <w:color w:val="000000" w:themeColor="text1"/>
          <w:sz w:val="20"/>
          <w:szCs w:val="20"/>
        </w:rPr>
        <w:fldChar w:fldCharType="end"/>
      </w:r>
      <w:r w:rsidRPr="004A2A04">
        <w:rPr>
          <w:rFonts w:ascii="Times New Roman" w:hAnsi="Times New Roman" w:cs="Times New Roman"/>
          <w:color w:val="000000" w:themeColor="text1"/>
          <w:sz w:val="20"/>
          <w:szCs w:val="20"/>
        </w:rPr>
        <w:t xml:space="preserve"> at para 29(i).</w:t>
      </w:r>
      <w:proofErr w:type="gramEnd"/>
      <w:r w:rsidRPr="0096080A">
        <w:rPr>
          <w:color w:val="000000" w:themeColor="text1"/>
        </w:rPr>
        <w:t xml:space="preserve"> </w:t>
      </w:r>
    </w:p>
  </w:footnote>
  <w:footnote w:id="578">
    <w:p w14:paraId="0C85D614" w14:textId="434C90D8" w:rsidR="002774A4" w:rsidRPr="002A795B" w:rsidRDefault="002774A4">
      <w:pPr>
        <w:pStyle w:val="FootnoteText"/>
      </w:pPr>
      <w:r w:rsidRPr="002A795B">
        <w:rPr>
          <w:rStyle w:val="FootnoteReference"/>
        </w:rPr>
        <w:footnoteRef/>
      </w:r>
      <w:r w:rsidRPr="002A795B">
        <w:t xml:space="preserve"> MDAC, </w:t>
      </w:r>
      <w:r w:rsidRPr="002A795B">
        <w:rPr>
          <w:i/>
        </w:rPr>
        <w:t>Recommendations for Hungary – UN Universal Periodic</w:t>
      </w:r>
      <w:r w:rsidRPr="002A795B">
        <w:t xml:space="preserve"> </w:t>
      </w:r>
      <w:r w:rsidRPr="002A795B">
        <w:rPr>
          <w:i/>
        </w:rPr>
        <w:t>Review</w:t>
      </w:r>
      <w:r w:rsidRPr="002A795B">
        <w:t xml:space="preserve">, </w:t>
      </w:r>
      <w:r w:rsidRPr="002A795B">
        <w:rPr>
          <w:i/>
        </w:rPr>
        <w:t xml:space="preserve">supra </w:t>
      </w:r>
      <w:r w:rsidRPr="002A795B">
        <w:t>note</w:t>
      </w:r>
      <w:r>
        <w:t xml:space="preserve"> </w:t>
      </w:r>
      <w:r>
        <w:fldChar w:fldCharType="begin"/>
      </w:r>
      <w:r>
        <w:instrText xml:space="preserve"> NOTEREF _Ref15301364 \h </w:instrText>
      </w:r>
      <w:r>
        <w:fldChar w:fldCharType="separate"/>
      </w:r>
      <w:r>
        <w:t>575</w:t>
      </w:r>
      <w:r>
        <w:fldChar w:fldCharType="end"/>
      </w:r>
      <w:r>
        <w:t xml:space="preserve"> </w:t>
      </w:r>
      <w:r w:rsidRPr="002A795B">
        <w:t xml:space="preserve">at </w:t>
      </w:r>
      <w:proofErr w:type="gramStart"/>
      <w:r w:rsidRPr="002A795B">
        <w:t>3</w:t>
      </w:r>
      <w:proofErr w:type="gramEnd"/>
      <w:r w:rsidRPr="002A795B">
        <w:t xml:space="preserve">. </w:t>
      </w:r>
    </w:p>
  </w:footnote>
  <w:footnote w:id="579">
    <w:p w14:paraId="6E1063B4" w14:textId="73C6AA68" w:rsidR="002774A4" w:rsidRPr="002A795B" w:rsidRDefault="002774A4" w:rsidP="004550FD">
      <w:pPr>
        <w:pStyle w:val="FootnoteText"/>
      </w:pPr>
      <w:r w:rsidRPr="002A795B">
        <w:rPr>
          <w:rStyle w:val="FootnoteReference"/>
        </w:rPr>
        <w:footnoteRef/>
      </w:r>
      <w:r w:rsidRPr="002A795B">
        <w:t xml:space="preserve"> MDAC, </w:t>
      </w:r>
      <w:r w:rsidRPr="002A795B">
        <w:rPr>
          <w:i/>
        </w:rPr>
        <w:t xml:space="preserve">My Home, My Choice in Hungary: The right to community living for people with mental disabilities in 2014 </w:t>
      </w:r>
      <w:r w:rsidRPr="002A795B">
        <w:t>(MDAC, September 2014) at 15, online: &lt;</w:t>
      </w:r>
      <w:hyperlink r:id="rId21" w:history="1">
        <w:r w:rsidRPr="002A795B">
          <w:rPr>
            <w:rStyle w:val="Hyperlink"/>
          </w:rPr>
          <w:t>https://www.globaldisabilityrightsnow.org/sites/default/files/related-files/262/My%20Home%2C%20My%20Choice%20in%20Hungary%20-%20Community%20living%20for%20people%20with%20mental%20disabilities.pdf</w:t>
        </w:r>
      </w:hyperlink>
      <w:r w:rsidRPr="002A795B">
        <w:t xml:space="preserve">&gt;. </w:t>
      </w:r>
    </w:p>
  </w:footnote>
  <w:footnote w:id="580">
    <w:p w14:paraId="1BF1C6D8" w14:textId="3661F616" w:rsidR="002774A4" w:rsidRPr="00D960A6" w:rsidRDefault="002774A4" w:rsidP="00AD01AF">
      <w:pPr>
        <w:pStyle w:val="FootnoteText"/>
      </w:pPr>
      <w:r w:rsidRPr="002A795B">
        <w:rPr>
          <w:rStyle w:val="FootnoteReference"/>
        </w:rPr>
        <w:footnoteRef/>
      </w:r>
      <w:r w:rsidRPr="002A795B">
        <w:t xml:space="preserve"> </w:t>
      </w:r>
      <w:r w:rsidRPr="002A795B">
        <w:rPr>
          <w:rFonts w:ascii="times" w:hAnsi="times"/>
          <w:i/>
        </w:rPr>
        <w:t>Act CLV of 2013 on Supported Decision-</w:t>
      </w:r>
      <w:proofErr w:type="gramStart"/>
      <w:r w:rsidRPr="002A795B">
        <w:rPr>
          <w:rFonts w:ascii="times" w:hAnsi="times"/>
          <w:i/>
        </w:rPr>
        <w:t>Making</w:t>
      </w:r>
      <w:r w:rsidRPr="002A795B">
        <w:t>,</w:t>
      </w:r>
      <w:proofErr w:type="gramEnd"/>
      <w:r w:rsidRPr="002A795B">
        <w:t xml:space="preserve"> </w:t>
      </w:r>
      <w:r w:rsidRPr="002A795B">
        <w:rPr>
          <w:i/>
        </w:rPr>
        <w:t xml:space="preserve">supra </w:t>
      </w:r>
      <w:r w:rsidRPr="002A795B">
        <w:t xml:space="preserve">note </w:t>
      </w:r>
      <w:r>
        <w:fldChar w:fldCharType="begin"/>
      </w:r>
      <w:r>
        <w:instrText xml:space="preserve"> NOTEREF _Ref15301253 \h </w:instrText>
      </w:r>
      <w:r>
        <w:fldChar w:fldCharType="separate"/>
      </w:r>
      <w:r>
        <w:t>541</w:t>
      </w:r>
      <w:r>
        <w:fldChar w:fldCharType="end"/>
      </w:r>
      <w:r w:rsidRPr="002A795B">
        <w:t>, s 2(1).</w:t>
      </w:r>
    </w:p>
  </w:footnote>
  <w:footnote w:id="581">
    <w:p w14:paraId="66963D78" w14:textId="2321C0CB" w:rsidR="002774A4" w:rsidRPr="00D960A6" w:rsidRDefault="002774A4" w:rsidP="00AD01AF">
      <w:pPr>
        <w:pStyle w:val="FootnoteText"/>
      </w:pPr>
      <w:r w:rsidRPr="00D960A6">
        <w:rPr>
          <w:rStyle w:val="FootnoteReference"/>
        </w:rPr>
        <w:footnoteRef/>
      </w:r>
      <w:r>
        <w:rPr>
          <w:color w:val="000000" w:themeColor="text1"/>
        </w:rPr>
        <w:t xml:space="preserve"> </w:t>
      </w:r>
      <w:r w:rsidRPr="00A00AE9">
        <w:rPr>
          <w:color w:val="000000" w:themeColor="text1"/>
        </w:rPr>
        <w:t xml:space="preserve">Committee on the Rights of Persons with Disabilities, </w:t>
      </w:r>
      <w:r>
        <w:t xml:space="preserve">“General comment No.1,” </w:t>
      </w:r>
      <w:r w:rsidRPr="00A00AE9">
        <w:rPr>
          <w:i/>
          <w:color w:val="000000" w:themeColor="text1"/>
        </w:rPr>
        <w:t xml:space="preserve">supra </w:t>
      </w:r>
      <w:r w:rsidRPr="00A00AE9">
        <w:rPr>
          <w:color w:val="000000" w:themeColor="text1"/>
        </w:rPr>
        <w:t xml:space="preserve">note </w:t>
      </w:r>
      <w:r>
        <w:rPr>
          <w:color w:val="000000" w:themeColor="text1"/>
        </w:rPr>
        <w:fldChar w:fldCharType="begin"/>
      </w:r>
      <w:r>
        <w:rPr>
          <w:color w:val="000000" w:themeColor="text1"/>
        </w:rPr>
        <w:instrText xml:space="preserve"> NOTEREF _Ref15295251 \h </w:instrText>
      </w:r>
      <w:r>
        <w:rPr>
          <w:color w:val="000000" w:themeColor="text1"/>
        </w:rPr>
      </w:r>
      <w:r>
        <w:rPr>
          <w:color w:val="000000" w:themeColor="text1"/>
        </w:rPr>
        <w:fldChar w:fldCharType="separate"/>
      </w:r>
      <w:proofErr w:type="gramStart"/>
      <w:r>
        <w:rPr>
          <w:color w:val="000000" w:themeColor="text1"/>
        </w:rPr>
        <w:t>7</w:t>
      </w:r>
      <w:proofErr w:type="gramEnd"/>
      <w:r>
        <w:rPr>
          <w:color w:val="000000" w:themeColor="text1"/>
        </w:rPr>
        <w:fldChar w:fldCharType="end"/>
      </w:r>
      <w:r>
        <w:rPr>
          <w:color w:val="000000" w:themeColor="text1"/>
        </w:rPr>
        <w:t xml:space="preserve"> </w:t>
      </w:r>
      <w:r w:rsidRPr="00A00AE9">
        <w:rPr>
          <w:color w:val="000000" w:themeColor="text1"/>
        </w:rPr>
        <w:t>at</w:t>
      </w:r>
      <w:r w:rsidRPr="00D960A6">
        <w:t xml:space="preserve"> </w:t>
      </w:r>
      <w:r>
        <w:t>p</w:t>
      </w:r>
      <w:r w:rsidRPr="00D960A6">
        <w:t>ara 29</w:t>
      </w:r>
      <w:r>
        <w:t>.</w:t>
      </w:r>
    </w:p>
  </w:footnote>
  <w:footnote w:id="582">
    <w:p w14:paraId="3049F455" w14:textId="5E666252" w:rsidR="002774A4" w:rsidRDefault="002774A4">
      <w:pPr>
        <w:pStyle w:val="FootnoteText"/>
      </w:pPr>
      <w:r>
        <w:rPr>
          <w:rStyle w:val="FootnoteReference"/>
        </w:rPr>
        <w:footnoteRef/>
      </w:r>
      <w:r>
        <w:t xml:space="preserve"> Hungarian Civil Liberties Union (HCLU), </w:t>
      </w:r>
      <w:r>
        <w:rPr>
          <w:i/>
        </w:rPr>
        <w:t xml:space="preserve">Sentenced to Legal Death: </w:t>
      </w:r>
      <w:proofErr w:type="gramStart"/>
      <w:r>
        <w:rPr>
          <w:i/>
        </w:rPr>
        <w:t>People with Disabilities Can be Stripped</w:t>
      </w:r>
      <w:proofErr w:type="gramEnd"/>
      <w:r>
        <w:rPr>
          <w:i/>
        </w:rPr>
        <w:t xml:space="preserve"> of their Right to Decide in </w:t>
      </w:r>
      <w:r w:rsidRPr="00F33002">
        <w:rPr>
          <w:i/>
          <w:color w:val="000000" w:themeColor="text1"/>
        </w:rPr>
        <w:t xml:space="preserve">Hungary </w:t>
      </w:r>
      <w:r w:rsidRPr="00F33002">
        <w:rPr>
          <w:color w:val="000000" w:themeColor="text1"/>
        </w:rPr>
        <w:t>(HCLU, January 2015) at 9, online: &lt;https://hclu.hu/files/tasz/imce/2015/sentenced_to_legal_death_rev_1.pdf&gt;.</w:t>
      </w:r>
      <w:r>
        <w:rPr>
          <w:color w:val="000000" w:themeColor="text1"/>
        </w:rPr>
        <w:t xml:space="preserve">   </w:t>
      </w:r>
    </w:p>
  </w:footnote>
  <w:footnote w:id="583">
    <w:p w14:paraId="20FB99FD" w14:textId="7F1A33C0" w:rsidR="002774A4" w:rsidRPr="00112306" w:rsidRDefault="002774A4" w:rsidP="00AD01AF">
      <w:pPr>
        <w:pStyle w:val="FootnoteText"/>
        <w:rPr>
          <w:i/>
          <w:color w:val="000000" w:themeColor="text1"/>
        </w:rPr>
      </w:pPr>
      <w:r w:rsidRPr="00D960A6">
        <w:rPr>
          <w:rStyle w:val="FootnoteReference"/>
        </w:rPr>
        <w:footnoteRef/>
      </w:r>
      <w:r w:rsidRPr="00D960A6">
        <w:t xml:space="preserve"> </w:t>
      </w:r>
      <w:r>
        <w:rPr>
          <w:i/>
        </w:rPr>
        <w:t>Ibid.</w:t>
      </w:r>
    </w:p>
  </w:footnote>
  <w:footnote w:id="584">
    <w:p w14:paraId="2112A649" w14:textId="0E605BA9" w:rsidR="002774A4" w:rsidRPr="00491653" w:rsidRDefault="002774A4" w:rsidP="00AD01AF">
      <w:pPr>
        <w:pStyle w:val="Heading3"/>
        <w:spacing w:before="0"/>
        <w:rPr>
          <w:b/>
          <w:color w:val="000000"/>
          <w:sz w:val="22"/>
          <w:szCs w:val="22"/>
        </w:rPr>
      </w:pPr>
      <w:r w:rsidRPr="00F33002">
        <w:rPr>
          <w:rStyle w:val="FootnoteReference"/>
          <w:rFonts w:ascii="Times New Roman" w:hAnsi="Times New Roman" w:cs="Times New Roman"/>
          <w:color w:val="000000" w:themeColor="text1"/>
          <w:sz w:val="20"/>
          <w:szCs w:val="20"/>
        </w:rPr>
        <w:footnoteRef/>
      </w:r>
      <w:r w:rsidRPr="00F33002">
        <w:rPr>
          <w:rFonts w:ascii="Times New Roman" w:hAnsi="Times New Roman" w:cs="Times New Roman"/>
          <w:color w:val="000000" w:themeColor="text1"/>
          <w:sz w:val="20"/>
          <w:szCs w:val="20"/>
        </w:rPr>
        <w:t xml:space="preserve"> Hungarian Association for People with Intellectual Disabilities, </w:t>
      </w:r>
      <w:r w:rsidRPr="00F33002">
        <w:rPr>
          <w:rFonts w:ascii="Times New Roman" w:hAnsi="Times New Roman" w:cs="Times New Roman"/>
          <w:i/>
          <w:color w:val="000000" w:themeColor="text1"/>
          <w:sz w:val="20"/>
          <w:szCs w:val="20"/>
        </w:rPr>
        <w:t xml:space="preserve">supra </w:t>
      </w:r>
      <w:r w:rsidRPr="00F33002">
        <w:rPr>
          <w:rFonts w:ascii="Times New Roman" w:hAnsi="Times New Roman" w:cs="Times New Roman"/>
          <w:color w:val="000000" w:themeColor="text1"/>
          <w:sz w:val="20"/>
          <w:szCs w:val="20"/>
        </w:rPr>
        <w:t xml:space="preserve">note </w:t>
      </w:r>
      <w:r>
        <w:rPr>
          <w:rFonts w:ascii="Times New Roman" w:hAnsi="Times New Roman" w:cs="Times New Roman"/>
          <w:color w:val="000000" w:themeColor="text1"/>
          <w:sz w:val="20"/>
          <w:szCs w:val="20"/>
        </w:rPr>
        <w:fldChar w:fldCharType="begin"/>
      </w:r>
      <w:r>
        <w:rPr>
          <w:rFonts w:ascii="Times New Roman" w:hAnsi="Times New Roman" w:cs="Times New Roman"/>
          <w:color w:val="000000" w:themeColor="text1"/>
          <w:sz w:val="20"/>
          <w:szCs w:val="20"/>
        </w:rPr>
        <w:instrText xml:space="preserve"> NOTEREF _Ref15301464 \h </w:instrTex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fldChar w:fldCharType="separate"/>
      </w:r>
      <w:r>
        <w:rPr>
          <w:rFonts w:ascii="Times New Roman" w:hAnsi="Times New Roman" w:cs="Times New Roman"/>
          <w:color w:val="000000" w:themeColor="text1"/>
          <w:sz w:val="20"/>
          <w:szCs w:val="20"/>
        </w:rPr>
        <w:t>577</w:t>
      </w:r>
      <w:r>
        <w:rPr>
          <w:rFonts w:ascii="Times New Roman" w:hAnsi="Times New Roman" w:cs="Times New Roman"/>
          <w:color w:val="000000" w:themeColor="text1"/>
          <w:sz w:val="20"/>
          <w:szCs w:val="20"/>
        </w:rPr>
        <w:fldChar w:fldCharType="end"/>
      </w:r>
      <w:r>
        <w:rPr>
          <w:rFonts w:ascii="Times New Roman" w:hAnsi="Times New Roman" w:cs="Times New Roman"/>
          <w:color w:val="000000" w:themeColor="text1"/>
          <w:sz w:val="20"/>
          <w:szCs w:val="20"/>
        </w:rPr>
        <w:t xml:space="preserve"> </w:t>
      </w:r>
      <w:r w:rsidRPr="00F33002">
        <w:rPr>
          <w:rFonts w:ascii="Times New Roman" w:hAnsi="Times New Roman" w:cs="Times New Roman"/>
          <w:color w:val="000000" w:themeColor="text1"/>
          <w:sz w:val="20"/>
          <w:szCs w:val="20"/>
        </w:rPr>
        <w:t>at 11.</w:t>
      </w:r>
      <w:r w:rsidRPr="00F33002">
        <w:rPr>
          <w:b/>
          <w:color w:val="000000" w:themeColor="text1"/>
          <w:sz w:val="22"/>
          <w:szCs w:val="22"/>
        </w:rPr>
        <w:t xml:space="preserve">  </w:t>
      </w:r>
    </w:p>
  </w:footnote>
  <w:footnote w:id="585">
    <w:p w14:paraId="33FEE7A8" w14:textId="4C378B4E" w:rsidR="002774A4" w:rsidRPr="00F33002" w:rsidRDefault="002774A4" w:rsidP="003C59D8">
      <w:pPr>
        <w:pStyle w:val="Normal1"/>
        <w:spacing w:line="240" w:lineRule="auto"/>
        <w:rPr>
          <w:rFonts w:ascii="Times New Roman" w:hAnsi="Times New Roman" w:cs="Times New Roman"/>
          <w:color w:val="000000" w:themeColor="text1"/>
          <w:sz w:val="20"/>
          <w:szCs w:val="20"/>
        </w:rPr>
      </w:pPr>
      <w:r w:rsidRPr="00A7636E">
        <w:rPr>
          <w:rFonts w:ascii="Times New Roman" w:hAnsi="Times New Roman" w:cs="Times New Roman"/>
          <w:sz w:val="20"/>
          <w:szCs w:val="20"/>
          <w:vertAlign w:val="superscript"/>
        </w:rPr>
        <w:footnoteRef/>
      </w:r>
      <w:r w:rsidRPr="00A7636E">
        <w:rPr>
          <w:rFonts w:ascii="Times New Roman" w:hAnsi="Times New Roman" w:cs="Times New Roman"/>
          <w:sz w:val="20"/>
          <w:szCs w:val="20"/>
        </w:rPr>
        <w:t xml:space="preserve"> With the maximum increasing to 35 </w:t>
      </w:r>
      <w:r w:rsidRPr="00F33002">
        <w:rPr>
          <w:rFonts w:ascii="Times New Roman" w:hAnsi="Times New Roman" w:cs="Times New Roman"/>
          <w:color w:val="000000" w:themeColor="text1"/>
          <w:sz w:val="20"/>
          <w:szCs w:val="20"/>
        </w:rPr>
        <w:t xml:space="preserve">or 45 people in some cases. See </w:t>
      </w:r>
      <w:r w:rsidRPr="00F33002">
        <w:rPr>
          <w:rFonts w:ascii="Times New Roman" w:hAnsi="Times New Roman" w:cs="Times New Roman"/>
          <w:i/>
          <w:color w:val="000000" w:themeColor="text1"/>
          <w:sz w:val="20"/>
          <w:szCs w:val="20"/>
        </w:rPr>
        <w:t>Act CLV of 2013 on Supported Decision-</w:t>
      </w:r>
      <w:proofErr w:type="gramStart"/>
      <w:r w:rsidRPr="00F33002">
        <w:rPr>
          <w:rFonts w:ascii="Times New Roman" w:hAnsi="Times New Roman" w:cs="Times New Roman"/>
          <w:i/>
          <w:color w:val="000000" w:themeColor="text1"/>
          <w:sz w:val="20"/>
          <w:szCs w:val="20"/>
        </w:rPr>
        <w:t>Making</w:t>
      </w:r>
      <w:r w:rsidRPr="00F33002">
        <w:rPr>
          <w:rFonts w:ascii="Times New Roman" w:hAnsi="Times New Roman" w:cs="Times New Roman"/>
          <w:color w:val="000000" w:themeColor="text1"/>
          <w:sz w:val="20"/>
          <w:szCs w:val="20"/>
        </w:rPr>
        <w:t>,</w:t>
      </w:r>
      <w:proofErr w:type="gramEnd"/>
      <w:r w:rsidRPr="00F33002">
        <w:rPr>
          <w:rFonts w:ascii="Times New Roman" w:hAnsi="Times New Roman" w:cs="Times New Roman"/>
          <w:color w:val="000000" w:themeColor="text1"/>
          <w:sz w:val="20"/>
          <w:szCs w:val="20"/>
        </w:rPr>
        <w:t xml:space="preserve"> </w:t>
      </w:r>
      <w:r w:rsidRPr="00F33002">
        <w:rPr>
          <w:rFonts w:ascii="Times New Roman" w:hAnsi="Times New Roman" w:cs="Times New Roman"/>
          <w:i/>
          <w:color w:val="000000" w:themeColor="text1"/>
          <w:sz w:val="20"/>
          <w:szCs w:val="20"/>
        </w:rPr>
        <w:t xml:space="preserve">supra </w:t>
      </w:r>
      <w:r w:rsidRPr="00F33002">
        <w:rPr>
          <w:rFonts w:ascii="Times New Roman" w:hAnsi="Times New Roman" w:cs="Times New Roman"/>
          <w:color w:val="000000" w:themeColor="text1"/>
          <w:sz w:val="20"/>
          <w:szCs w:val="20"/>
        </w:rPr>
        <w:t xml:space="preserve">note </w:t>
      </w:r>
      <w:r>
        <w:rPr>
          <w:rFonts w:ascii="Times New Roman" w:hAnsi="Times New Roman" w:cs="Times New Roman"/>
          <w:color w:val="000000" w:themeColor="text1"/>
          <w:sz w:val="20"/>
          <w:szCs w:val="20"/>
        </w:rPr>
        <w:fldChar w:fldCharType="begin"/>
      </w:r>
      <w:r>
        <w:rPr>
          <w:rFonts w:ascii="Times New Roman" w:hAnsi="Times New Roman" w:cs="Times New Roman"/>
          <w:color w:val="000000" w:themeColor="text1"/>
          <w:sz w:val="20"/>
          <w:szCs w:val="20"/>
        </w:rPr>
        <w:instrText xml:space="preserve"> NOTEREF _Ref15301253 \h </w:instrTex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fldChar w:fldCharType="separate"/>
      </w:r>
      <w:r>
        <w:rPr>
          <w:rFonts w:ascii="Times New Roman" w:hAnsi="Times New Roman" w:cs="Times New Roman"/>
          <w:color w:val="000000" w:themeColor="text1"/>
          <w:sz w:val="20"/>
          <w:szCs w:val="20"/>
        </w:rPr>
        <w:t>541</w:t>
      </w:r>
      <w:r>
        <w:rPr>
          <w:rFonts w:ascii="Times New Roman" w:hAnsi="Times New Roman" w:cs="Times New Roman"/>
          <w:color w:val="000000" w:themeColor="text1"/>
          <w:sz w:val="20"/>
          <w:szCs w:val="20"/>
        </w:rPr>
        <w:fldChar w:fldCharType="end"/>
      </w:r>
      <w:r w:rsidRPr="00F33002">
        <w:rPr>
          <w:rFonts w:ascii="Times New Roman" w:hAnsi="Times New Roman" w:cs="Times New Roman"/>
          <w:color w:val="000000" w:themeColor="text1"/>
          <w:sz w:val="20"/>
          <w:szCs w:val="20"/>
        </w:rPr>
        <w:t xml:space="preserve">, </w:t>
      </w:r>
      <w:proofErr w:type="spellStart"/>
      <w:r w:rsidRPr="00F33002">
        <w:rPr>
          <w:rFonts w:ascii="Times New Roman" w:hAnsi="Times New Roman" w:cs="Times New Roman"/>
          <w:color w:val="000000" w:themeColor="text1"/>
          <w:sz w:val="20"/>
          <w:szCs w:val="20"/>
        </w:rPr>
        <w:t>ss</w:t>
      </w:r>
      <w:proofErr w:type="spellEnd"/>
      <w:r w:rsidRPr="00F33002">
        <w:rPr>
          <w:rFonts w:ascii="Times New Roman" w:hAnsi="Times New Roman" w:cs="Times New Roman"/>
          <w:color w:val="000000" w:themeColor="text1"/>
          <w:sz w:val="20"/>
          <w:szCs w:val="20"/>
        </w:rPr>
        <w:t xml:space="preserve"> 7(5)-(6). </w:t>
      </w:r>
    </w:p>
  </w:footnote>
  <w:footnote w:id="586">
    <w:p w14:paraId="7B52E59A" w14:textId="52F8EC53" w:rsidR="002774A4" w:rsidRPr="00F33002" w:rsidRDefault="002774A4">
      <w:pPr>
        <w:pStyle w:val="FootnoteText"/>
        <w:rPr>
          <w:i/>
          <w:color w:val="000000" w:themeColor="text1"/>
        </w:rPr>
      </w:pPr>
      <w:r w:rsidRPr="00F33002">
        <w:rPr>
          <w:rStyle w:val="FootnoteReference"/>
          <w:color w:val="000000" w:themeColor="text1"/>
        </w:rPr>
        <w:footnoteRef/>
      </w:r>
      <w:r w:rsidRPr="00F33002">
        <w:rPr>
          <w:color w:val="000000" w:themeColor="text1"/>
        </w:rPr>
        <w:t xml:space="preserve"> Hungarian Association for People with Intellectual Disabilities, </w:t>
      </w:r>
      <w:r w:rsidRPr="00F33002">
        <w:rPr>
          <w:i/>
          <w:color w:val="000000" w:themeColor="text1"/>
        </w:rPr>
        <w:t xml:space="preserve">supra </w:t>
      </w:r>
      <w:r w:rsidRPr="00F33002">
        <w:rPr>
          <w:color w:val="000000" w:themeColor="text1"/>
        </w:rPr>
        <w:t xml:space="preserve">note </w:t>
      </w:r>
      <w:r>
        <w:rPr>
          <w:color w:val="000000" w:themeColor="text1"/>
        </w:rPr>
        <w:fldChar w:fldCharType="begin"/>
      </w:r>
      <w:r>
        <w:rPr>
          <w:color w:val="000000" w:themeColor="text1"/>
        </w:rPr>
        <w:instrText xml:space="preserve"> NOTEREF _Ref15301464 \h </w:instrText>
      </w:r>
      <w:r>
        <w:rPr>
          <w:color w:val="000000" w:themeColor="text1"/>
        </w:rPr>
      </w:r>
      <w:r>
        <w:rPr>
          <w:color w:val="000000" w:themeColor="text1"/>
        </w:rPr>
        <w:fldChar w:fldCharType="separate"/>
      </w:r>
      <w:r>
        <w:rPr>
          <w:color w:val="000000" w:themeColor="text1"/>
        </w:rPr>
        <w:t>577</w:t>
      </w:r>
      <w:r>
        <w:rPr>
          <w:color w:val="000000" w:themeColor="text1"/>
        </w:rPr>
        <w:fldChar w:fldCharType="end"/>
      </w:r>
      <w:r>
        <w:rPr>
          <w:color w:val="000000" w:themeColor="text1"/>
        </w:rPr>
        <w:t xml:space="preserve"> </w:t>
      </w:r>
      <w:r w:rsidRPr="00F33002">
        <w:rPr>
          <w:color w:val="000000" w:themeColor="text1"/>
        </w:rPr>
        <w:t>at 10.</w:t>
      </w:r>
      <w:r w:rsidRPr="00F33002">
        <w:rPr>
          <w:b/>
          <w:color w:val="000000" w:themeColor="text1"/>
          <w:sz w:val="22"/>
          <w:szCs w:val="22"/>
        </w:rPr>
        <w:t xml:space="preserve">  </w:t>
      </w:r>
    </w:p>
  </w:footnote>
  <w:footnote w:id="587">
    <w:p w14:paraId="7F024FE6" w14:textId="2BFFC68B" w:rsidR="002774A4" w:rsidRPr="00F33002" w:rsidRDefault="002774A4">
      <w:pPr>
        <w:pStyle w:val="FootnoteText"/>
        <w:rPr>
          <w:color w:val="000000" w:themeColor="text1"/>
        </w:rPr>
      </w:pPr>
      <w:r w:rsidRPr="00F33002">
        <w:rPr>
          <w:rStyle w:val="FootnoteReference"/>
          <w:color w:val="000000" w:themeColor="text1"/>
        </w:rPr>
        <w:footnoteRef/>
      </w:r>
      <w:r w:rsidRPr="00F33002">
        <w:rPr>
          <w:color w:val="000000" w:themeColor="text1"/>
        </w:rPr>
        <w:t xml:space="preserve"> </w:t>
      </w:r>
      <w:r w:rsidRPr="00F33002">
        <w:rPr>
          <w:i/>
          <w:color w:val="000000" w:themeColor="text1"/>
        </w:rPr>
        <w:t>Joint DPO and CSO submission to the Committee on the Rights of Persons with Disabilities for consideration when compiling the List of Issues Prior to Reporting for the Second Periodic Report of HUNGARY</w:t>
      </w:r>
      <w:r w:rsidRPr="00F33002">
        <w:rPr>
          <w:color w:val="000000" w:themeColor="text1"/>
        </w:rPr>
        <w:t xml:space="preserve"> (22 February 2017) at 11, online: &lt; </w:t>
      </w:r>
      <w:hyperlink r:id="rId22" w:history="1">
        <w:r w:rsidRPr="00CA63FA">
          <w:rPr>
            <w:rStyle w:val="Hyperlink"/>
          </w:rPr>
          <w:t>https://tbinternet.ohchr.org/Treaties/CRPD/Shared%20Documents/HUN/INT_CRPD_ICS_HUN_26895_E.doc</w:t>
        </w:r>
      </w:hyperlink>
      <w:r w:rsidRPr="00F33002">
        <w:rPr>
          <w:color w:val="000000" w:themeColor="text1"/>
        </w:rPr>
        <w:t>&gt;.</w:t>
      </w:r>
      <w:r>
        <w:rPr>
          <w:color w:val="000000" w:themeColor="text1"/>
        </w:rPr>
        <w:t xml:space="preserve"> </w:t>
      </w:r>
    </w:p>
  </w:footnote>
  <w:footnote w:id="588">
    <w:p w14:paraId="3C335E7C" w14:textId="499D639A" w:rsidR="002774A4" w:rsidRPr="00F33002" w:rsidRDefault="002774A4">
      <w:pPr>
        <w:pStyle w:val="FootnoteText"/>
        <w:rPr>
          <w:color w:val="000000" w:themeColor="text1"/>
        </w:rPr>
      </w:pPr>
      <w:r w:rsidRPr="00F33002">
        <w:rPr>
          <w:rStyle w:val="FootnoteReference"/>
          <w:color w:val="000000" w:themeColor="text1"/>
        </w:rPr>
        <w:footnoteRef/>
      </w:r>
      <w:r w:rsidRPr="00F33002">
        <w:rPr>
          <w:color w:val="000000" w:themeColor="text1"/>
        </w:rPr>
        <w:t xml:space="preserve"> </w:t>
      </w:r>
      <w:r w:rsidRPr="00F33002">
        <w:rPr>
          <w:rFonts w:ascii="times" w:hAnsi="times"/>
          <w:i/>
          <w:color w:val="000000" w:themeColor="text1"/>
        </w:rPr>
        <w:t>Act CLV of 2013 on Supported Decision-</w:t>
      </w:r>
      <w:proofErr w:type="gramStart"/>
      <w:r w:rsidRPr="00F33002">
        <w:rPr>
          <w:rFonts w:ascii="times" w:hAnsi="times"/>
          <w:i/>
          <w:color w:val="000000" w:themeColor="text1"/>
        </w:rPr>
        <w:t>Making</w:t>
      </w:r>
      <w:r w:rsidRPr="00F33002">
        <w:rPr>
          <w:color w:val="000000" w:themeColor="text1"/>
        </w:rPr>
        <w:t>,</w:t>
      </w:r>
      <w:proofErr w:type="gramEnd"/>
      <w:r w:rsidRPr="00F33002">
        <w:rPr>
          <w:color w:val="000000" w:themeColor="text1"/>
        </w:rPr>
        <w:t xml:space="preserve"> </w:t>
      </w:r>
      <w:r w:rsidRPr="00F33002">
        <w:rPr>
          <w:i/>
          <w:color w:val="000000" w:themeColor="text1"/>
        </w:rPr>
        <w:t xml:space="preserve">supra </w:t>
      </w:r>
      <w:r w:rsidRPr="00F33002">
        <w:rPr>
          <w:color w:val="000000" w:themeColor="text1"/>
        </w:rPr>
        <w:t>note</w:t>
      </w:r>
      <w:r>
        <w:rPr>
          <w:color w:val="000000" w:themeColor="text1"/>
        </w:rPr>
        <w:t xml:space="preserve"> </w:t>
      </w:r>
      <w:r>
        <w:rPr>
          <w:color w:val="000000" w:themeColor="text1"/>
        </w:rPr>
        <w:fldChar w:fldCharType="begin"/>
      </w:r>
      <w:r>
        <w:rPr>
          <w:color w:val="000000" w:themeColor="text1"/>
        </w:rPr>
        <w:instrText xml:space="preserve"> NOTEREF _Ref15301253 \h </w:instrText>
      </w:r>
      <w:r>
        <w:rPr>
          <w:color w:val="000000" w:themeColor="text1"/>
        </w:rPr>
      </w:r>
      <w:r>
        <w:rPr>
          <w:color w:val="000000" w:themeColor="text1"/>
        </w:rPr>
        <w:fldChar w:fldCharType="separate"/>
      </w:r>
      <w:r>
        <w:rPr>
          <w:color w:val="000000" w:themeColor="text1"/>
        </w:rPr>
        <w:t>541</w:t>
      </w:r>
      <w:r>
        <w:rPr>
          <w:color w:val="000000" w:themeColor="text1"/>
        </w:rPr>
        <w:fldChar w:fldCharType="end"/>
      </w:r>
      <w:r w:rsidRPr="00F33002">
        <w:rPr>
          <w:color w:val="000000" w:themeColor="text1"/>
        </w:rPr>
        <w:t>, s 5.</w:t>
      </w:r>
    </w:p>
  </w:footnote>
  <w:footnote w:id="589">
    <w:p w14:paraId="38871527" w14:textId="39845BC1" w:rsidR="002774A4" w:rsidRPr="00F33002" w:rsidRDefault="002774A4">
      <w:pPr>
        <w:pStyle w:val="FootnoteText"/>
        <w:rPr>
          <w:color w:val="000000" w:themeColor="text1"/>
        </w:rPr>
      </w:pPr>
      <w:r w:rsidRPr="00F33002">
        <w:rPr>
          <w:rStyle w:val="FootnoteReference"/>
          <w:color w:val="000000" w:themeColor="text1"/>
        </w:rPr>
        <w:footnoteRef/>
      </w:r>
      <w:r w:rsidRPr="00F33002">
        <w:rPr>
          <w:color w:val="000000" w:themeColor="text1"/>
        </w:rPr>
        <w:t xml:space="preserve"> </w:t>
      </w:r>
      <w:r w:rsidRPr="00F33002">
        <w:rPr>
          <w:i/>
          <w:color w:val="000000" w:themeColor="text1"/>
        </w:rPr>
        <w:t xml:space="preserve">Ibid, </w:t>
      </w:r>
      <w:r w:rsidRPr="00F33002">
        <w:rPr>
          <w:color w:val="000000" w:themeColor="text1"/>
        </w:rPr>
        <w:t>s 10(2).</w:t>
      </w:r>
    </w:p>
  </w:footnote>
  <w:footnote w:id="590">
    <w:p w14:paraId="66CF4DD1" w14:textId="0992D43A" w:rsidR="002774A4" w:rsidRPr="00F33002" w:rsidRDefault="002774A4">
      <w:pPr>
        <w:pStyle w:val="FootnoteText"/>
        <w:rPr>
          <w:color w:val="000000" w:themeColor="text1"/>
        </w:rPr>
      </w:pPr>
      <w:r w:rsidRPr="00F33002">
        <w:rPr>
          <w:rStyle w:val="FootnoteReference"/>
          <w:color w:val="000000" w:themeColor="text1"/>
        </w:rPr>
        <w:footnoteRef/>
      </w:r>
      <w:r w:rsidRPr="00F33002">
        <w:rPr>
          <w:color w:val="000000" w:themeColor="text1"/>
        </w:rPr>
        <w:t xml:space="preserve"> </w:t>
      </w:r>
      <w:r w:rsidRPr="00F33002">
        <w:rPr>
          <w:i/>
          <w:color w:val="000000" w:themeColor="text1"/>
        </w:rPr>
        <w:t xml:space="preserve">Ibid, </w:t>
      </w:r>
      <w:r w:rsidRPr="00F33002">
        <w:rPr>
          <w:color w:val="000000" w:themeColor="text1"/>
        </w:rPr>
        <w:t>s 11(1).</w:t>
      </w:r>
    </w:p>
  </w:footnote>
  <w:footnote w:id="591">
    <w:p w14:paraId="1D27A1DE" w14:textId="18D6C679" w:rsidR="002774A4" w:rsidRPr="001953A8" w:rsidRDefault="002774A4" w:rsidP="000950D7">
      <w:pPr>
        <w:pStyle w:val="FootnoteText"/>
      </w:pPr>
      <w:r w:rsidRPr="00F33002">
        <w:rPr>
          <w:rStyle w:val="FootnoteReference"/>
          <w:color w:val="000000" w:themeColor="text1"/>
        </w:rPr>
        <w:footnoteRef/>
      </w:r>
      <w:r w:rsidRPr="00F33002">
        <w:rPr>
          <w:color w:val="000000" w:themeColor="text1"/>
        </w:rPr>
        <w:t xml:space="preserve"> </w:t>
      </w:r>
      <w:proofErr w:type="gramStart"/>
      <w:r w:rsidRPr="00F33002">
        <w:rPr>
          <w:color w:val="000000" w:themeColor="text1"/>
        </w:rPr>
        <w:t xml:space="preserve">Mental Disability Advocacy Centre (MDAC), </w:t>
      </w:r>
      <w:r w:rsidRPr="00F33002">
        <w:rPr>
          <w:i/>
          <w:color w:val="000000" w:themeColor="text1"/>
        </w:rPr>
        <w:t xml:space="preserve">NGO information to the United Nations Committee on the Rights of Persons with Disabilities For consideration when compiling the </w:t>
      </w:r>
      <w:r w:rsidRPr="001953A8">
        <w:rPr>
          <w:i/>
        </w:rPr>
        <w:t xml:space="preserve">List of Issues Prior to Reporting on the Second Periodic Report of HUNGARY under the Convention on the Rights of Persons with Disabilities </w:t>
      </w:r>
      <w:r w:rsidRPr="001953A8">
        <w:t>(27 February 2017) at 6, online: &lt;https://tbinternet.ohchr.org/Treaties/CRPD/Shared%20Documents/HUN/INT_CRPD_ICS_HUN_26852_E.doc&gt;.</w:t>
      </w:r>
      <w:proofErr w:type="gramEnd"/>
      <w:r>
        <w:t xml:space="preserve">  </w:t>
      </w:r>
      <w:r w:rsidRPr="001953A8">
        <w:t xml:space="preserve"> </w:t>
      </w:r>
      <w:r>
        <w:t xml:space="preserve"> </w:t>
      </w:r>
    </w:p>
  </w:footnote>
  <w:footnote w:id="592">
    <w:p w14:paraId="3A1E13D2" w14:textId="708AE462" w:rsidR="002774A4" w:rsidRPr="00573D1E" w:rsidRDefault="002774A4">
      <w:pPr>
        <w:pStyle w:val="FootnoteText"/>
      </w:pPr>
      <w:r>
        <w:rPr>
          <w:rStyle w:val="FootnoteReference"/>
        </w:rPr>
        <w:footnoteRef/>
      </w:r>
      <w:r>
        <w:t xml:space="preserve"> HCLU, </w:t>
      </w:r>
      <w:r>
        <w:rPr>
          <w:i/>
        </w:rPr>
        <w:t xml:space="preserve">supra </w:t>
      </w:r>
      <w:r>
        <w:t xml:space="preserve">note </w:t>
      </w:r>
      <w:r>
        <w:fldChar w:fldCharType="begin"/>
      </w:r>
      <w:r>
        <w:instrText xml:space="preserve"> NOTEREF _Ref15301587 \h </w:instrText>
      </w:r>
      <w:r>
        <w:fldChar w:fldCharType="separate"/>
      </w:r>
      <w:r>
        <w:t>582</w:t>
      </w:r>
      <w:r>
        <w:fldChar w:fldCharType="end"/>
      </w:r>
      <w:r>
        <w:t xml:space="preserve"> at </w:t>
      </w:r>
      <w:proofErr w:type="gramStart"/>
      <w:r>
        <w:t>9</w:t>
      </w:r>
      <w:proofErr w:type="gramEnd"/>
      <w:r>
        <w:t xml:space="preserve">; see </w:t>
      </w:r>
      <w:proofErr w:type="spellStart"/>
      <w:r>
        <w:t>Devandas</w:t>
      </w:r>
      <w:proofErr w:type="spellEnd"/>
      <w:r>
        <w:t xml:space="preserve"> Aguilar, </w:t>
      </w:r>
      <w:r>
        <w:rPr>
          <w:i/>
        </w:rPr>
        <w:t xml:space="preserve">supra </w:t>
      </w:r>
      <w:r>
        <w:t xml:space="preserve">note </w:t>
      </w:r>
      <w:r>
        <w:fldChar w:fldCharType="begin"/>
      </w:r>
      <w:r>
        <w:instrText xml:space="preserve"> NOTEREF _Ref15295121 \h </w:instrText>
      </w:r>
      <w:r>
        <w:fldChar w:fldCharType="separate"/>
      </w:r>
      <w:r>
        <w:t>8</w:t>
      </w:r>
      <w:r>
        <w:fldChar w:fldCharType="end"/>
      </w:r>
      <w:r>
        <w:t xml:space="preserve"> at para 44.</w:t>
      </w:r>
    </w:p>
  </w:footnote>
  <w:footnote w:id="593">
    <w:p w14:paraId="4FFD6250" w14:textId="4D218F87" w:rsidR="002774A4" w:rsidRPr="00A550A1" w:rsidRDefault="002774A4">
      <w:pPr>
        <w:pStyle w:val="FootnoteText"/>
      </w:pPr>
      <w:r w:rsidRPr="00A550A1">
        <w:rPr>
          <w:rStyle w:val="FootnoteReference"/>
        </w:rPr>
        <w:footnoteRef/>
      </w:r>
      <w:r w:rsidRPr="00A550A1">
        <w:t xml:space="preserve"> </w:t>
      </w:r>
      <w:r w:rsidRPr="00A550A1">
        <w:rPr>
          <w:i/>
        </w:rPr>
        <w:t xml:space="preserve">Hungarian Civil Code, supra </w:t>
      </w:r>
      <w:r w:rsidRPr="00A550A1">
        <w:t xml:space="preserve">note </w:t>
      </w:r>
      <w:r>
        <w:fldChar w:fldCharType="begin"/>
      </w:r>
      <w:r>
        <w:instrText xml:space="preserve"> NOTEREF _Ref15301220 \h </w:instrText>
      </w:r>
      <w:r>
        <w:fldChar w:fldCharType="separate"/>
      </w:r>
      <w:r>
        <w:t>538</w:t>
      </w:r>
      <w:r>
        <w:fldChar w:fldCharType="end"/>
      </w:r>
      <w:r w:rsidRPr="00A550A1">
        <w:t>, s 2:40(1).</w:t>
      </w:r>
    </w:p>
  </w:footnote>
  <w:footnote w:id="594">
    <w:p w14:paraId="36D5D243" w14:textId="51E2D9E8" w:rsidR="002774A4" w:rsidRPr="00A550A1" w:rsidRDefault="002774A4">
      <w:pPr>
        <w:pStyle w:val="FootnoteText"/>
      </w:pPr>
      <w:r w:rsidRPr="00A550A1">
        <w:rPr>
          <w:rStyle w:val="FootnoteReference"/>
        </w:rPr>
        <w:footnoteRef/>
      </w:r>
      <w:r>
        <w:rPr>
          <w:color w:val="000000" w:themeColor="text1"/>
        </w:rPr>
        <w:t xml:space="preserve"> </w:t>
      </w:r>
      <w:r w:rsidRPr="00A550A1">
        <w:rPr>
          <w:color w:val="000000" w:themeColor="text1"/>
        </w:rPr>
        <w:t xml:space="preserve">Committee on the Rights of Persons with Disabilities, </w:t>
      </w:r>
      <w:r>
        <w:t xml:space="preserve">“General comment No.1,” </w:t>
      </w:r>
      <w:r w:rsidRPr="00A550A1">
        <w:rPr>
          <w:i/>
          <w:color w:val="000000" w:themeColor="text1"/>
        </w:rPr>
        <w:t xml:space="preserve">supra </w:t>
      </w:r>
      <w:r w:rsidRPr="00A550A1">
        <w:rPr>
          <w:color w:val="000000" w:themeColor="text1"/>
        </w:rPr>
        <w:t xml:space="preserve">note </w:t>
      </w:r>
      <w:r>
        <w:rPr>
          <w:color w:val="000000" w:themeColor="text1"/>
        </w:rPr>
        <w:fldChar w:fldCharType="begin"/>
      </w:r>
      <w:r>
        <w:rPr>
          <w:color w:val="000000" w:themeColor="text1"/>
        </w:rPr>
        <w:instrText xml:space="preserve"> NOTEREF _Ref15295251 \h </w:instrText>
      </w:r>
      <w:r>
        <w:rPr>
          <w:color w:val="000000" w:themeColor="text1"/>
        </w:rPr>
      </w:r>
      <w:r>
        <w:rPr>
          <w:color w:val="000000" w:themeColor="text1"/>
        </w:rPr>
        <w:fldChar w:fldCharType="separate"/>
      </w:r>
      <w:proofErr w:type="gramStart"/>
      <w:r>
        <w:rPr>
          <w:color w:val="000000" w:themeColor="text1"/>
        </w:rPr>
        <w:t>7</w:t>
      </w:r>
      <w:proofErr w:type="gramEnd"/>
      <w:r>
        <w:rPr>
          <w:color w:val="000000" w:themeColor="text1"/>
        </w:rPr>
        <w:fldChar w:fldCharType="end"/>
      </w:r>
      <w:r>
        <w:rPr>
          <w:color w:val="000000" w:themeColor="text1"/>
        </w:rPr>
        <w:t xml:space="preserve"> </w:t>
      </w:r>
      <w:r w:rsidRPr="00A550A1">
        <w:rPr>
          <w:color w:val="000000" w:themeColor="text1"/>
        </w:rPr>
        <w:t xml:space="preserve">at </w:t>
      </w:r>
      <w:r w:rsidRPr="00A550A1">
        <w:t>para 17.</w:t>
      </w:r>
    </w:p>
  </w:footnote>
  <w:footnote w:id="595">
    <w:p w14:paraId="044233FF" w14:textId="16A53F29" w:rsidR="002774A4" w:rsidRPr="00A550A1" w:rsidRDefault="002774A4">
      <w:pPr>
        <w:pStyle w:val="FootnoteText"/>
      </w:pPr>
      <w:r w:rsidRPr="00A550A1">
        <w:rPr>
          <w:rStyle w:val="FootnoteReference"/>
        </w:rPr>
        <w:footnoteRef/>
      </w:r>
      <w:r w:rsidRPr="00A550A1">
        <w:t xml:space="preserve"> </w:t>
      </w:r>
      <w:r w:rsidRPr="00F47751">
        <w:t>MDAC</w:t>
      </w:r>
      <w:r w:rsidRPr="00A550A1">
        <w:rPr>
          <w:i/>
        </w:rPr>
        <w:t>,</w:t>
      </w:r>
      <w:r>
        <w:rPr>
          <w:i/>
        </w:rPr>
        <w:t xml:space="preserve"> </w:t>
      </w:r>
      <w:r w:rsidRPr="00F33002">
        <w:rPr>
          <w:i/>
          <w:color w:val="000000" w:themeColor="text1"/>
        </w:rPr>
        <w:t>NGO information to the United Nations Committee on the Rights of Persons with Disabilities</w:t>
      </w:r>
      <w:r w:rsidRPr="00A550A1">
        <w:rPr>
          <w:i/>
        </w:rPr>
        <w:t xml:space="preserve"> </w:t>
      </w:r>
      <w:r w:rsidRPr="00A550A1">
        <w:rPr>
          <w:bCs/>
          <w:i/>
          <w:lang w:val="en-GB"/>
        </w:rPr>
        <w:t xml:space="preserve">supra </w:t>
      </w:r>
      <w:r w:rsidRPr="00A550A1">
        <w:rPr>
          <w:bCs/>
          <w:lang w:val="en-GB"/>
        </w:rPr>
        <w:t xml:space="preserve">note </w:t>
      </w:r>
      <w:r>
        <w:rPr>
          <w:bCs/>
          <w:lang w:val="en-GB"/>
        </w:rPr>
        <w:fldChar w:fldCharType="begin"/>
      </w:r>
      <w:r>
        <w:rPr>
          <w:bCs/>
          <w:lang w:val="en-GB"/>
        </w:rPr>
        <w:instrText xml:space="preserve"> NOTEREF _Ref15301741 \h </w:instrText>
      </w:r>
      <w:r>
        <w:rPr>
          <w:bCs/>
          <w:lang w:val="en-GB"/>
        </w:rPr>
      </w:r>
      <w:r>
        <w:rPr>
          <w:bCs/>
          <w:lang w:val="en-GB"/>
        </w:rPr>
        <w:fldChar w:fldCharType="separate"/>
      </w:r>
      <w:r>
        <w:rPr>
          <w:bCs/>
          <w:lang w:val="en-GB"/>
        </w:rPr>
        <w:t>591</w:t>
      </w:r>
      <w:r>
        <w:rPr>
          <w:bCs/>
          <w:lang w:val="en-GB"/>
        </w:rPr>
        <w:fldChar w:fldCharType="end"/>
      </w:r>
      <w:r>
        <w:rPr>
          <w:bCs/>
          <w:lang w:val="en-GB"/>
        </w:rPr>
        <w:t xml:space="preserve"> </w:t>
      </w:r>
      <w:r w:rsidRPr="00A550A1">
        <w:rPr>
          <w:lang w:val="en-GB"/>
        </w:rPr>
        <w:t xml:space="preserve">at </w:t>
      </w:r>
      <w:proofErr w:type="gramStart"/>
      <w:r w:rsidRPr="00A550A1">
        <w:rPr>
          <w:lang w:val="en-GB"/>
        </w:rPr>
        <w:t>6</w:t>
      </w:r>
      <w:proofErr w:type="gramEnd"/>
      <w:r w:rsidRPr="00A550A1">
        <w:rPr>
          <w:lang w:val="en-GB"/>
        </w:rPr>
        <w:t>.</w:t>
      </w:r>
    </w:p>
  </w:footnote>
  <w:footnote w:id="596">
    <w:p w14:paraId="6771D074" w14:textId="29533122" w:rsidR="002774A4" w:rsidRPr="00C34D7C" w:rsidRDefault="002774A4">
      <w:pPr>
        <w:pStyle w:val="FootnoteText"/>
      </w:pPr>
      <w:r w:rsidRPr="00A550A1">
        <w:rPr>
          <w:rStyle w:val="FootnoteReference"/>
        </w:rPr>
        <w:footnoteRef/>
      </w:r>
      <w:r w:rsidRPr="00A550A1">
        <w:t xml:space="preserve"> </w:t>
      </w:r>
      <w:r w:rsidRPr="00A550A1">
        <w:rPr>
          <w:i/>
        </w:rPr>
        <w:t>Ibid.</w:t>
      </w:r>
    </w:p>
  </w:footnote>
  <w:footnote w:id="597">
    <w:p w14:paraId="31547541" w14:textId="55031C62" w:rsidR="002774A4" w:rsidRPr="00F4577E" w:rsidRDefault="002774A4">
      <w:pPr>
        <w:pStyle w:val="FootnoteText"/>
      </w:pPr>
      <w:r>
        <w:rPr>
          <w:rStyle w:val="FootnoteReference"/>
        </w:rPr>
        <w:footnoteRef/>
      </w:r>
      <w:r>
        <w:t xml:space="preserve"> Mental Health Europe, </w:t>
      </w:r>
      <w:r w:rsidRPr="002B259C">
        <w:rPr>
          <w:bCs/>
          <w:i/>
          <w:color w:val="000000" w:themeColor="text1"/>
        </w:rPr>
        <w:t>Autonomy, choice and the importance of supported-decision making for persons with psychosocial disabilities: MHE Position Paper on Article 12 UN CRPD on legal capacity</w:t>
      </w:r>
      <w:r w:rsidRPr="00F4577E">
        <w:t xml:space="preserve"> (January 2017) at 15, online: &lt;https://mhe-sme.org/wp-content/uploads/2017/11/Article_12_Position_paper.pdf&gt;.</w:t>
      </w:r>
      <w:r>
        <w:t xml:space="preserve">   </w:t>
      </w:r>
    </w:p>
  </w:footnote>
  <w:footnote w:id="598">
    <w:p w14:paraId="37695E66" w14:textId="503CEF25" w:rsidR="002774A4" w:rsidRPr="00ED61B2" w:rsidRDefault="002774A4" w:rsidP="00906F2E">
      <w:pPr>
        <w:pStyle w:val="FootnoteText"/>
      </w:pPr>
      <w:r w:rsidRPr="00F4577E">
        <w:rPr>
          <w:rStyle w:val="FootnoteReference"/>
        </w:rPr>
        <w:footnoteRef/>
      </w:r>
      <w:r w:rsidRPr="00F4577E">
        <w:t xml:space="preserve"> The number of people placed under guardianship was 56 151 in 2013, 56 245 in 2014, 56 151 in </w:t>
      </w:r>
      <w:proofErr w:type="gramStart"/>
      <w:r w:rsidRPr="00F4577E">
        <w:t>2015 ,</w:t>
      </w:r>
      <w:proofErr w:type="gramEnd"/>
      <w:r w:rsidRPr="00F4577E">
        <w:t xml:space="preserve"> 57 039 in 2016, 57 983 in 2017, and 58 242 in 2018: see Hungarian Central Statistical Office (2018), online: &lt;</w:t>
      </w:r>
      <w:hyperlink r:id="rId23" w:history="1">
        <w:r w:rsidRPr="00F4577E">
          <w:rPr>
            <w:rStyle w:val="Hyperlink"/>
          </w:rPr>
          <w:t>http://www.ksh.hu/docs/hun/xstadat/xstadat_eves/i_fsg004.html</w:t>
        </w:r>
      </w:hyperlink>
      <w:r w:rsidRPr="00F4577E">
        <w:t>&gt;.</w:t>
      </w:r>
      <w:r>
        <w:rPr>
          <w:sz w:val="18"/>
          <w:szCs w:val="18"/>
        </w:rPr>
        <w:t xml:space="preserve"> </w:t>
      </w:r>
    </w:p>
  </w:footnote>
  <w:footnote w:id="599">
    <w:p w14:paraId="73F15392" w14:textId="4430AE26" w:rsidR="002774A4" w:rsidRPr="00B66C00" w:rsidRDefault="002774A4">
      <w:pPr>
        <w:pStyle w:val="FootnoteText"/>
        <w:rPr>
          <w:i/>
        </w:rPr>
      </w:pPr>
      <w:r>
        <w:rPr>
          <w:rStyle w:val="FootnoteReference"/>
        </w:rPr>
        <w:footnoteRef/>
      </w:r>
      <w:r>
        <w:t xml:space="preserve"> </w:t>
      </w:r>
      <w:r>
        <w:rPr>
          <w:i/>
        </w:rPr>
        <w:t>Ibid.</w:t>
      </w:r>
    </w:p>
  </w:footnote>
  <w:footnote w:id="600">
    <w:p w14:paraId="6F10AF23" w14:textId="1D091186" w:rsidR="002774A4" w:rsidRPr="00C225F9" w:rsidRDefault="002774A4">
      <w:pPr>
        <w:pStyle w:val="FootnoteText"/>
      </w:pPr>
      <w:r>
        <w:rPr>
          <w:rStyle w:val="FootnoteReference"/>
        </w:rPr>
        <w:footnoteRef/>
      </w:r>
      <w:r>
        <w:t xml:space="preserve"> </w:t>
      </w:r>
      <w:r w:rsidRPr="00C2422D">
        <w:rPr>
          <w:i/>
        </w:rPr>
        <w:t>Hungary: Annex to state party report</w:t>
      </w:r>
      <w:r>
        <w:rPr>
          <w:i/>
        </w:rPr>
        <w:t xml:space="preserve"> </w:t>
      </w:r>
      <w:r>
        <w:t>(30 April 2018) at 27, online: &lt;</w:t>
      </w:r>
      <w:r w:rsidRPr="00C2422D">
        <w:t>https://tbinternet.ohchr.org/Treaties/CRPD/Shared%20Documents/HUN/INT_CRPD_ADR_HUN_31034_E.docx</w:t>
      </w:r>
      <w:r>
        <w:t xml:space="preserve">&gt;. </w:t>
      </w:r>
    </w:p>
  </w:footnote>
  <w:footnote w:id="601">
    <w:p w14:paraId="026F7CFC" w14:textId="65C89166" w:rsidR="002774A4" w:rsidRPr="009C7F42" w:rsidRDefault="002774A4">
      <w:pPr>
        <w:pStyle w:val="FootnoteText"/>
      </w:pPr>
      <w:r>
        <w:rPr>
          <w:rStyle w:val="FootnoteReference"/>
        </w:rPr>
        <w:footnoteRef/>
      </w:r>
      <w:r>
        <w:t xml:space="preserve"> </w:t>
      </w:r>
      <w:r>
        <w:rPr>
          <w:i/>
        </w:rPr>
        <w:t>Ibid.</w:t>
      </w:r>
    </w:p>
  </w:footnote>
  <w:footnote w:id="602">
    <w:p w14:paraId="3B55923A" w14:textId="6B47BB13" w:rsidR="002774A4" w:rsidRPr="00F401D9" w:rsidRDefault="002774A4">
      <w:pPr>
        <w:pStyle w:val="FootnoteText"/>
      </w:pPr>
      <w:r>
        <w:rPr>
          <w:rStyle w:val="FootnoteReference"/>
        </w:rPr>
        <w:footnoteRef/>
      </w:r>
      <w:r>
        <w:t xml:space="preserve"> </w:t>
      </w:r>
      <w:r>
        <w:rPr>
          <w:i/>
        </w:rPr>
        <w:t xml:space="preserve">Assisted Decision-Making (Capacity) Act 2015, </w:t>
      </w:r>
      <w:r>
        <w:t xml:space="preserve">Ireland, </w:t>
      </w:r>
      <w:proofErr w:type="gramStart"/>
      <w:r>
        <w:t>30</w:t>
      </w:r>
      <w:proofErr w:type="gramEnd"/>
      <w:r>
        <w:t xml:space="preserve"> December 2015, online: &lt;</w:t>
      </w:r>
      <w:r w:rsidRPr="00F401D9">
        <w:t>http://www.irishstatutebook.ie/eli/2015/act/64/enacted/en/pdf</w:t>
      </w:r>
      <w:r>
        <w:t xml:space="preserve">&gt;. </w:t>
      </w:r>
    </w:p>
  </w:footnote>
  <w:footnote w:id="603">
    <w:p w14:paraId="7D52F4CF" w14:textId="600127D9" w:rsidR="002774A4" w:rsidRPr="00B6668C" w:rsidRDefault="002774A4" w:rsidP="00D97EFC">
      <w:pPr>
        <w:pStyle w:val="FootnoteText"/>
      </w:pPr>
      <w:r>
        <w:rPr>
          <w:rStyle w:val="FootnoteReference"/>
        </w:rPr>
        <w:footnoteRef/>
      </w:r>
      <w:r>
        <w:t xml:space="preserve"> See Martinez-</w:t>
      </w:r>
      <w:proofErr w:type="spellStart"/>
      <w:r>
        <w:t>Pujalte</w:t>
      </w:r>
      <w:proofErr w:type="spellEnd"/>
      <w:r>
        <w:t xml:space="preserve">, </w:t>
      </w:r>
      <w:r>
        <w:rPr>
          <w:i/>
        </w:rPr>
        <w:t xml:space="preserve">supra </w:t>
      </w:r>
      <w:r>
        <w:t xml:space="preserve">note </w:t>
      </w:r>
      <w:r>
        <w:fldChar w:fldCharType="begin"/>
      </w:r>
      <w:r>
        <w:instrText xml:space="preserve"> NOTEREF _Ref15295460 \h </w:instrText>
      </w:r>
      <w:r>
        <w:fldChar w:fldCharType="separate"/>
      </w:r>
      <w:r>
        <w:t>47</w:t>
      </w:r>
      <w:r>
        <w:fldChar w:fldCharType="end"/>
      </w:r>
      <w:r>
        <w:t xml:space="preserve"> at 12</w:t>
      </w:r>
      <w:proofErr w:type="gramStart"/>
      <w:r>
        <w:t>;</w:t>
      </w:r>
      <w:proofErr w:type="gramEnd"/>
      <w:r>
        <w:t xml:space="preserve"> “Assisted Decision Making (Capacity) Act 2015,” online: </w:t>
      </w:r>
      <w:r>
        <w:rPr>
          <w:i/>
        </w:rPr>
        <w:t xml:space="preserve">Health Service Executive </w:t>
      </w:r>
      <w:r>
        <w:t>&lt;</w:t>
      </w:r>
      <w:hyperlink r:id="rId24" w:history="1">
        <w:r w:rsidRPr="00CA63FA">
          <w:rPr>
            <w:rStyle w:val="Hyperlink"/>
          </w:rPr>
          <w:t>https://www.hse.ie/eng/about/who/qid/other-quality-improvement-programmes/assisteddecisionmaking/assisted-decision-making.html</w:t>
        </w:r>
      </w:hyperlink>
      <w:r>
        <w:t xml:space="preserve">&gt;. </w:t>
      </w:r>
    </w:p>
  </w:footnote>
  <w:footnote w:id="604">
    <w:p w14:paraId="72869B9D" w14:textId="0EBAA9F2" w:rsidR="002774A4" w:rsidRPr="00567568" w:rsidRDefault="002774A4" w:rsidP="00D97EFC">
      <w:pPr>
        <w:pStyle w:val="FootnoteText"/>
      </w:pPr>
      <w:r>
        <w:rPr>
          <w:rStyle w:val="FootnoteReference"/>
        </w:rPr>
        <w:footnoteRef/>
      </w:r>
      <w:r>
        <w:t xml:space="preserve"> Martinez-</w:t>
      </w:r>
      <w:proofErr w:type="spellStart"/>
      <w:r>
        <w:t>Pujalte</w:t>
      </w:r>
      <w:proofErr w:type="spellEnd"/>
      <w:r>
        <w:t xml:space="preserve">, </w:t>
      </w:r>
      <w:r>
        <w:rPr>
          <w:i/>
        </w:rPr>
        <w:t xml:space="preserve">supra </w:t>
      </w:r>
      <w:r>
        <w:t xml:space="preserve">note </w:t>
      </w:r>
      <w:r>
        <w:fldChar w:fldCharType="begin"/>
      </w:r>
      <w:r>
        <w:instrText xml:space="preserve"> NOTEREF _Ref15295460 \h </w:instrText>
      </w:r>
      <w:r>
        <w:fldChar w:fldCharType="separate"/>
      </w:r>
      <w:r>
        <w:t>47</w:t>
      </w:r>
      <w:r>
        <w:fldChar w:fldCharType="end"/>
      </w:r>
      <w:r>
        <w:t xml:space="preserve"> at 12.</w:t>
      </w:r>
    </w:p>
  </w:footnote>
  <w:footnote w:id="605">
    <w:p w14:paraId="6B178C64" w14:textId="6F54B3AF" w:rsidR="002774A4" w:rsidRPr="004C61C9" w:rsidRDefault="002774A4">
      <w:pPr>
        <w:pStyle w:val="FootnoteText"/>
      </w:pPr>
      <w:r>
        <w:rPr>
          <w:rStyle w:val="FootnoteReference"/>
        </w:rPr>
        <w:footnoteRef/>
      </w:r>
      <w:r>
        <w:t xml:space="preserve"> Dr Charles </w:t>
      </w:r>
      <w:proofErr w:type="spellStart"/>
      <w:r>
        <w:t>O’Mahoney</w:t>
      </w:r>
      <w:proofErr w:type="spellEnd"/>
      <w:r>
        <w:t xml:space="preserve">, School of Law National University of Ireland Galway, </w:t>
      </w:r>
      <w:r w:rsidRPr="00E20DCF">
        <w:rPr>
          <w:i/>
        </w:rPr>
        <w:t>Impact of Human Rights approach in Member States’ legislation: Legal capacity in Irelan</w:t>
      </w:r>
      <w:r>
        <w:rPr>
          <w:i/>
        </w:rPr>
        <w:t xml:space="preserve">d </w:t>
      </w:r>
      <w:r>
        <w:t>at 26,</w:t>
      </w:r>
      <w:r>
        <w:rPr>
          <w:i/>
        </w:rPr>
        <w:t xml:space="preserve"> </w:t>
      </w:r>
      <w:r>
        <w:t>online: &lt;</w:t>
      </w:r>
      <w:r w:rsidRPr="004C61C9">
        <w:t xml:space="preserve"> </w:t>
      </w:r>
      <w:hyperlink r:id="rId25" w:history="1">
        <w:r w:rsidRPr="00CA63FA">
          <w:rPr>
            <w:rStyle w:val="Hyperlink"/>
          </w:rPr>
          <w:t>https://www.google.com/url?sa=t&amp;rct=j&amp;q=&amp;esrc=s&amp;source=web&amp;cd=1&amp;ved=2ahUKEwjrpemG_MrjAhXOiVwKHVTJAxEQFjAAegQIABAC&amp;url=https%3A%2F%2Fec.europa.eu%2Fsocial%2FBlobServlet%3FdocId%3D15773%26langId%3Den&amp;usg=AOvVaw0WHW3CWubT__TYSkPkHqRI</w:t>
        </w:r>
      </w:hyperlink>
      <w:r>
        <w:t xml:space="preserve">&gt;. </w:t>
      </w:r>
    </w:p>
  </w:footnote>
  <w:footnote w:id="606">
    <w:p w14:paraId="310CBDF6" w14:textId="39785C41" w:rsidR="002774A4" w:rsidRPr="00C34591" w:rsidRDefault="002774A4" w:rsidP="00D97EFC">
      <w:pPr>
        <w:pStyle w:val="FootnoteText"/>
      </w:pPr>
      <w:r>
        <w:rPr>
          <w:rStyle w:val="FootnoteReference"/>
        </w:rPr>
        <w:footnoteRef/>
      </w:r>
      <w:r>
        <w:t xml:space="preserve"> Martinez-</w:t>
      </w:r>
      <w:proofErr w:type="spellStart"/>
      <w:r>
        <w:t>Pujalte</w:t>
      </w:r>
      <w:proofErr w:type="spellEnd"/>
      <w:r>
        <w:t xml:space="preserve">, </w:t>
      </w:r>
      <w:r>
        <w:rPr>
          <w:i/>
        </w:rPr>
        <w:t xml:space="preserve">supra </w:t>
      </w:r>
      <w:r>
        <w:t xml:space="preserve">note </w:t>
      </w:r>
      <w:r>
        <w:fldChar w:fldCharType="begin"/>
      </w:r>
      <w:r>
        <w:instrText xml:space="preserve"> NOTEREF _Ref15295460 \h </w:instrText>
      </w:r>
      <w:r>
        <w:fldChar w:fldCharType="separate"/>
      </w:r>
      <w:r>
        <w:t>47</w:t>
      </w:r>
      <w:r>
        <w:fldChar w:fldCharType="end"/>
      </w:r>
      <w:r>
        <w:t xml:space="preserve"> at 12.</w:t>
      </w:r>
    </w:p>
  </w:footnote>
  <w:footnote w:id="607">
    <w:p w14:paraId="0A383A56" w14:textId="35134663" w:rsidR="002774A4" w:rsidRPr="002A6B82" w:rsidRDefault="002774A4">
      <w:pPr>
        <w:pStyle w:val="FootnoteText"/>
        <w:rPr>
          <w:i/>
        </w:rPr>
      </w:pPr>
      <w:r>
        <w:rPr>
          <w:rStyle w:val="FootnoteReference"/>
        </w:rPr>
        <w:footnoteRef/>
      </w:r>
      <w:r>
        <w:t xml:space="preserve"> </w:t>
      </w:r>
      <w:r>
        <w:rPr>
          <w:i/>
        </w:rPr>
        <w:t>Ibid.</w:t>
      </w:r>
    </w:p>
  </w:footnote>
  <w:footnote w:id="608">
    <w:p w14:paraId="041DF6A3" w14:textId="6DC73830" w:rsidR="002774A4" w:rsidRPr="0031403A" w:rsidRDefault="002774A4">
      <w:pPr>
        <w:pStyle w:val="FootnoteText"/>
      </w:pPr>
      <w:r>
        <w:rPr>
          <w:rStyle w:val="FootnoteReference"/>
        </w:rPr>
        <w:footnoteRef/>
      </w:r>
      <w:r>
        <w:t xml:space="preserve"> “Convention on the Rights of Persons with Disabilities,” </w:t>
      </w:r>
      <w:r>
        <w:rPr>
          <w:i/>
        </w:rPr>
        <w:t xml:space="preserve">supra </w:t>
      </w:r>
      <w:r>
        <w:t xml:space="preserve">note </w:t>
      </w:r>
      <w:r>
        <w:fldChar w:fldCharType="begin"/>
      </w:r>
      <w:r>
        <w:instrText xml:space="preserve"> NOTEREF _Ref15297432 \h </w:instrText>
      </w:r>
      <w:r>
        <w:fldChar w:fldCharType="separate"/>
      </w:r>
      <w:r>
        <w:t>20</w:t>
      </w:r>
      <w:r>
        <w:fldChar w:fldCharType="end"/>
      </w:r>
      <w:r>
        <w:t>.</w:t>
      </w:r>
    </w:p>
  </w:footnote>
  <w:footnote w:id="609">
    <w:p w14:paraId="584CEF04" w14:textId="7BC10A23" w:rsidR="002774A4" w:rsidRPr="00A83FD7" w:rsidRDefault="002774A4">
      <w:pPr>
        <w:pStyle w:val="FootnoteText"/>
        <w:rPr>
          <w:lang w:val="es-419"/>
        </w:rPr>
      </w:pPr>
      <w:r>
        <w:rPr>
          <w:rStyle w:val="FootnoteReference"/>
        </w:rPr>
        <w:footnoteRef/>
      </w:r>
      <w:r w:rsidRPr="00A83FD7">
        <w:rPr>
          <w:lang w:val="es-419"/>
        </w:rPr>
        <w:t xml:space="preserve"> </w:t>
      </w:r>
      <w:proofErr w:type="spellStart"/>
      <w:r w:rsidRPr="00A83FD7">
        <w:rPr>
          <w:lang w:val="es-419"/>
        </w:rPr>
        <w:t>Devandas</w:t>
      </w:r>
      <w:proofErr w:type="spellEnd"/>
      <w:r w:rsidRPr="00A83FD7">
        <w:rPr>
          <w:lang w:val="es-419"/>
        </w:rPr>
        <w:t xml:space="preserve"> Aguilar, </w:t>
      </w:r>
      <w:r w:rsidRPr="00A83FD7">
        <w:rPr>
          <w:i/>
          <w:lang w:val="es-419"/>
        </w:rPr>
        <w:t xml:space="preserve">supra </w:t>
      </w:r>
      <w:r w:rsidRPr="00A83FD7">
        <w:rPr>
          <w:lang w:val="es-419"/>
        </w:rPr>
        <w:t xml:space="preserve">note </w:t>
      </w:r>
      <w:r>
        <w:fldChar w:fldCharType="begin"/>
      </w:r>
      <w:r w:rsidRPr="00A83FD7">
        <w:rPr>
          <w:lang w:val="es-419"/>
        </w:rPr>
        <w:instrText xml:space="preserve"> NOTEREF _Ref15295121 \h </w:instrText>
      </w:r>
      <w:r>
        <w:fldChar w:fldCharType="separate"/>
      </w:r>
      <w:r w:rsidRPr="00A83FD7">
        <w:rPr>
          <w:lang w:val="es-419"/>
        </w:rPr>
        <w:t>8</w:t>
      </w:r>
      <w:r>
        <w:fldChar w:fldCharType="end"/>
      </w:r>
      <w:r w:rsidRPr="00A83FD7">
        <w:rPr>
          <w:lang w:val="es-419"/>
        </w:rPr>
        <w:t xml:space="preserve"> at para 37.</w:t>
      </w:r>
    </w:p>
  </w:footnote>
  <w:footnote w:id="610">
    <w:p w14:paraId="515FE5F9" w14:textId="7DC907C8" w:rsidR="002774A4" w:rsidRPr="00EA5405" w:rsidRDefault="002774A4">
      <w:pPr>
        <w:pStyle w:val="FootnoteText"/>
        <w:rPr>
          <w:i/>
        </w:rPr>
      </w:pPr>
      <w:r>
        <w:rPr>
          <w:rStyle w:val="FootnoteReference"/>
        </w:rPr>
        <w:footnoteRef/>
      </w:r>
      <w:r>
        <w:t xml:space="preserve"> </w:t>
      </w:r>
      <w:r>
        <w:rPr>
          <w:i/>
        </w:rPr>
        <w:t>Ibid.</w:t>
      </w:r>
    </w:p>
  </w:footnote>
  <w:footnote w:id="611">
    <w:p w14:paraId="50E05DCF" w14:textId="2E7AF5C5" w:rsidR="002774A4" w:rsidRPr="00EA5405" w:rsidRDefault="002774A4" w:rsidP="00D97EFC">
      <w:pPr>
        <w:pStyle w:val="FootnoteText"/>
        <w:rPr>
          <w:i/>
        </w:rPr>
      </w:pPr>
      <w:r>
        <w:rPr>
          <w:rStyle w:val="FootnoteReference"/>
        </w:rPr>
        <w:footnoteRef/>
      </w:r>
      <w:r>
        <w:t xml:space="preserve"> </w:t>
      </w:r>
      <w:r>
        <w:rPr>
          <w:i/>
        </w:rPr>
        <w:t>Ibid.</w:t>
      </w:r>
    </w:p>
  </w:footnote>
  <w:footnote w:id="612">
    <w:p w14:paraId="4A7BA710" w14:textId="48A463D0" w:rsidR="002774A4" w:rsidRPr="00984DEA" w:rsidRDefault="002774A4" w:rsidP="00D97EFC">
      <w:pPr>
        <w:pStyle w:val="FootnoteText"/>
      </w:pPr>
      <w:r>
        <w:rPr>
          <w:rStyle w:val="FootnoteReference"/>
        </w:rPr>
        <w:footnoteRef/>
      </w:r>
      <w:r>
        <w:t xml:space="preserve"> Martinez-</w:t>
      </w:r>
      <w:proofErr w:type="spellStart"/>
      <w:r>
        <w:t>Pujalte</w:t>
      </w:r>
      <w:proofErr w:type="spellEnd"/>
      <w:r>
        <w:t xml:space="preserve">, </w:t>
      </w:r>
      <w:r>
        <w:rPr>
          <w:i/>
        </w:rPr>
        <w:t xml:space="preserve">supra </w:t>
      </w:r>
      <w:r>
        <w:t xml:space="preserve">note </w:t>
      </w:r>
      <w:r>
        <w:fldChar w:fldCharType="begin"/>
      </w:r>
      <w:r>
        <w:instrText xml:space="preserve"> NOTEREF _Ref15295460 \h </w:instrText>
      </w:r>
      <w:r>
        <w:fldChar w:fldCharType="separate"/>
      </w:r>
      <w:r>
        <w:t>47</w:t>
      </w:r>
      <w:r>
        <w:fldChar w:fldCharType="end"/>
      </w:r>
      <w:r>
        <w:t xml:space="preserve"> at 12.</w:t>
      </w:r>
    </w:p>
  </w:footnote>
  <w:footnote w:id="613">
    <w:p w14:paraId="04C4FAFD" w14:textId="4B236D0A" w:rsidR="002774A4" w:rsidRPr="00323CC7" w:rsidRDefault="002774A4" w:rsidP="00D97EFC">
      <w:pPr>
        <w:pStyle w:val="FootnoteText"/>
      </w:pPr>
      <w:r>
        <w:rPr>
          <w:rStyle w:val="FootnoteReference"/>
        </w:rPr>
        <w:footnoteRef/>
      </w:r>
      <w:r>
        <w:t xml:space="preserve"> </w:t>
      </w:r>
      <w:proofErr w:type="spellStart"/>
      <w:r>
        <w:t>O’Mahoney</w:t>
      </w:r>
      <w:proofErr w:type="spellEnd"/>
      <w:r>
        <w:t xml:space="preserve">, </w:t>
      </w:r>
      <w:r>
        <w:rPr>
          <w:i/>
        </w:rPr>
        <w:t xml:space="preserve">supra </w:t>
      </w:r>
      <w:r>
        <w:t xml:space="preserve">note </w:t>
      </w:r>
      <w:r>
        <w:fldChar w:fldCharType="begin"/>
      </w:r>
      <w:r>
        <w:instrText xml:space="preserve"> NOTEREF _Ref15301869 \h </w:instrText>
      </w:r>
      <w:r>
        <w:fldChar w:fldCharType="separate"/>
      </w:r>
      <w:r>
        <w:t>605</w:t>
      </w:r>
      <w:r>
        <w:fldChar w:fldCharType="end"/>
      </w:r>
      <w:r>
        <w:t xml:space="preserve"> at 28.</w:t>
      </w:r>
    </w:p>
  </w:footnote>
  <w:footnote w:id="614">
    <w:p w14:paraId="75AEB129" w14:textId="7D7272EC" w:rsidR="002774A4" w:rsidRPr="003F167D" w:rsidRDefault="002774A4">
      <w:pPr>
        <w:pStyle w:val="FootnoteText"/>
      </w:pPr>
      <w:r>
        <w:rPr>
          <w:rStyle w:val="FootnoteReference"/>
        </w:rPr>
        <w:footnoteRef/>
      </w:r>
      <w:r>
        <w:t xml:space="preserve"> See NUI Galway Centre for </w:t>
      </w:r>
      <w:proofErr w:type="spellStart"/>
      <w:r>
        <w:t>Diability</w:t>
      </w:r>
      <w:proofErr w:type="spellEnd"/>
      <w:r>
        <w:t xml:space="preserve"> Law &amp; Policy et al, </w:t>
      </w:r>
      <w:r>
        <w:rPr>
          <w:i/>
        </w:rPr>
        <w:t xml:space="preserve">Essential Principles: Irish Legal Capacity Law </w:t>
      </w:r>
      <w:r>
        <w:t>(2012), online: &lt;</w:t>
      </w:r>
      <w:r w:rsidRPr="003F167D">
        <w:t>https://www.nuigalway.ie/media/centrefordisabilitylawandpolicy/files/archive/Legal-Capacity-Essential-Principles.pdf</w:t>
      </w:r>
      <w:r>
        <w:t>&gt;.</w:t>
      </w:r>
    </w:p>
  </w:footnote>
  <w:footnote w:id="615">
    <w:p w14:paraId="25EED5B1" w14:textId="560BB7FE" w:rsidR="002774A4" w:rsidRPr="007236B8" w:rsidRDefault="002774A4">
      <w:pPr>
        <w:pStyle w:val="FootnoteText"/>
      </w:pPr>
      <w:r>
        <w:rPr>
          <w:rStyle w:val="FootnoteReference"/>
        </w:rPr>
        <w:footnoteRef/>
      </w:r>
      <w:r>
        <w:t xml:space="preserve"> </w:t>
      </w:r>
      <w:proofErr w:type="spellStart"/>
      <w:r>
        <w:t>O’Mahoney</w:t>
      </w:r>
      <w:proofErr w:type="spellEnd"/>
      <w:r>
        <w:t xml:space="preserve">, </w:t>
      </w:r>
      <w:r>
        <w:rPr>
          <w:i/>
        </w:rPr>
        <w:t xml:space="preserve">supra </w:t>
      </w:r>
      <w:r>
        <w:t xml:space="preserve">note </w:t>
      </w:r>
      <w:r>
        <w:fldChar w:fldCharType="begin"/>
      </w:r>
      <w:r>
        <w:instrText xml:space="preserve"> NOTEREF _Ref15301869 \h </w:instrText>
      </w:r>
      <w:r>
        <w:fldChar w:fldCharType="separate"/>
      </w:r>
      <w:r>
        <w:t>605</w:t>
      </w:r>
      <w:r>
        <w:fldChar w:fldCharType="end"/>
      </w:r>
      <w:r>
        <w:t xml:space="preserve"> at 28.</w:t>
      </w:r>
    </w:p>
  </w:footnote>
  <w:footnote w:id="616">
    <w:p w14:paraId="13DD7E26" w14:textId="705D955F" w:rsidR="002774A4" w:rsidRPr="009D29D3" w:rsidRDefault="002774A4" w:rsidP="00D97EFC">
      <w:pPr>
        <w:pStyle w:val="FootnoteText"/>
      </w:pPr>
      <w:r>
        <w:rPr>
          <w:rStyle w:val="FootnoteReference"/>
        </w:rPr>
        <w:footnoteRef/>
      </w:r>
      <w:r>
        <w:t xml:space="preserve"> </w:t>
      </w:r>
      <w:proofErr w:type="spellStart"/>
      <w:r>
        <w:t>Elionóir</w:t>
      </w:r>
      <w:proofErr w:type="spellEnd"/>
      <w:r>
        <w:t xml:space="preserve"> Flynn &amp; Anna </w:t>
      </w:r>
      <w:proofErr w:type="spellStart"/>
      <w:r>
        <w:t>Arstein-Kerslake</w:t>
      </w:r>
      <w:proofErr w:type="spellEnd"/>
      <w:r>
        <w:t>, “The Support Model of Legal Capacity: Fact, Fiction, or Fantasy?” (2014) 32:1 Berkeley Journal of International Law 124 at 133, online: &lt;</w:t>
      </w:r>
      <w:r w:rsidRPr="00EE0A57">
        <w:t xml:space="preserve"> https://scholarship.law.berkeley.edu/cgi/viewcontent.cgi?referer=https://www.google.com/&amp;httpsredir=1&amp;article=1450&amp;context=bjil</w:t>
      </w:r>
      <w:r>
        <w:t>&gt;.</w:t>
      </w:r>
    </w:p>
  </w:footnote>
  <w:footnote w:id="617">
    <w:p w14:paraId="333D4129" w14:textId="7D4B3363" w:rsidR="002774A4" w:rsidRPr="00F67296" w:rsidRDefault="002774A4" w:rsidP="00D97EFC">
      <w:pPr>
        <w:pStyle w:val="FootnoteText"/>
      </w:pPr>
      <w:r>
        <w:rPr>
          <w:rStyle w:val="FootnoteReference"/>
        </w:rPr>
        <w:footnoteRef/>
      </w:r>
      <w:r>
        <w:t xml:space="preserve"> Anna </w:t>
      </w:r>
      <w:proofErr w:type="spellStart"/>
      <w:r>
        <w:t>Arstein-Kerslake</w:t>
      </w:r>
      <w:proofErr w:type="spellEnd"/>
      <w:r>
        <w:t xml:space="preserve">, </w:t>
      </w:r>
      <w:r w:rsidRPr="00F717D9">
        <w:rPr>
          <w:i/>
        </w:rPr>
        <w:t>Restoring Voice to People With Cognitive Disability</w:t>
      </w:r>
      <w:r>
        <w:t xml:space="preserve"> (Cambridge, UK: Cambridge University Press, 2017) at 172.</w:t>
      </w:r>
    </w:p>
  </w:footnote>
  <w:footnote w:id="618">
    <w:p w14:paraId="4FF99510" w14:textId="0B3EABED" w:rsidR="002774A4" w:rsidRPr="00A23113" w:rsidRDefault="002774A4" w:rsidP="00D97EFC">
      <w:pPr>
        <w:pStyle w:val="FootnoteText"/>
      </w:pPr>
      <w:r>
        <w:rPr>
          <w:rStyle w:val="FootnoteReference"/>
        </w:rPr>
        <w:footnoteRef/>
      </w:r>
      <w:r>
        <w:t xml:space="preserve"> </w:t>
      </w:r>
      <w:r>
        <w:rPr>
          <w:i/>
        </w:rPr>
        <w:t xml:space="preserve">Assisted Decision-Making (Capacity) Act 2015, supra </w:t>
      </w:r>
      <w:r>
        <w:t xml:space="preserve">note </w:t>
      </w:r>
      <w:r>
        <w:fldChar w:fldCharType="begin"/>
      </w:r>
      <w:r>
        <w:instrText xml:space="preserve"> NOTEREF _Ref15301961 \h </w:instrText>
      </w:r>
      <w:r>
        <w:fldChar w:fldCharType="separate"/>
      </w:r>
      <w:r>
        <w:t>602</w:t>
      </w:r>
      <w:r>
        <w:fldChar w:fldCharType="end"/>
      </w:r>
      <w:r>
        <w:t>, s 8(7).</w:t>
      </w:r>
    </w:p>
  </w:footnote>
  <w:footnote w:id="619">
    <w:p w14:paraId="34D8787B" w14:textId="07FDB400" w:rsidR="002774A4" w:rsidRPr="0005754A" w:rsidRDefault="002774A4" w:rsidP="00D97EFC">
      <w:pPr>
        <w:pStyle w:val="FootnoteText"/>
      </w:pPr>
      <w:r>
        <w:rPr>
          <w:rStyle w:val="FootnoteReference"/>
        </w:rPr>
        <w:footnoteRef/>
      </w:r>
      <w:r>
        <w:t xml:space="preserve"> </w:t>
      </w:r>
      <w:r>
        <w:rPr>
          <w:i/>
        </w:rPr>
        <w:t xml:space="preserve">Ibid, </w:t>
      </w:r>
      <w:r>
        <w:t>s 8(2).</w:t>
      </w:r>
    </w:p>
  </w:footnote>
  <w:footnote w:id="620">
    <w:p w14:paraId="6F92CF36" w14:textId="42733460" w:rsidR="002774A4" w:rsidRPr="00F60161" w:rsidRDefault="002774A4" w:rsidP="00D97EFC">
      <w:pPr>
        <w:pStyle w:val="FootnoteText"/>
      </w:pPr>
      <w:r>
        <w:rPr>
          <w:rStyle w:val="FootnoteReference"/>
        </w:rPr>
        <w:footnoteRef/>
      </w:r>
      <w:r>
        <w:t xml:space="preserve"> </w:t>
      </w:r>
      <w:r>
        <w:rPr>
          <w:i/>
        </w:rPr>
        <w:t xml:space="preserve">Ibid, </w:t>
      </w:r>
      <w:r>
        <w:t>s 3(1).</w:t>
      </w:r>
    </w:p>
  </w:footnote>
  <w:footnote w:id="621">
    <w:p w14:paraId="6E244439" w14:textId="076BFA5B" w:rsidR="002774A4" w:rsidRPr="001B2854" w:rsidRDefault="002774A4" w:rsidP="00D97EFC">
      <w:pPr>
        <w:pStyle w:val="FootnoteText"/>
      </w:pPr>
      <w:r>
        <w:rPr>
          <w:rStyle w:val="FootnoteReference"/>
        </w:rPr>
        <w:footnoteRef/>
      </w:r>
      <w:r>
        <w:t xml:space="preserve"> </w:t>
      </w:r>
      <w:r>
        <w:rPr>
          <w:i/>
        </w:rPr>
        <w:t xml:space="preserve">Ibid, </w:t>
      </w:r>
      <w:proofErr w:type="spellStart"/>
      <w:r>
        <w:t>ss</w:t>
      </w:r>
      <w:proofErr w:type="spellEnd"/>
      <w:r>
        <w:t xml:space="preserve"> 10(1) &amp; 17(1).</w:t>
      </w:r>
    </w:p>
  </w:footnote>
  <w:footnote w:id="622">
    <w:p w14:paraId="005A376C" w14:textId="70EC9EAC" w:rsidR="002774A4" w:rsidRPr="004D2514" w:rsidRDefault="002774A4" w:rsidP="00D97EFC">
      <w:pPr>
        <w:pStyle w:val="FootnoteText"/>
      </w:pPr>
      <w:r>
        <w:rPr>
          <w:rStyle w:val="FootnoteReference"/>
        </w:rPr>
        <w:footnoteRef/>
      </w:r>
      <w:r>
        <w:t xml:space="preserve"> </w:t>
      </w:r>
      <w:r>
        <w:rPr>
          <w:i/>
        </w:rPr>
        <w:t>Ibid.</w:t>
      </w:r>
    </w:p>
  </w:footnote>
  <w:footnote w:id="623">
    <w:p w14:paraId="200CCF53" w14:textId="2BB71949" w:rsidR="002774A4" w:rsidRPr="00F31750" w:rsidRDefault="002774A4" w:rsidP="00D97EFC">
      <w:pPr>
        <w:pStyle w:val="FootnoteText"/>
      </w:pPr>
      <w:r>
        <w:rPr>
          <w:rStyle w:val="FootnoteReference"/>
        </w:rPr>
        <w:footnoteRef/>
      </w:r>
      <w:r>
        <w:t xml:space="preserve"> </w:t>
      </w:r>
      <w:r>
        <w:rPr>
          <w:i/>
        </w:rPr>
        <w:t xml:space="preserve">Ibid, </w:t>
      </w:r>
      <w:proofErr w:type="spellStart"/>
      <w:r>
        <w:t>ss</w:t>
      </w:r>
      <w:proofErr w:type="spellEnd"/>
      <w:r>
        <w:t xml:space="preserve"> 10, 17 &amp; 22(1)(b)-(c)</w:t>
      </w:r>
    </w:p>
  </w:footnote>
  <w:footnote w:id="624">
    <w:p w14:paraId="267A799F" w14:textId="40F4D2F5" w:rsidR="002774A4" w:rsidRPr="00E37BEB" w:rsidRDefault="002774A4" w:rsidP="00D97EFC">
      <w:pPr>
        <w:pStyle w:val="FootnoteText"/>
      </w:pPr>
      <w:r>
        <w:rPr>
          <w:rStyle w:val="FootnoteReference"/>
        </w:rPr>
        <w:footnoteRef/>
      </w:r>
      <w:r>
        <w:t xml:space="preserve"> </w:t>
      </w:r>
      <w:r>
        <w:rPr>
          <w:i/>
        </w:rPr>
        <w:t xml:space="preserve">Ibid, </w:t>
      </w:r>
      <w:r>
        <w:t>s 14.</w:t>
      </w:r>
    </w:p>
  </w:footnote>
  <w:footnote w:id="625">
    <w:p w14:paraId="4398A227" w14:textId="2CC29C59" w:rsidR="002774A4" w:rsidRPr="007A3A18" w:rsidRDefault="002774A4" w:rsidP="00D97EFC">
      <w:pPr>
        <w:pStyle w:val="FootnoteText"/>
      </w:pPr>
      <w:r>
        <w:rPr>
          <w:rStyle w:val="FootnoteReference"/>
        </w:rPr>
        <w:footnoteRef/>
      </w:r>
      <w:r>
        <w:t xml:space="preserve"> </w:t>
      </w:r>
      <w:r>
        <w:rPr>
          <w:i/>
        </w:rPr>
        <w:t xml:space="preserve">Ibid, </w:t>
      </w:r>
      <w:r>
        <w:t>s 14(2).</w:t>
      </w:r>
    </w:p>
  </w:footnote>
  <w:footnote w:id="626">
    <w:p w14:paraId="51918064" w14:textId="419657D6" w:rsidR="002774A4" w:rsidRPr="00193BC1" w:rsidRDefault="002774A4" w:rsidP="00D97EFC">
      <w:pPr>
        <w:pStyle w:val="FootnoteText"/>
      </w:pPr>
      <w:r>
        <w:rPr>
          <w:rStyle w:val="FootnoteReference"/>
        </w:rPr>
        <w:footnoteRef/>
      </w:r>
      <w:r>
        <w:t xml:space="preserve"> </w:t>
      </w:r>
      <w:r>
        <w:rPr>
          <w:i/>
        </w:rPr>
        <w:t xml:space="preserve">Ibid, </w:t>
      </w:r>
      <w:r>
        <w:t>s 10(4).</w:t>
      </w:r>
    </w:p>
  </w:footnote>
  <w:footnote w:id="627">
    <w:p w14:paraId="55F76E71" w14:textId="7F3F3F80" w:rsidR="002774A4" w:rsidRPr="004B1BB8" w:rsidRDefault="002774A4" w:rsidP="00D97EFC">
      <w:pPr>
        <w:pStyle w:val="FootnoteText"/>
      </w:pPr>
      <w:r>
        <w:rPr>
          <w:rStyle w:val="FootnoteReference"/>
        </w:rPr>
        <w:footnoteRef/>
      </w:r>
      <w:r>
        <w:t xml:space="preserve"> </w:t>
      </w:r>
      <w:r>
        <w:rPr>
          <w:i/>
        </w:rPr>
        <w:t xml:space="preserve">Ibid, </w:t>
      </w:r>
      <w:r>
        <w:t>s 15.</w:t>
      </w:r>
    </w:p>
  </w:footnote>
  <w:footnote w:id="628">
    <w:p w14:paraId="1054D765" w14:textId="1CB32449" w:rsidR="002774A4" w:rsidRPr="008B54E0" w:rsidRDefault="002774A4" w:rsidP="00D97EFC">
      <w:pPr>
        <w:pStyle w:val="FootnoteText"/>
      </w:pPr>
      <w:r>
        <w:rPr>
          <w:rStyle w:val="FootnoteReference"/>
        </w:rPr>
        <w:footnoteRef/>
      </w:r>
      <w:r>
        <w:t xml:space="preserve"> </w:t>
      </w:r>
      <w:r>
        <w:rPr>
          <w:i/>
        </w:rPr>
        <w:t xml:space="preserve">Ibid, </w:t>
      </w:r>
      <w:proofErr w:type="spellStart"/>
      <w:r>
        <w:t>ss</w:t>
      </w:r>
      <w:proofErr w:type="spellEnd"/>
      <w:r>
        <w:t xml:space="preserve"> 19(1</w:t>
      </w:r>
      <w:proofErr w:type="gramStart"/>
      <w:r>
        <w:t>)(</w:t>
      </w:r>
      <w:proofErr w:type="gramEnd"/>
      <w:r>
        <w:t>d)-(e).</w:t>
      </w:r>
    </w:p>
  </w:footnote>
  <w:footnote w:id="629">
    <w:p w14:paraId="21D7F836" w14:textId="235A025E" w:rsidR="002774A4" w:rsidRPr="00A42207" w:rsidRDefault="002774A4" w:rsidP="00D97EFC">
      <w:pPr>
        <w:pStyle w:val="FootnoteText"/>
      </w:pPr>
      <w:r>
        <w:rPr>
          <w:rStyle w:val="FootnoteReference"/>
        </w:rPr>
        <w:footnoteRef/>
      </w:r>
      <w:r>
        <w:t xml:space="preserve"> </w:t>
      </w:r>
      <w:r>
        <w:rPr>
          <w:i/>
        </w:rPr>
        <w:t xml:space="preserve">Ibid, </w:t>
      </w:r>
      <w:proofErr w:type="spellStart"/>
      <w:r>
        <w:t>ss</w:t>
      </w:r>
      <w:proofErr w:type="spellEnd"/>
      <w:r>
        <w:t xml:space="preserve"> 19(1</w:t>
      </w:r>
      <w:proofErr w:type="gramStart"/>
      <w:r>
        <w:t>)(</w:t>
      </w:r>
      <w:proofErr w:type="gramEnd"/>
      <w:r>
        <w:t>a)-(b)-(c), (f).</w:t>
      </w:r>
    </w:p>
  </w:footnote>
  <w:footnote w:id="630">
    <w:p w14:paraId="755A0422" w14:textId="50B1B6B3" w:rsidR="002774A4" w:rsidRPr="00C822A3" w:rsidRDefault="002774A4" w:rsidP="00D97EFC">
      <w:pPr>
        <w:pStyle w:val="FootnoteText"/>
      </w:pPr>
      <w:r>
        <w:rPr>
          <w:rStyle w:val="FootnoteReference"/>
        </w:rPr>
        <w:footnoteRef/>
      </w:r>
      <w:r>
        <w:t xml:space="preserve"> </w:t>
      </w:r>
      <w:r>
        <w:rPr>
          <w:i/>
        </w:rPr>
        <w:t xml:space="preserve">Ibid, </w:t>
      </w:r>
      <w:r>
        <w:t>s 17(2</w:t>
      </w:r>
      <w:proofErr w:type="gramStart"/>
      <w:r>
        <w:t>)(</w:t>
      </w:r>
      <w:proofErr w:type="gramEnd"/>
      <w:r>
        <w:t>a).</w:t>
      </w:r>
    </w:p>
  </w:footnote>
  <w:footnote w:id="631">
    <w:p w14:paraId="786421F7" w14:textId="6E8F694C" w:rsidR="002774A4" w:rsidRPr="00890E05" w:rsidRDefault="002774A4">
      <w:pPr>
        <w:pStyle w:val="FootnoteText"/>
      </w:pPr>
      <w:r>
        <w:rPr>
          <w:rStyle w:val="FootnoteReference"/>
        </w:rPr>
        <w:footnoteRef/>
      </w:r>
      <w:r>
        <w:t xml:space="preserve"> </w:t>
      </w:r>
      <w:r>
        <w:rPr>
          <w:i/>
        </w:rPr>
        <w:t>Ibid,</w:t>
      </w:r>
      <w:r>
        <w:t xml:space="preserve"> s 18.</w:t>
      </w:r>
    </w:p>
  </w:footnote>
  <w:footnote w:id="632">
    <w:p w14:paraId="195D885C" w14:textId="32148899" w:rsidR="002774A4" w:rsidRPr="00CD4BFD" w:rsidRDefault="002774A4" w:rsidP="00D97EFC">
      <w:pPr>
        <w:pStyle w:val="FootnoteText"/>
      </w:pPr>
      <w:r>
        <w:rPr>
          <w:rStyle w:val="FootnoteReference"/>
        </w:rPr>
        <w:footnoteRef/>
      </w:r>
      <w:r>
        <w:t xml:space="preserve"> </w:t>
      </w:r>
      <w:r>
        <w:rPr>
          <w:i/>
        </w:rPr>
        <w:t xml:space="preserve">Ibid, </w:t>
      </w:r>
      <w:r>
        <w:t>s 22.</w:t>
      </w:r>
    </w:p>
  </w:footnote>
  <w:footnote w:id="633">
    <w:p w14:paraId="3444FC93" w14:textId="6974A09D" w:rsidR="002774A4" w:rsidRPr="00D242CC" w:rsidRDefault="002774A4" w:rsidP="00D97EFC">
      <w:pPr>
        <w:pStyle w:val="FootnoteText"/>
      </w:pPr>
      <w:r>
        <w:rPr>
          <w:rStyle w:val="FootnoteReference"/>
        </w:rPr>
        <w:footnoteRef/>
      </w:r>
      <w:r>
        <w:t xml:space="preserve"> </w:t>
      </w:r>
      <w:r>
        <w:rPr>
          <w:i/>
        </w:rPr>
        <w:t xml:space="preserve">Ibid, </w:t>
      </w:r>
      <w:r>
        <w:t>s 21(4</w:t>
      </w:r>
      <w:proofErr w:type="gramStart"/>
      <w:r>
        <w:t>)(</w:t>
      </w:r>
      <w:proofErr w:type="gramEnd"/>
      <w:r>
        <w:t>f).</w:t>
      </w:r>
    </w:p>
  </w:footnote>
  <w:footnote w:id="634">
    <w:p w14:paraId="45D7402B" w14:textId="6D4CAE8B" w:rsidR="002774A4" w:rsidRPr="001A0963" w:rsidRDefault="002774A4">
      <w:pPr>
        <w:pStyle w:val="FootnoteText"/>
      </w:pPr>
      <w:r>
        <w:rPr>
          <w:rStyle w:val="FootnoteReference"/>
        </w:rPr>
        <w:footnoteRef/>
      </w:r>
      <w:r>
        <w:t xml:space="preserve"> </w:t>
      </w:r>
      <w:r>
        <w:rPr>
          <w:i/>
        </w:rPr>
        <w:t xml:space="preserve">Ibid, </w:t>
      </w:r>
      <w:r>
        <w:t>s 22(1).</w:t>
      </w:r>
    </w:p>
  </w:footnote>
  <w:footnote w:id="635">
    <w:p w14:paraId="066CC2F0" w14:textId="1B11DBD0" w:rsidR="002774A4" w:rsidRPr="00F963B4" w:rsidRDefault="002774A4">
      <w:pPr>
        <w:pStyle w:val="FootnoteText"/>
      </w:pPr>
      <w:r>
        <w:rPr>
          <w:rStyle w:val="FootnoteReference"/>
        </w:rPr>
        <w:footnoteRef/>
      </w:r>
      <w:r>
        <w:t xml:space="preserve"> </w:t>
      </w:r>
      <w:r>
        <w:rPr>
          <w:i/>
        </w:rPr>
        <w:t xml:space="preserve">Ibid, </w:t>
      </w:r>
      <w:r>
        <w:t>s 22(2).</w:t>
      </w:r>
    </w:p>
  </w:footnote>
  <w:footnote w:id="636">
    <w:p w14:paraId="559A745C" w14:textId="619BEFD2" w:rsidR="002774A4" w:rsidRPr="00E277A3" w:rsidRDefault="002774A4" w:rsidP="00D97EFC">
      <w:pPr>
        <w:pStyle w:val="FootnoteText"/>
      </w:pPr>
      <w:r>
        <w:rPr>
          <w:rStyle w:val="FootnoteReference"/>
        </w:rPr>
        <w:footnoteRef/>
      </w:r>
      <w:r>
        <w:t xml:space="preserve"> </w:t>
      </w:r>
      <w:r>
        <w:rPr>
          <w:i/>
        </w:rPr>
        <w:t xml:space="preserve">Ibid, </w:t>
      </w:r>
      <w:r>
        <w:t>s 27.</w:t>
      </w:r>
    </w:p>
  </w:footnote>
  <w:footnote w:id="637">
    <w:p w14:paraId="216EC8E9" w14:textId="53C222EC" w:rsidR="002774A4" w:rsidRPr="00383B9E" w:rsidRDefault="002774A4" w:rsidP="00D97EFC">
      <w:pPr>
        <w:pStyle w:val="FootnoteText"/>
      </w:pPr>
      <w:r>
        <w:rPr>
          <w:rStyle w:val="FootnoteReference"/>
        </w:rPr>
        <w:footnoteRef/>
      </w:r>
      <w:r>
        <w:t xml:space="preserve"> </w:t>
      </w:r>
      <w:r>
        <w:rPr>
          <w:i/>
        </w:rPr>
        <w:t xml:space="preserve">Ibid, </w:t>
      </w:r>
      <w:r>
        <w:t>s 34(1).</w:t>
      </w:r>
    </w:p>
  </w:footnote>
  <w:footnote w:id="638">
    <w:p w14:paraId="4A82FC15" w14:textId="5521A601" w:rsidR="002774A4" w:rsidRPr="005C583B" w:rsidRDefault="002774A4">
      <w:pPr>
        <w:pStyle w:val="FootnoteText"/>
      </w:pPr>
      <w:r>
        <w:rPr>
          <w:rStyle w:val="FootnoteReference"/>
        </w:rPr>
        <w:footnoteRef/>
      </w:r>
      <w:r>
        <w:t xml:space="preserve"> </w:t>
      </w:r>
      <w:r>
        <w:rPr>
          <w:i/>
        </w:rPr>
        <w:t xml:space="preserve">Ibid, </w:t>
      </w:r>
      <w:r>
        <w:t>s 30.</w:t>
      </w:r>
    </w:p>
  </w:footnote>
  <w:footnote w:id="639">
    <w:p w14:paraId="321E642B" w14:textId="30BE770B" w:rsidR="002774A4" w:rsidRPr="00327B55" w:rsidRDefault="002774A4" w:rsidP="00D97EFC">
      <w:pPr>
        <w:pStyle w:val="FootnoteText"/>
      </w:pPr>
      <w:r>
        <w:rPr>
          <w:rStyle w:val="FootnoteReference"/>
        </w:rPr>
        <w:footnoteRef/>
      </w:r>
      <w:r>
        <w:t xml:space="preserve"> </w:t>
      </w:r>
      <w:r>
        <w:rPr>
          <w:i/>
        </w:rPr>
        <w:t xml:space="preserve">Ibid, </w:t>
      </w:r>
      <w:r>
        <w:t>s 30(1).</w:t>
      </w:r>
    </w:p>
  </w:footnote>
  <w:footnote w:id="640">
    <w:p w14:paraId="52F59113" w14:textId="119C86B6" w:rsidR="002774A4" w:rsidRPr="0015702A" w:rsidRDefault="002774A4" w:rsidP="00D97EFC">
      <w:pPr>
        <w:pStyle w:val="FootnoteText"/>
      </w:pPr>
      <w:r>
        <w:rPr>
          <w:rStyle w:val="FootnoteReference"/>
        </w:rPr>
        <w:footnoteRef/>
      </w:r>
      <w:r>
        <w:t xml:space="preserve"> </w:t>
      </w:r>
      <w:r>
        <w:rPr>
          <w:i/>
        </w:rPr>
        <w:t xml:space="preserve">Ibid, </w:t>
      </w:r>
      <w:r w:rsidRPr="00C83882">
        <w:t>s</w:t>
      </w:r>
      <w:r>
        <w:t xml:space="preserve"> 38.</w:t>
      </w:r>
    </w:p>
  </w:footnote>
  <w:footnote w:id="641">
    <w:p w14:paraId="31CB5C5F" w14:textId="4167D17F" w:rsidR="002774A4" w:rsidRPr="006810DF" w:rsidRDefault="002774A4" w:rsidP="00D97EFC">
      <w:pPr>
        <w:pStyle w:val="FootnoteText"/>
      </w:pPr>
      <w:r>
        <w:rPr>
          <w:rStyle w:val="FootnoteReference"/>
        </w:rPr>
        <w:footnoteRef/>
      </w:r>
      <w:r>
        <w:t xml:space="preserve"> </w:t>
      </w:r>
      <w:r>
        <w:rPr>
          <w:i/>
        </w:rPr>
        <w:t xml:space="preserve">Ibid, </w:t>
      </w:r>
      <w:proofErr w:type="spellStart"/>
      <w:r>
        <w:t>ss</w:t>
      </w:r>
      <w:proofErr w:type="spellEnd"/>
      <w:r>
        <w:t xml:space="preserve"> 37(1</w:t>
      </w:r>
      <w:proofErr w:type="gramStart"/>
      <w:r>
        <w:t>)(</w:t>
      </w:r>
      <w:proofErr w:type="gramEnd"/>
      <w:r>
        <w:t>b) &amp; 38(2)(b).</w:t>
      </w:r>
    </w:p>
  </w:footnote>
  <w:footnote w:id="642">
    <w:p w14:paraId="61A37383" w14:textId="5EFF067C" w:rsidR="002774A4" w:rsidRPr="0002637E" w:rsidRDefault="002774A4" w:rsidP="00D97EFC">
      <w:pPr>
        <w:pStyle w:val="FootnoteText"/>
      </w:pPr>
      <w:r>
        <w:rPr>
          <w:rStyle w:val="FootnoteReference"/>
        </w:rPr>
        <w:footnoteRef/>
      </w:r>
      <w:r>
        <w:t xml:space="preserve"> </w:t>
      </w:r>
      <w:r>
        <w:rPr>
          <w:i/>
        </w:rPr>
        <w:t xml:space="preserve">Ibid, </w:t>
      </w:r>
      <w:r>
        <w:t>s 41(1).</w:t>
      </w:r>
    </w:p>
  </w:footnote>
  <w:footnote w:id="643">
    <w:p w14:paraId="5A794E44" w14:textId="26FB9306" w:rsidR="002774A4" w:rsidRPr="00A16522" w:rsidRDefault="002774A4">
      <w:pPr>
        <w:pStyle w:val="FootnoteText"/>
      </w:pPr>
      <w:r>
        <w:rPr>
          <w:rStyle w:val="FootnoteReference"/>
        </w:rPr>
        <w:footnoteRef/>
      </w:r>
      <w:r>
        <w:t xml:space="preserve"> </w:t>
      </w:r>
      <w:r>
        <w:rPr>
          <w:i/>
        </w:rPr>
        <w:t xml:space="preserve">Ibid, </w:t>
      </w:r>
      <w:r>
        <w:t>s 54(2)</w:t>
      </w:r>
    </w:p>
  </w:footnote>
  <w:footnote w:id="644">
    <w:p w14:paraId="569361F9" w14:textId="68BA1518" w:rsidR="002774A4" w:rsidRPr="00F2246A" w:rsidRDefault="002774A4" w:rsidP="00D97EFC">
      <w:pPr>
        <w:pStyle w:val="FootnoteText"/>
      </w:pPr>
      <w:r>
        <w:rPr>
          <w:rStyle w:val="FootnoteReference"/>
        </w:rPr>
        <w:footnoteRef/>
      </w:r>
      <w:r>
        <w:t xml:space="preserve"> </w:t>
      </w:r>
      <w:r>
        <w:rPr>
          <w:i/>
        </w:rPr>
        <w:t xml:space="preserve">Ibid, </w:t>
      </w:r>
      <w:r>
        <w:t>s 55.</w:t>
      </w:r>
    </w:p>
  </w:footnote>
  <w:footnote w:id="645">
    <w:p w14:paraId="6F22712F" w14:textId="3031B03C" w:rsidR="002774A4" w:rsidRPr="00172BA5" w:rsidRDefault="002774A4" w:rsidP="00D97EFC">
      <w:pPr>
        <w:pStyle w:val="FootnoteText"/>
      </w:pPr>
      <w:r>
        <w:rPr>
          <w:rStyle w:val="FootnoteReference"/>
        </w:rPr>
        <w:footnoteRef/>
      </w:r>
      <w:r>
        <w:t xml:space="preserve"> </w:t>
      </w:r>
      <w:r>
        <w:rPr>
          <w:i/>
        </w:rPr>
        <w:t xml:space="preserve">Ibid, </w:t>
      </w:r>
      <w:r>
        <w:t>Part 7.</w:t>
      </w:r>
    </w:p>
  </w:footnote>
  <w:footnote w:id="646">
    <w:p w14:paraId="175D0F37" w14:textId="4BF88E87" w:rsidR="002774A4" w:rsidRPr="00172BA5" w:rsidRDefault="002774A4" w:rsidP="00D97EFC">
      <w:pPr>
        <w:pStyle w:val="FootnoteText"/>
      </w:pPr>
      <w:r>
        <w:rPr>
          <w:rStyle w:val="FootnoteReference"/>
        </w:rPr>
        <w:footnoteRef/>
      </w:r>
      <w:r>
        <w:t xml:space="preserve"> </w:t>
      </w:r>
      <w:r>
        <w:rPr>
          <w:i/>
        </w:rPr>
        <w:t xml:space="preserve">Ibid, </w:t>
      </w:r>
      <w:r>
        <w:t>Part 8.</w:t>
      </w:r>
    </w:p>
  </w:footnote>
  <w:footnote w:id="647">
    <w:p w14:paraId="681D5D43" w14:textId="7B098CF0" w:rsidR="002774A4" w:rsidRPr="00090387" w:rsidRDefault="002774A4" w:rsidP="00D97EFC">
      <w:pPr>
        <w:pStyle w:val="FootnoteText"/>
      </w:pPr>
      <w:r>
        <w:rPr>
          <w:rStyle w:val="FootnoteReference"/>
        </w:rPr>
        <w:footnoteRef/>
      </w:r>
      <w:r>
        <w:t xml:space="preserve"> </w:t>
      </w:r>
      <w:r>
        <w:rPr>
          <w:i/>
        </w:rPr>
        <w:t xml:space="preserve">Ibid, </w:t>
      </w:r>
      <w:proofErr w:type="spellStart"/>
      <w:r>
        <w:t>ss</w:t>
      </w:r>
      <w:proofErr w:type="spellEnd"/>
      <w:r>
        <w:t xml:space="preserve"> 59(1</w:t>
      </w:r>
      <w:proofErr w:type="gramStart"/>
      <w:r>
        <w:t>)(</w:t>
      </w:r>
      <w:proofErr w:type="gramEnd"/>
      <w:r>
        <w:t>a)-(b).</w:t>
      </w:r>
    </w:p>
  </w:footnote>
  <w:footnote w:id="648">
    <w:p w14:paraId="498FBA97" w14:textId="1A7DBC26" w:rsidR="002774A4" w:rsidRPr="00726E78" w:rsidRDefault="002774A4" w:rsidP="00D97EFC">
      <w:pPr>
        <w:pStyle w:val="FootnoteText"/>
      </w:pPr>
      <w:r>
        <w:rPr>
          <w:rStyle w:val="FootnoteReference"/>
        </w:rPr>
        <w:footnoteRef/>
      </w:r>
      <w:r>
        <w:t xml:space="preserve"> </w:t>
      </w:r>
      <w:r>
        <w:rPr>
          <w:i/>
        </w:rPr>
        <w:t xml:space="preserve">Ibid, </w:t>
      </w:r>
      <w:r>
        <w:t>s 59(4).</w:t>
      </w:r>
    </w:p>
  </w:footnote>
  <w:footnote w:id="649">
    <w:p w14:paraId="29F6183C" w14:textId="1366E0B0" w:rsidR="002774A4" w:rsidRPr="00266FE6" w:rsidRDefault="002774A4" w:rsidP="00D97EFC">
      <w:pPr>
        <w:pStyle w:val="FootnoteText"/>
      </w:pPr>
      <w:r>
        <w:rPr>
          <w:rStyle w:val="FootnoteReference"/>
        </w:rPr>
        <w:footnoteRef/>
      </w:r>
      <w:r>
        <w:t xml:space="preserve"> </w:t>
      </w:r>
      <w:r>
        <w:rPr>
          <w:i/>
        </w:rPr>
        <w:t xml:space="preserve">Ibid, </w:t>
      </w:r>
      <w:r>
        <w:t>s 69.</w:t>
      </w:r>
    </w:p>
  </w:footnote>
  <w:footnote w:id="650">
    <w:p w14:paraId="610C866B" w14:textId="15029B06" w:rsidR="002774A4" w:rsidRPr="00D11116" w:rsidRDefault="002774A4" w:rsidP="00D97EFC">
      <w:pPr>
        <w:pStyle w:val="FootnoteText"/>
      </w:pPr>
      <w:r>
        <w:rPr>
          <w:rStyle w:val="FootnoteReference"/>
        </w:rPr>
        <w:footnoteRef/>
      </w:r>
      <w:r>
        <w:t xml:space="preserve"> </w:t>
      </w:r>
      <w:r>
        <w:rPr>
          <w:i/>
        </w:rPr>
        <w:t xml:space="preserve">Ibid, </w:t>
      </w:r>
      <w:r>
        <w:t>s 82(a).</w:t>
      </w:r>
    </w:p>
  </w:footnote>
  <w:footnote w:id="651">
    <w:p w14:paraId="388DA1CB" w14:textId="47848C5A" w:rsidR="002774A4" w:rsidRPr="00E32044" w:rsidRDefault="002774A4" w:rsidP="00D97EFC">
      <w:pPr>
        <w:pStyle w:val="FootnoteText"/>
      </w:pPr>
      <w:r>
        <w:rPr>
          <w:rStyle w:val="FootnoteReference"/>
        </w:rPr>
        <w:footnoteRef/>
      </w:r>
      <w:r>
        <w:t xml:space="preserve"> </w:t>
      </w:r>
      <w:r>
        <w:rPr>
          <w:i/>
        </w:rPr>
        <w:t xml:space="preserve">Ibid, </w:t>
      </w:r>
      <w:r>
        <w:t>s 83(2).</w:t>
      </w:r>
    </w:p>
  </w:footnote>
  <w:footnote w:id="652">
    <w:p w14:paraId="6DE20FCE" w14:textId="62AC5903" w:rsidR="002774A4" w:rsidRPr="003735D2" w:rsidRDefault="002774A4" w:rsidP="005B6E06">
      <w:pPr>
        <w:pStyle w:val="FootnoteText"/>
      </w:pPr>
      <w:r>
        <w:rPr>
          <w:rStyle w:val="FootnoteReference"/>
        </w:rPr>
        <w:footnoteRef/>
      </w:r>
      <w:r>
        <w:t xml:space="preserve"> Martinez-</w:t>
      </w:r>
      <w:proofErr w:type="spellStart"/>
      <w:r>
        <w:t>Pujalte</w:t>
      </w:r>
      <w:proofErr w:type="spellEnd"/>
      <w:r>
        <w:t xml:space="preserve"> </w:t>
      </w:r>
      <w:r>
        <w:rPr>
          <w:i/>
        </w:rPr>
        <w:t xml:space="preserve">supra </w:t>
      </w:r>
      <w:r>
        <w:t xml:space="preserve">note </w:t>
      </w:r>
      <w:r>
        <w:fldChar w:fldCharType="begin"/>
      </w:r>
      <w:r>
        <w:instrText xml:space="preserve"> NOTEREF _Ref15295460 \h </w:instrText>
      </w:r>
      <w:r>
        <w:fldChar w:fldCharType="separate"/>
      </w:r>
      <w:r>
        <w:t>47</w:t>
      </w:r>
      <w:r>
        <w:fldChar w:fldCharType="end"/>
      </w:r>
      <w:r>
        <w:t xml:space="preserve"> at 15.</w:t>
      </w:r>
    </w:p>
  </w:footnote>
  <w:footnote w:id="653">
    <w:p w14:paraId="2C84CA4E" w14:textId="3097C6FC" w:rsidR="002774A4" w:rsidRPr="00C828AA" w:rsidRDefault="002774A4" w:rsidP="00D97EFC">
      <w:pPr>
        <w:pStyle w:val="FootnoteText"/>
      </w:pPr>
      <w:r>
        <w:rPr>
          <w:rStyle w:val="FootnoteReference"/>
        </w:rPr>
        <w:footnoteRef/>
      </w:r>
      <w:r>
        <w:t xml:space="preserve"> Flynn &amp; </w:t>
      </w:r>
      <w:proofErr w:type="spellStart"/>
      <w:r>
        <w:t>Arstein-Kerslake</w:t>
      </w:r>
      <w:proofErr w:type="spellEnd"/>
      <w:r>
        <w:t xml:space="preserve">, </w:t>
      </w:r>
      <w:r>
        <w:rPr>
          <w:i/>
        </w:rPr>
        <w:t xml:space="preserve">supra </w:t>
      </w:r>
      <w:r>
        <w:t xml:space="preserve">note </w:t>
      </w:r>
      <w:r>
        <w:fldChar w:fldCharType="begin"/>
      </w:r>
      <w:r>
        <w:instrText xml:space="preserve"> NOTEREF _Ref15302017 \h </w:instrText>
      </w:r>
      <w:r>
        <w:fldChar w:fldCharType="separate"/>
      </w:r>
      <w:r>
        <w:t>616</w:t>
      </w:r>
      <w:r>
        <w:fldChar w:fldCharType="end"/>
      </w:r>
      <w:r>
        <w:t xml:space="preserve"> at 134.</w:t>
      </w:r>
    </w:p>
  </w:footnote>
  <w:footnote w:id="654">
    <w:p w14:paraId="7D51D8D7" w14:textId="0B7870AB" w:rsidR="002774A4" w:rsidRPr="00166A99" w:rsidRDefault="002774A4" w:rsidP="00D97EFC">
      <w:pPr>
        <w:pStyle w:val="FootnoteText"/>
      </w:pPr>
      <w:r>
        <w:rPr>
          <w:rStyle w:val="FootnoteReference"/>
        </w:rPr>
        <w:footnoteRef/>
      </w:r>
      <w:r>
        <w:t xml:space="preserve"> Martinez-</w:t>
      </w:r>
      <w:proofErr w:type="spellStart"/>
      <w:r>
        <w:t>Pujalte</w:t>
      </w:r>
      <w:proofErr w:type="spellEnd"/>
      <w:r>
        <w:t xml:space="preserve">, </w:t>
      </w:r>
      <w:r>
        <w:rPr>
          <w:i/>
        </w:rPr>
        <w:t xml:space="preserve">supra </w:t>
      </w:r>
      <w:r>
        <w:t xml:space="preserve">note </w:t>
      </w:r>
      <w:r>
        <w:fldChar w:fldCharType="begin"/>
      </w:r>
      <w:r>
        <w:instrText xml:space="preserve"> NOTEREF _Ref15295460 \h </w:instrText>
      </w:r>
      <w:r>
        <w:fldChar w:fldCharType="separate"/>
      </w:r>
      <w:r>
        <w:t>47</w:t>
      </w:r>
      <w:r>
        <w:fldChar w:fldCharType="end"/>
      </w:r>
      <w:r>
        <w:t xml:space="preserve"> at 15</w:t>
      </w:r>
      <w:proofErr w:type="gramStart"/>
      <w:r>
        <w:t>;</w:t>
      </w:r>
      <w:proofErr w:type="gramEnd"/>
      <w:r>
        <w:t xml:space="preserve"> </w:t>
      </w:r>
      <w:r>
        <w:rPr>
          <w:i/>
        </w:rPr>
        <w:t xml:space="preserve">Assisted Decision-Making (Capacity) Act 2015, supra </w:t>
      </w:r>
      <w:r>
        <w:t xml:space="preserve">note </w:t>
      </w:r>
      <w:r>
        <w:fldChar w:fldCharType="begin"/>
      </w:r>
      <w:r>
        <w:instrText xml:space="preserve"> NOTEREF _Ref15301961 \h </w:instrText>
      </w:r>
      <w:r>
        <w:fldChar w:fldCharType="separate"/>
      </w:r>
      <w:r>
        <w:t>602</w:t>
      </w:r>
      <w:r>
        <w:fldChar w:fldCharType="end"/>
      </w:r>
      <w:r>
        <w:t xml:space="preserve">, </w:t>
      </w:r>
      <w:proofErr w:type="spellStart"/>
      <w:r>
        <w:t>ss</w:t>
      </w:r>
      <w:proofErr w:type="spellEnd"/>
      <w:r>
        <w:t xml:space="preserve"> 15, 37, 38.</w:t>
      </w:r>
    </w:p>
  </w:footnote>
  <w:footnote w:id="655">
    <w:p w14:paraId="47F8AD63" w14:textId="3F2FB6E2" w:rsidR="002774A4" w:rsidRPr="0057199B" w:rsidRDefault="002774A4" w:rsidP="00D97EFC">
      <w:pPr>
        <w:pStyle w:val="FootnoteText"/>
      </w:pPr>
      <w:r>
        <w:rPr>
          <w:rStyle w:val="FootnoteReference"/>
        </w:rPr>
        <w:footnoteRef/>
      </w:r>
      <w:r>
        <w:t xml:space="preserve"> </w:t>
      </w:r>
      <w:proofErr w:type="spellStart"/>
      <w:r>
        <w:t>O’Mahoney</w:t>
      </w:r>
      <w:proofErr w:type="spellEnd"/>
      <w:r>
        <w:t xml:space="preserve">, </w:t>
      </w:r>
      <w:r>
        <w:rPr>
          <w:i/>
        </w:rPr>
        <w:t xml:space="preserve">supra </w:t>
      </w:r>
      <w:r>
        <w:t xml:space="preserve">note </w:t>
      </w:r>
      <w:r>
        <w:fldChar w:fldCharType="begin"/>
      </w:r>
      <w:r>
        <w:instrText xml:space="preserve"> NOTEREF _Ref15301869 \h </w:instrText>
      </w:r>
      <w:r>
        <w:fldChar w:fldCharType="separate"/>
      </w:r>
      <w:r>
        <w:t>605</w:t>
      </w:r>
      <w:r>
        <w:fldChar w:fldCharType="end"/>
      </w:r>
      <w:r>
        <w:t xml:space="preserve"> at 31.</w:t>
      </w:r>
    </w:p>
  </w:footnote>
  <w:footnote w:id="656">
    <w:p w14:paraId="0C432D3D" w14:textId="1D3A1333" w:rsidR="002774A4" w:rsidRPr="00DB69D1" w:rsidRDefault="002774A4" w:rsidP="00D97EFC">
      <w:pPr>
        <w:pStyle w:val="FootnoteText"/>
      </w:pPr>
      <w:r>
        <w:rPr>
          <w:rStyle w:val="FootnoteReference"/>
        </w:rPr>
        <w:footnoteRef/>
      </w:r>
      <w:r>
        <w:t xml:space="preserve"> See </w:t>
      </w:r>
      <w:r w:rsidRPr="00A550A1">
        <w:rPr>
          <w:color w:val="000000" w:themeColor="text1"/>
        </w:rPr>
        <w:t xml:space="preserve">Committee on the Rights of Persons with Disabilities, </w:t>
      </w:r>
      <w:r>
        <w:t xml:space="preserve">“General comment No.1,” </w:t>
      </w:r>
      <w:r w:rsidRPr="00A550A1">
        <w:rPr>
          <w:i/>
          <w:color w:val="000000" w:themeColor="text1"/>
        </w:rPr>
        <w:t xml:space="preserve">supra </w:t>
      </w:r>
      <w:r w:rsidRPr="00A550A1">
        <w:rPr>
          <w:color w:val="000000" w:themeColor="text1"/>
        </w:rPr>
        <w:t xml:space="preserve">note </w:t>
      </w:r>
      <w:r>
        <w:rPr>
          <w:color w:val="000000" w:themeColor="text1"/>
        </w:rPr>
        <w:fldChar w:fldCharType="begin"/>
      </w:r>
      <w:r>
        <w:rPr>
          <w:color w:val="000000" w:themeColor="text1"/>
        </w:rPr>
        <w:instrText xml:space="preserve"> NOTEREF _Ref15295251 \h </w:instrText>
      </w:r>
      <w:r>
        <w:rPr>
          <w:color w:val="000000" w:themeColor="text1"/>
        </w:rPr>
      </w:r>
      <w:r>
        <w:rPr>
          <w:color w:val="000000" w:themeColor="text1"/>
        </w:rPr>
        <w:fldChar w:fldCharType="separate"/>
      </w:r>
      <w:proofErr w:type="gramStart"/>
      <w:r>
        <w:rPr>
          <w:color w:val="000000" w:themeColor="text1"/>
        </w:rPr>
        <w:t>7</w:t>
      </w:r>
      <w:proofErr w:type="gramEnd"/>
      <w:r>
        <w:rPr>
          <w:color w:val="000000" w:themeColor="text1"/>
        </w:rPr>
        <w:fldChar w:fldCharType="end"/>
      </w:r>
      <w:r>
        <w:rPr>
          <w:color w:val="000000" w:themeColor="text1"/>
        </w:rPr>
        <w:t xml:space="preserve"> at para</w:t>
      </w:r>
      <w:r>
        <w:t xml:space="preserve"> 29(i).</w:t>
      </w:r>
    </w:p>
  </w:footnote>
  <w:footnote w:id="657">
    <w:p w14:paraId="082B38CF" w14:textId="1A9C67DE" w:rsidR="002774A4" w:rsidRPr="00783360" w:rsidRDefault="002774A4" w:rsidP="00783360">
      <w:pPr>
        <w:pStyle w:val="FootnoteText"/>
      </w:pPr>
      <w:r w:rsidRPr="00783360">
        <w:rPr>
          <w:rStyle w:val="FootnoteReference"/>
        </w:rPr>
        <w:footnoteRef/>
      </w:r>
      <w:r w:rsidRPr="00783360">
        <w:t xml:space="preserve"> </w:t>
      </w:r>
      <w:r w:rsidRPr="00783360">
        <w:rPr>
          <w:i/>
        </w:rPr>
        <w:t xml:space="preserve">Assisted Decision-Making (Capacity) Act 2015, supra </w:t>
      </w:r>
      <w:r w:rsidRPr="00783360">
        <w:t xml:space="preserve">note </w:t>
      </w:r>
      <w:r>
        <w:fldChar w:fldCharType="begin"/>
      </w:r>
      <w:r>
        <w:instrText xml:space="preserve"> NOTEREF _Ref15301961 \h </w:instrText>
      </w:r>
      <w:r>
        <w:fldChar w:fldCharType="separate"/>
      </w:r>
      <w:r>
        <w:t>602</w:t>
      </w:r>
      <w:r>
        <w:fldChar w:fldCharType="end"/>
      </w:r>
      <w:r w:rsidRPr="00783360">
        <w:t>, s 19(5).</w:t>
      </w:r>
    </w:p>
  </w:footnote>
  <w:footnote w:id="658">
    <w:p w14:paraId="0B6EE7E1" w14:textId="63AD8C8E" w:rsidR="002774A4" w:rsidRPr="00783360" w:rsidRDefault="002774A4" w:rsidP="00783360">
      <w:pPr>
        <w:pStyle w:val="FootnoteText"/>
      </w:pPr>
      <w:r w:rsidRPr="00783360">
        <w:rPr>
          <w:rStyle w:val="FootnoteReference"/>
        </w:rPr>
        <w:footnoteRef/>
      </w:r>
      <w:r w:rsidRPr="00783360">
        <w:t xml:space="preserve"> See </w:t>
      </w:r>
      <w:proofErr w:type="spellStart"/>
      <w:r w:rsidRPr="00783360">
        <w:t>Devandas</w:t>
      </w:r>
      <w:proofErr w:type="spellEnd"/>
      <w:r w:rsidRPr="00783360">
        <w:t xml:space="preserve"> Aguilar, </w:t>
      </w:r>
      <w:r w:rsidRPr="00783360">
        <w:rPr>
          <w:i/>
        </w:rPr>
        <w:t xml:space="preserve">supra </w:t>
      </w:r>
      <w:r w:rsidRPr="00783360">
        <w:t xml:space="preserve">note </w:t>
      </w:r>
      <w:r>
        <w:fldChar w:fldCharType="begin"/>
      </w:r>
      <w:r>
        <w:instrText xml:space="preserve"> NOTEREF _Ref15295121 \h </w:instrText>
      </w:r>
      <w:r>
        <w:fldChar w:fldCharType="separate"/>
      </w:r>
      <w:proofErr w:type="gramStart"/>
      <w:r>
        <w:t>8</w:t>
      </w:r>
      <w:proofErr w:type="gramEnd"/>
      <w:r>
        <w:fldChar w:fldCharType="end"/>
      </w:r>
      <w:r>
        <w:t xml:space="preserve"> </w:t>
      </w:r>
      <w:r w:rsidRPr="00783360">
        <w:t>at para 45.</w:t>
      </w:r>
    </w:p>
  </w:footnote>
  <w:footnote w:id="659">
    <w:p w14:paraId="7D2F00C9" w14:textId="57F3B129" w:rsidR="002774A4" w:rsidRPr="002F17CF" w:rsidRDefault="002774A4" w:rsidP="00783360">
      <w:pPr>
        <w:pStyle w:val="NormalWeb"/>
        <w:spacing w:before="0" w:beforeAutospacing="0" w:after="0" w:afterAutospacing="0"/>
      </w:pPr>
      <w:r w:rsidRPr="00B07761">
        <w:rPr>
          <w:rStyle w:val="FootnoteReference"/>
          <w:sz w:val="20"/>
          <w:szCs w:val="20"/>
        </w:rPr>
        <w:footnoteRef/>
      </w:r>
      <w:r w:rsidRPr="00B07761">
        <w:rPr>
          <w:sz w:val="20"/>
          <w:szCs w:val="20"/>
        </w:rPr>
        <w:t xml:space="preserve"> </w:t>
      </w:r>
      <w:r w:rsidRPr="00B07761">
        <w:rPr>
          <w:i/>
          <w:sz w:val="20"/>
          <w:szCs w:val="20"/>
        </w:rPr>
        <w:t xml:space="preserve">Assisted Decision-Making (Capacity) Act 2015, supra </w:t>
      </w:r>
      <w:r w:rsidRPr="00B07761">
        <w:rPr>
          <w:sz w:val="20"/>
          <w:szCs w:val="20"/>
        </w:rPr>
        <w:t xml:space="preserve">note </w:t>
      </w:r>
      <w:r w:rsidRPr="00B07761">
        <w:rPr>
          <w:sz w:val="20"/>
          <w:szCs w:val="20"/>
        </w:rPr>
        <w:fldChar w:fldCharType="begin"/>
      </w:r>
      <w:r w:rsidRPr="00B07761">
        <w:rPr>
          <w:sz w:val="20"/>
          <w:szCs w:val="20"/>
        </w:rPr>
        <w:instrText xml:space="preserve"> NOTEREF _Ref15301961 \h </w:instrText>
      </w:r>
      <w:r>
        <w:rPr>
          <w:sz w:val="20"/>
          <w:szCs w:val="20"/>
        </w:rPr>
        <w:instrText xml:space="preserve"> \* MERGEFORMAT </w:instrText>
      </w:r>
      <w:r w:rsidRPr="00B07761">
        <w:rPr>
          <w:sz w:val="20"/>
          <w:szCs w:val="20"/>
        </w:rPr>
      </w:r>
      <w:r w:rsidRPr="00B07761">
        <w:rPr>
          <w:sz w:val="20"/>
          <w:szCs w:val="20"/>
        </w:rPr>
        <w:fldChar w:fldCharType="separate"/>
      </w:r>
      <w:r w:rsidRPr="00B07761">
        <w:rPr>
          <w:sz w:val="20"/>
          <w:szCs w:val="20"/>
        </w:rPr>
        <w:t>602</w:t>
      </w:r>
      <w:r w:rsidRPr="00B07761">
        <w:rPr>
          <w:sz w:val="20"/>
          <w:szCs w:val="20"/>
        </w:rPr>
        <w:fldChar w:fldCharType="end"/>
      </w:r>
      <w:r w:rsidRPr="00B07761">
        <w:rPr>
          <w:sz w:val="20"/>
          <w:szCs w:val="20"/>
        </w:rPr>
        <w:t xml:space="preserve">, </w:t>
      </w:r>
      <w:r w:rsidRPr="00B07761">
        <w:rPr>
          <w:rFonts w:ascii="TimesNewRomanPSMT" w:hAnsi="TimesNewRomanPSMT"/>
          <w:sz w:val="20"/>
          <w:szCs w:val="20"/>
        </w:rPr>
        <w:t>s 1</w:t>
      </w:r>
      <w:r w:rsidRPr="00B07761">
        <w:rPr>
          <w:sz w:val="20"/>
          <w:szCs w:val="20"/>
        </w:rPr>
        <w:t>0(1).</w:t>
      </w:r>
      <w:r>
        <w:rPr>
          <w:sz w:val="20"/>
          <w:szCs w:val="20"/>
        </w:rPr>
        <w:t xml:space="preserve"> See Lucy Series, “The Assisted Decision-Making (Capacity) Bill in Ireland – a bit of a mixed bag” (25 July 2013), online: &lt;</w:t>
      </w:r>
      <w:r w:rsidRPr="009B0C9C">
        <w:t xml:space="preserve"> </w:t>
      </w:r>
      <w:r w:rsidRPr="009B0C9C">
        <w:rPr>
          <w:sz w:val="20"/>
          <w:szCs w:val="20"/>
        </w:rPr>
        <w:t>https://thesmallplaces.wordpress.com/2013/07/25/the-assisted-decision-making-capacity-bill-in-ireland-a-bit-of-a-mixed-bag/</w:t>
      </w:r>
      <w:r>
        <w:rPr>
          <w:sz w:val="20"/>
          <w:szCs w:val="20"/>
        </w:rPr>
        <w:t>&gt;.</w:t>
      </w:r>
    </w:p>
  </w:footnote>
  <w:footnote w:id="660">
    <w:p w14:paraId="79BEC3BC" w14:textId="2C344472" w:rsidR="002774A4" w:rsidRPr="008E59AA" w:rsidRDefault="002774A4">
      <w:pPr>
        <w:pStyle w:val="FootnoteText"/>
      </w:pPr>
      <w:r>
        <w:rPr>
          <w:rStyle w:val="FootnoteReference"/>
        </w:rPr>
        <w:footnoteRef/>
      </w:r>
      <w:r>
        <w:t xml:space="preserve"> See </w:t>
      </w:r>
      <w:proofErr w:type="spellStart"/>
      <w:r w:rsidRPr="00783360">
        <w:t>Devandas</w:t>
      </w:r>
      <w:proofErr w:type="spellEnd"/>
      <w:r w:rsidRPr="00783360">
        <w:t xml:space="preserve"> Aguilar, </w:t>
      </w:r>
      <w:r w:rsidRPr="00783360">
        <w:rPr>
          <w:i/>
        </w:rPr>
        <w:t xml:space="preserve">supra </w:t>
      </w:r>
      <w:r w:rsidRPr="00783360">
        <w:t xml:space="preserve">note </w:t>
      </w:r>
      <w:r>
        <w:fldChar w:fldCharType="begin"/>
      </w:r>
      <w:r>
        <w:instrText xml:space="preserve"> NOTEREF _Ref15295121 \h </w:instrText>
      </w:r>
      <w:r>
        <w:fldChar w:fldCharType="separate"/>
      </w:r>
      <w:proofErr w:type="gramStart"/>
      <w:r>
        <w:t>8</w:t>
      </w:r>
      <w:proofErr w:type="gramEnd"/>
      <w:r>
        <w:fldChar w:fldCharType="end"/>
      </w:r>
      <w:r>
        <w:t xml:space="preserve"> </w:t>
      </w:r>
      <w:r w:rsidRPr="00783360">
        <w:t>at para 4</w:t>
      </w:r>
      <w:r>
        <w:t xml:space="preserve">4; see </w:t>
      </w:r>
      <w:r w:rsidRPr="00A550A1">
        <w:rPr>
          <w:color w:val="000000" w:themeColor="text1"/>
        </w:rPr>
        <w:t>Committee on the Rights of Persons with Disabilities,</w:t>
      </w:r>
      <w:r>
        <w:rPr>
          <w:color w:val="000000" w:themeColor="text1"/>
        </w:rPr>
        <w:t xml:space="preserve"> </w:t>
      </w:r>
      <w:r>
        <w:t xml:space="preserve">“General comment No.1,” </w:t>
      </w:r>
      <w:r w:rsidRPr="00A550A1">
        <w:rPr>
          <w:i/>
          <w:color w:val="000000" w:themeColor="text1"/>
        </w:rPr>
        <w:t xml:space="preserve">supra </w:t>
      </w:r>
      <w:r w:rsidRPr="00A550A1">
        <w:rPr>
          <w:color w:val="000000" w:themeColor="text1"/>
        </w:rPr>
        <w:t xml:space="preserve">note </w:t>
      </w:r>
      <w:r>
        <w:rPr>
          <w:color w:val="000000" w:themeColor="text1"/>
        </w:rPr>
        <w:fldChar w:fldCharType="begin"/>
      </w:r>
      <w:r>
        <w:rPr>
          <w:color w:val="000000" w:themeColor="text1"/>
        </w:rPr>
        <w:instrText xml:space="preserve"> NOTEREF _Ref15295251 \h </w:instrText>
      </w:r>
      <w:r>
        <w:rPr>
          <w:color w:val="000000" w:themeColor="text1"/>
        </w:rPr>
      </w:r>
      <w:r>
        <w:rPr>
          <w:color w:val="000000" w:themeColor="text1"/>
        </w:rPr>
        <w:fldChar w:fldCharType="separate"/>
      </w:r>
      <w:r>
        <w:rPr>
          <w:color w:val="000000" w:themeColor="text1"/>
        </w:rPr>
        <w:t>7</w:t>
      </w:r>
      <w:r>
        <w:rPr>
          <w:color w:val="000000" w:themeColor="text1"/>
        </w:rPr>
        <w:fldChar w:fldCharType="end"/>
      </w:r>
      <w:r>
        <w:rPr>
          <w:color w:val="000000" w:themeColor="text1"/>
        </w:rPr>
        <w:t xml:space="preserve"> at para</w:t>
      </w:r>
      <w:r>
        <w:t xml:space="preserve"> 17.</w:t>
      </w:r>
    </w:p>
  </w:footnote>
  <w:footnote w:id="661">
    <w:p w14:paraId="27BA9E42" w14:textId="4E87B0FF" w:rsidR="002774A4" w:rsidRPr="00BB2A04" w:rsidRDefault="002774A4">
      <w:pPr>
        <w:pStyle w:val="FootnoteText"/>
      </w:pPr>
      <w:r>
        <w:rPr>
          <w:rStyle w:val="FootnoteReference"/>
        </w:rPr>
        <w:footnoteRef/>
      </w:r>
      <w:r>
        <w:t xml:space="preserve"> Martinez-</w:t>
      </w:r>
      <w:proofErr w:type="spellStart"/>
      <w:r>
        <w:t>Pujalte</w:t>
      </w:r>
      <w:proofErr w:type="spellEnd"/>
      <w:r>
        <w:t xml:space="preserve">, </w:t>
      </w:r>
      <w:r>
        <w:rPr>
          <w:i/>
        </w:rPr>
        <w:t xml:space="preserve">supra </w:t>
      </w:r>
      <w:r>
        <w:t xml:space="preserve">note </w:t>
      </w:r>
      <w:r>
        <w:fldChar w:fldCharType="begin"/>
      </w:r>
      <w:r>
        <w:instrText xml:space="preserve"> NOTEREF _Ref15295460 \h </w:instrText>
      </w:r>
      <w:r>
        <w:fldChar w:fldCharType="separate"/>
      </w:r>
      <w:r>
        <w:t>47</w:t>
      </w:r>
      <w:r>
        <w:fldChar w:fldCharType="end"/>
      </w:r>
      <w:r>
        <w:t xml:space="preserve"> at 15.</w:t>
      </w:r>
    </w:p>
  </w:footnote>
  <w:footnote w:id="662">
    <w:p w14:paraId="0F3E29F1" w14:textId="69C22433" w:rsidR="002774A4" w:rsidRPr="006E24A1" w:rsidRDefault="002774A4" w:rsidP="00D97EFC">
      <w:pPr>
        <w:pStyle w:val="FootnoteText"/>
      </w:pPr>
      <w:r>
        <w:rPr>
          <w:rStyle w:val="FootnoteReference"/>
        </w:rPr>
        <w:footnoteRef/>
      </w:r>
      <w:r>
        <w:t xml:space="preserve"> </w:t>
      </w:r>
      <w:proofErr w:type="spellStart"/>
      <w:r w:rsidRPr="00783360">
        <w:t>Devandas</w:t>
      </w:r>
      <w:proofErr w:type="spellEnd"/>
      <w:r w:rsidRPr="00783360">
        <w:t xml:space="preserve"> Aguilar, </w:t>
      </w:r>
      <w:r w:rsidRPr="00783360">
        <w:rPr>
          <w:i/>
        </w:rPr>
        <w:t xml:space="preserve">supra </w:t>
      </w:r>
      <w:r w:rsidRPr="00783360">
        <w:t xml:space="preserve">note </w:t>
      </w:r>
      <w:r>
        <w:fldChar w:fldCharType="begin"/>
      </w:r>
      <w:r>
        <w:instrText xml:space="preserve"> NOTEREF _Ref15295121 \h </w:instrText>
      </w:r>
      <w:r>
        <w:fldChar w:fldCharType="separate"/>
      </w:r>
      <w:proofErr w:type="gramStart"/>
      <w:r>
        <w:t>8</w:t>
      </w:r>
      <w:proofErr w:type="gramEnd"/>
      <w:r>
        <w:fldChar w:fldCharType="end"/>
      </w:r>
      <w:r>
        <w:t xml:space="preserve"> </w:t>
      </w:r>
      <w:r w:rsidRPr="00783360">
        <w:t>at para</w:t>
      </w:r>
      <w:r>
        <w:t xml:space="preserve"> 47; see </w:t>
      </w:r>
      <w:r w:rsidRPr="00783360">
        <w:rPr>
          <w:i/>
        </w:rPr>
        <w:t xml:space="preserve">Assisted Decision-Making (Capacity) Act 2015, supra </w:t>
      </w:r>
      <w:r w:rsidRPr="00783360">
        <w:t xml:space="preserve">note </w:t>
      </w:r>
      <w:r>
        <w:fldChar w:fldCharType="begin"/>
      </w:r>
      <w:r>
        <w:instrText xml:space="preserve"> NOTEREF _Ref15301961 \h </w:instrText>
      </w:r>
      <w:r>
        <w:fldChar w:fldCharType="separate"/>
      </w:r>
      <w:r>
        <w:t>602</w:t>
      </w:r>
      <w:r>
        <w:fldChar w:fldCharType="end"/>
      </w:r>
      <w:r>
        <w:t xml:space="preserve">, </w:t>
      </w:r>
      <w:proofErr w:type="spellStart"/>
      <w:r>
        <w:t>ss</w:t>
      </w:r>
      <w:proofErr w:type="spellEnd"/>
      <w:r>
        <w:t xml:space="preserve"> 15, 30, 47.</w:t>
      </w:r>
    </w:p>
  </w:footnote>
  <w:footnote w:id="663">
    <w:p w14:paraId="43F22829" w14:textId="16539546" w:rsidR="002774A4" w:rsidRPr="00CA184F" w:rsidRDefault="002774A4" w:rsidP="004E12D4">
      <w:pPr>
        <w:pStyle w:val="FootnoteText"/>
      </w:pPr>
      <w:r>
        <w:rPr>
          <w:rStyle w:val="FootnoteReference"/>
        </w:rPr>
        <w:footnoteRef/>
      </w:r>
      <w:r>
        <w:t xml:space="preserve"> </w:t>
      </w:r>
      <w:r>
        <w:rPr>
          <w:i/>
        </w:rPr>
        <w:t xml:space="preserve">Second Adult Protection Law </w:t>
      </w:r>
      <w:r w:rsidRPr="00010774">
        <w:rPr>
          <w:i/>
        </w:rPr>
        <w:t>(2.ErwSChG),</w:t>
      </w:r>
      <w:r w:rsidRPr="002A28E1">
        <w:t xml:space="preserve"> </w:t>
      </w:r>
      <w:r>
        <w:t>Austria, 2017, online (in German</w:t>
      </w:r>
      <w:proofErr w:type="gramStart"/>
      <w:r>
        <w:t>):</w:t>
      </w:r>
      <w:proofErr w:type="gramEnd"/>
      <w:r>
        <w:t xml:space="preserve"> &lt;</w:t>
      </w:r>
      <w:r w:rsidRPr="0032785A">
        <w:t>https://www.parlament.gv.at/PAKT/VHG/XXV/I/I_01461/fname_607999.pdf</w:t>
      </w:r>
      <w:r>
        <w:t xml:space="preserve">&gt;; see also Austrian Federal Ministry of Constitutional Affairs, Reforms, Deregulation and Justice, </w:t>
      </w:r>
      <w:r>
        <w:rPr>
          <w:i/>
        </w:rPr>
        <w:t>The New Adult Protection Law</w:t>
      </w:r>
      <w:r>
        <w:t>, online: &lt;</w:t>
      </w:r>
      <w:r w:rsidRPr="00CA184F">
        <w:t>https://www.justiz.gv.at/web2013/file/2c94848a60c1583801614709bca3434b.de.0/justiz_kurzbroschuere_erwschg_en_v2.pdf</w:t>
      </w:r>
      <w:r>
        <w:t xml:space="preserve">&gt;. </w:t>
      </w:r>
    </w:p>
  </w:footnote>
  <w:footnote w:id="664">
    <w:p w14:paraId="77733730" w14:textId="4B3B83AA" w:rsidR="002774A4" w:rsidRDefault="002774A4">
      <w:pPr>
        <w:pStyle w:val="FootnoteText"/>
      </w:pPr>
      <w:r>
        <w:rPr>
          <w:rStyle w:val="FootnoteReference"/>
        </w:rPr>
        <w:footnoteRef/>
      </w:r>
      <w:r>
        <w:t xml:space="preserve"> See André </w:t>
      </w:r>
      <w:proofErr w:type="spellStart"/>
      <w:r>
        <w:t>Bzdera</w:t>
      </w:r>
      <w:proofErr w:type="spellEnd"/>
      <w:r>
        <w:t xml:space="preserve">, </w:t>
      </w:r>
      <w:proofErr w:type="spellStart"/>
      <w:r>
        <w:t>Curateur</w:t>
      </w:r>
      <w:proofErr w:type="spellEnd"/>
      <w:r>
        <w:t xml:space="preserve"> public du Québec, </w:t>
      </w:r>
      <w:r>
        <w:rPr>
          <w:i/>
        </w:rPr>
        <w:t xml:space="preserve">An innovative guardianship reform puts Austria at the forefront of efforts to provide equal recognition before the law for persons with intellectual disabilities </w:t>
      </w:r>
      <w:r>
        <w:t xml:space="preserve">(30 January 2019) at </w:t>
      </w:r>
      <w:proofErr w:type="gramStart"/>
      <w:r>
        <w:t>2</w:t>
      </w:r>
      <w:proofErr w:type="gramEnd"/>
      <w:r>
        <w:t xml:space="preserve">, online: </w:t>
      </w:r>
      <w:r>
        <w:rPr>
          <w:i/>
        </w:rPr>
        <w:t xml:space="preserve">Disability and Abuse Project </w:t>
      </w:r>
      <w:r>
        <w:t>&lt;</w:t>
      </w:r>
      <w:r w:rsidRPr="007819B5">
        <w:t>http://disabilityandabuse.org/Austria.pdf</w:t>
      </w:r>
      <w:r>
        <w:t>&gt;.</w:t>
      </w:r>
    </w:p>
  </w:footnote>
  <w:footnote w:id="665">
    <w:p w14:paraId="5C4DBD06" w14:textId="119B34A0" w:rsidR="002774A4" w:rsidRPr="00514337" w:rsidRDefault="002774A4">
      <w:pPr>
        <w:pStyle w:val="FootnoteText"/>
      </w:pPr>
      <w:r>
        <w:rPr>
          <w:rStyle w:val="FootnoteReference"/>
        </w:rPr>
        <w:footnoteRef/>
      </w:r>
      <w:r>
        <w:t xml:space="preserve"> Austrian Federal Ministry of Constitutional Affairs, Reforms, Deregulation and Justice, </w:t>
      </w:r>
      <w:r>
        <w:rPr>
          <w:i/>
        </w:rPr>
        <w:t xml:space="preserve">supra </w:t>
      </w:r>
      <w:r>
        <w:t xml:space="preserve">note </w:t>
      </w:r>
      <w:r>
        <w:fldChar w:fldCharType="begin"/>
      </w:r>
      <w:r>
        <w:instrText xml:space="preserve"> NOTEREF _Ref15302271 \h </w:instrText>
      </w:r>
      <w:r>
        <w:fldChar w:fldCharType="separate"/>
      </w:r>
      <w:r>
        <w:t>663</w:t>
      </w:r>
      <w:r>
        <w:fldChar w:fldCharType="end"/>
      </w:r>
      <w:r>
        <w:t xml:space="preserve"> at </w:t>
      </w:r>
      <w:proofErr w:type="gramStart"/>
      <w:r>
        <w:t>1</w:t>
      </w:r>
      <w:proofErr w:type="gramEnd"/>
      <w:r>
        <w:t>.</w:t>
      </w:r>
    </w:p>
  </w:footnote>
  <w:footnote w:id="666">
    <w:p w14:paraId="29CF08BA" w14:textId="4E472818" w:rsidR="002774A4" w:rsidRPr="00AD1740" w:rsidRDefault="002774A4">
      <w:pPr>
        <w:pStyle w:val="FootnoteText"/>
        <w:rPr>
          <w:i/>
        </w:rPr>
      </w:pPr>
      <w:r>
        <w:rPr>
          <w:rStyle w:val="FootnoteReference"/>
        </w:rPr>
        <w:footnoteRef/>
      </w:r>
      <w:r>
        <w:t xml:space="preserve"> </w:t>
      </w:r>
      <w:r>
        <w:rPr>
          <w:i/>
        </w:rPr>
        <w:t>Ibid.</w:t>
      </w:r>
    </w:p>
  </w:footnote>
  <w:footnote w:id="667">
    <w:p w14:paraId="6D641143" w14:textId="3F83AEB7" w:rsidR="002774A4" w:rsidRPr="004F0CDE" w:rsidRDefault="002774A4">
      <w:pPr>
        <w:pStyle w:val="FootnoteText"/>
      </w:pPr>
      <w:r>
        <w:rPr>
          <w:rStyle w:val="FootnoteReference"/>
        </w:rPr>
        <w:footnoteRef/>
      </w:r>
      <w:r>
        <w:t xml:space="preserve"> “Convention on the Rights of Persons with Disabilities,” </w:t>
      </w:r>
      <w:r>
        <w:rPr>
          <w:i/>
        </w:rPr>
        <w:t xml:space="preserve">supra </w:t>
      </w:r>
      <w:r>
        <w:t xml:space="preserve">note </w:t>
      </w:r>
      <w:r>
        <w:fldChar w:fldCharType="begin"/>
      </w:r>
      <w:r>
        <w:instrText xml:space="preserve"> NOTEREF _Ref15297432 \h </w:instrText>
      </w:r>
      <w:r>
        <w:fldChar w:fldCharType="separate"/>
      </w:r>
      <w:r>
        <w:t>20</w:t>
      </w:r>
      <w:r>
        <w:fldChar w:fldCharType="end"/>
      </w:r>
      <w:r>
        <w:t>.</w:t>
      </w:r>
    </w:p>
  </w:footnote>
  <w:footnote w:id="668">
    <w:p w14:paraId="75653269" w14:textId="6363D65A" w:rsidR="002774A4" w:rsidRPr="00785419" w:rsidRDefault="002774A4">
      <w:pPr>
        <w:pStyle w:val="FootnoteText"/>
      </w:pPr>
      <w:r>
        <w:rPr>
          <w:rStyle w:val="FootnoteReference"/>
        </w:rPr>
        <w:footnoteRef/>
      </w:r>
      <w:r>
        <w:t xml:space="preserve"> Committee on the Rights of Persons with Disabilities, </w:t>
      </w:r>
      <w:r>
        <w:rPr>
          <w:i/>
        </w:rPr>
        <w:t xml:space="preserve">Concluding observations on the initial report of Austria </w:t>
      </w:r>
      <w:r>
        <w:t>(30 September 2013) at para 27, online: &lt;</w:t>
      </w:r>
      <w:r w:rsidRPr="00741167">
        <w:t xml:space="preserve"> </w:t>
      </w:r>
      <w:hyperlink r:id="rId26" w:history="1">
        <w:r w:rsidRPr="00CA63FA">
          <w:rPr>
            <w:rStyle w:val="Hyperlink"/>
          </w:rPr>
          <w:t>http://docstore.ohchr.org/SelfServices/FilesHandler.ashx?enc=6QkG1d%2fPPRiCAqhKb7yhsnzSGolKOaUX8SsM2PfxU7s9lOchc%2bi0vJdc3TEt6JuQH6d6LwuOqunaiCbf0Z0e%2b%2fWMb4CH5VprCrZY%2bNACxgG%2b3FQ4iHroX8O6TU68Yogo</w:t>
        </w:r>
      </w:hyperlink>
      <w:r>
        <w:t xml:space="preserve">&gt;. </w:t>
      </w:r>
    </w:p>
  </w:footnote>
  <w:footnote w:id="669">
    <w:p w14:paraId="4342076B" w14:textId="0823203A" w:rsidR="002774A4" w:rsidRPr="007A078C" w:rsidRDefault="002774A4" w:rsidP="00E6607D">
      <w:pPr>
        <w:rPr>
          <w:rFonts w:ascii="times" w:hAnsi="times"/>
          <w:sz w:val="20"/>
          <w:szCs w:val="20"/>
        </w:rPr>
      </w:pPr>
      <w:r w:rsidRPr="007A078C">
        <w:rPr>
          <w:rStyle w:val="FootnoteReference"/>
          <w:rFonts w:ascii="times" w:hAnsi="times"/>
          <w:sz w:val="20"/>
          <w:szCs w:val="20"/>
        </w:rPr>
        <w:footnoteRef/>
      </w:r>
      <w:r w:rsidRPr="007A078C">
        <w:rPr>
          <w:rFonts w:ascii="times" w:hAnsi="times"/>
          <w:sz w:val="20"/>
          <w:szCs w:val="20"/>
        </w:rPr>
        <w:t xml:space="preserve"> </w:t>
      </w:r>
      <w:proofErr w:type="spellStart"/>
      <w:r w:rsidRPr="007A078C">
        <w:rPr>
          <w:rFonts w:ascii="times" w:hAnsi="times" w:cs="Segoe UI"/>
          <w:color w:val="000000"/>
          <w:sz w:val="20"/>
          <w:szCs w:val="20"/>
          <w:shd w:val="clear" w:color="auto" w:fill="FFFFFF"/>
        </w:rPr>
        <w:t>Österreichischer</w:t>
      </w:r>
      <w:proofErr w:type="spellEnd"/>
      <w:r w:rsidRPr="007A078C">
        <w:rPr>
          <w:rFonts w:ascii="times" w:hAnsi="times" w:cs="Segoe UI"/>
          <w:color w:val="000000"/>
          <w:sz w:val="20"/>
          <w:szCs w:val="20"/>
          <w:shd w:val="clear" w:color="auto" w:fill="FFFFFF"/>
        </w:rPr>
        <w:t xml:space="preserve"> </w:t>
      </w:r>
      <w:proofErr w:type="spellStart"/>
      <w:r w:rsidRPr="007A078C">
        <w:rPr>
          <w:rFonts w:ascii="times" w:hAnsi="times" w:cs="Segoe UI"/>
          <w:color w:val="000000"/>
          <w:sz w:val="20"/>
          <w:szCs w:val="20"/>
          <w:shd w:val="clear" w:color="auto" w:fill="FFFFFF"/>
        </w:rPr>
        <w:t>Behindertenrat</w:t>
      </w:r>
      <w:proofErr w:type="spellEnd"/>
      <w:r w:rsidRPr="007A078C">
        <w:rPr>
          <w:rFonts w:ascii="times" w:hAnsi="times" w:cs="Segoe UI"/>
          <w:color w:val="000000"/>
          <w:sz w:val="20"/>
          <w:szCs w:val="20"/>
          <w:shd w:val="clear" w:color="auto" w:fill="FFFFFF"/>
        </w:rPr>
        <w:t xml:space="preserve"> (Austrian Disability Council),</w:t>
      </w:r>
      <w:r>
        <w:rPr>
          <w:rFonts w:ascii="times" w:hAnsi="times" w:cs="Segoe UI"/>
          <w:color w:val="000000"/>
          <w:sz w:val="20"/>
          <w:szCs w:val="20"/>
          <w:shd w:val="clear" w:color="auto" w:fill="FFFFFF"/>
        </w:rPr>
        <w:t xml:space="preserve"> </w:t>
      </w:r>
      <w:r>
        <w:rPr>
          <w:rFonts w:ascii="times" w:hAnsi="times" w:cs="Segoe UI"/>
          <w:i/>
          <w:color w:val="000000"/>
          <w:sz w:val="20"/>
          <w:szCs w:val="20"/>
          <w:shd w:val="clear" w:color="auto" w:fill="FFFFFF"/>
        </w:rPr>
        <w:t xml:space="preserve">Second Alternative Report on the Implementation of the UN Convention on the Rights of Persons with Disabilities in Austria </w:t>
      </w:r>
      <w:r>
        <w:rPr>
          <w:rFonts w:ascii="times" w:hAnsi="times" w:cs="Segoe UI"/>
          <w:color w:val="000000"/>
          <w:sz w:val="20"/>
          <w:szCs w:val="20"/>
          <w:shd w:val="clear" w:color="auto" w:fill="FFFFFF"/>
        </w:rPr>
        <w:t>(July 2018), online: &lt;</w:t>
      </w:r>
      <w:r w:rsidRPr="000458CD">
        <w:t xml:space="preserve"> </w:t>
      </w:r>
      <w:hyperlink r:id="rId27" w:history="1">
        <w:r w:rsidRPr="00CA63FA">
          <w:rPr>
            <w:rStyle w:val="Hyperlink"/>
            <w:rFonts w:ascii="times" w:hAnsi="times" w:cs="Segoe UI"/>
            <w:sz w:val="20"/>
            <w:szCs w:val="20"/>
            <w:shd w:val="clear" w:color="auto" w:fill="FFFFFF"/>
          </w:rPr>
          <w:t>https://tbinternet.ohchr.org/Treaties/CRPD/Shared%20Documents/AUT/INT_CRPD_ICS_AUT_31755_E.DOCX</w:t>
        </w:r>
      </w:hyperlink>
      <w:r>
        <w:rPr>
          <w:rFonts w:ascii="times" w:hAnsi="times" w:cs="Segoe UI"/>
          <w:color w:val="000000"/>
          <w:sz w:val="20"/>
          <w:szCs w:val="20"/>
          <w:shd w:val="clear" w:color="auto" w:fill="FFFFFF"/>
        </w:rPr>
        <w:t xml:space="preserve">&gt;. </w:t>
      </w:r>
    </w:p>
  </w:footnote>
  <w:footnote w:id="670">
    <w:p w14:paraId="3340DE15" w14:textId="61DEFC3D" w:rsidR="002774A4" w:rsidRDefault="002774A4">
      <w:pPr>
        <w:pStyle w:val="FootnoteText"/>
      </w:pPr>
      <w:r>
        <w:rPr>
          <w:rStyle w:val="FootnoteReference"/>
        </w:rPr>
        <w:footnoteRef/>
      </w:r>
      <w:r>
        <w:t xml:space="preserve"> Austrian Federal Ministry of Constitutional Affairs, Reforms, Deregulation and Justice, </w:t>
      </w:r>
      <w:r>
        <w:rPr>
          <w:i/>
        </w:rPr>
        <w:t xml:space="preserve">supra </w:t>
      </w:r>
      <w:r>
        <w:t xml:space="preserve">note </w:t>
      </w:r>
      <w:r>
        <w:fldChar w:fldCharType="begin"/>
      </w:r>
      <w:r>
        <w:instrText xml:space="preserve"> NOTEREF _Ref15302271 \h </w:instrText>
      </w:r>
      <w:r>
        <w:fldChar w:fldCharType="separate"/>
      </w:r>
      <w:r>
        <w:t>663</w:t>
      </w:r>
      <w:r>
        <w:fldChar w:fldCharType="end"/>
      </w:r>
      <w:r>
        <w:t xml:space="preserve"> at </w:t>
      </w:r>
      <w:proofErr w:type="gramStart"/>
      <w:r>
        <w:t>1</w:t>
      </w:r>
      <w:proofErr w:type="gramEnd"/>
      <w:r>
        <w:t>.</w:t>
      </w:r>
    </w:p>
  </w:footnote>
  <w:footnote w:id="671">
    <w:p w14:paraId="73B8BF94" w14:textId="4C48496F" w:rsidR="002774A4" w:rsidRPr="00E77744" w:rsidRDefault="002774A4">
      <w:pPr>
        <w:pStyle w:val="FootnoteText"/>
        <w:rPr>
          <w:i/>
        </w:rPr>
      </w:pPr>
      <w:r>
        <w:rPr>
          <w:rStyle w:val="FootnoteReference"/>
        </w:rPr>
        <w:footnoteRef/>
      </w:r>
      <w:r>
        <w:t xml:space="preserve"> </w:t>
      </w:r>
      <w:r>
        <w:rPr>
          <w:i/>
        </w:rPr>
        <w:t>Ibid.</w:t>
      </w:r>
    </w:p>
  </w:footnote>
  <w:footnote w:id="672">
    <w:p w14:paraId="13557953" w14:textId="0B0F8D3C" w:rsidR="002774A4" w:rsidRPr="00877FA6" w:rsidRDefault="002774A4">
      <w:pPr>
        <w:pStyle w:val="FootnoteText"/>
        <w:rPr>
          <w:i/>
        </w:rPr>
      </w:pPr>
      <w:r>
        <w:rPr>
          <w:rStyle w:val="FootnoteReference"/>
        </w:rPr>
        <w:footnoteRef/>
      </w:r>
      <w:r>
        <w:t xml:space="preserve"> </w:t>
      </w:r>
      <w:r>
        <w:rPr>
          <w:i/>
        </w:rPr>
        <w:t>Ibid.</w:t>
      </w:r>
    </w:p>
  </w:footnote>
  <w:footnote w:id="673">
    <w:p w14:paraId="24B22159" w14:textId="54C1505D" w:rsidR="002774A4" w:rsidRPr="004438D6" w:rsidRDefault="002774A4">
      <w:pPr>
        <w:pStyle w:val="FootnoteText"/>
        <w:rPr>
          <w:i/>
        </w:rPr>
      </w:pPr>
      <w:r>
        <w:rPr>
          <w:rStyle w:val="FootnoteReference"/>
        </w:rPr>
        <w:footnoteRef/>
      </w:r>
      <w:r>
        <w:t xml:space="preserve"> </w:t>
      </w:r>
      <w:r>
        <w:rPr>
          <w:i/>
        </w:rPr>
        <w:t>Ibid.</w:t>
      </w:r>
    </w:p>
  </w:footnote>
  <w:footnote w:id="674">
    <w:p w14:paraId="236E7B09" w14:textId="2828D30A" w:rsidR="002774A4" w:rsidRPr="00973B6F" w:rsidRDefault="002774A4">
      <w:pPr>
        <w:pStyle w:val="FootnoteText"/>
        <w:rPr>
          <w:i/>
        </w:rPr>
      </w:pPr>
      <w:r>
        <w:rPr>
          <w:rStyle w:val="FootnoteReference"/>
        </w:rPr>
        <w:footnoteRef/>
      </w:r>
      <w:r>
        <w:t xml:space="preserve"> </w:t>
      </w:r>
      <w:r>
        <w:rPr>
          <w:i/>
        </w:rPr>
        <w:t>Ibid.</w:t>
      </w:r>
    </w:p>
  </w:footnote>
  <w:footnote w:id="675">
    <w:p w14:paraId="75D33605" w14:textId="07A3C7E1" w:rsidR="002774A4" w:rsidRPr="00EC0E61" w:rsidRDefault="002774A4">
      <w:pPr>
        <w:pStyle w:val="FootnoteText"/>
      </w:pPr>
      <w:r>
        <w:rPr>
          <w:rStyle w:val="FootnoteReference"/>
        </w:rPr>
        <w:footnoteRef/>
      </w:r>
      <w:r>
        <w:t xml:space="preserve"> </w:t>
      </w:r>
      <w:r>
        <w:rPr>
          <w:i/>
        </w:rPr>
        <w:t xml:space="preserve">Second Adult Protection Law </w:t>
      </w:r>
      <w:r w:rsidRPr="00010774">
        <w:rPr>
          <w:i/>
        </w:rPr>
        <w:t>(2.ErwSChG)</w:t>
      </w:r>
      <w:r>
        <w:rPr>
          <w:i/>
        </w:rPr>
        <w:t xml:space="preserve">, supra </w:t>
      </w:r>
      <w:r>
        <w:t xml:space="preserve">note </w:t>
      </w:r>
      <w:r>
        <w:fldChar w:fldCharType="begin"/>
      </w:r>
      <w:r>
        <w:instrText xml:space="preserve"> NOTEREF _Ref15302271 \h </w:instrText>
      </w:r>
      <w:r>
        <w:fldChar w:fldCharType="separate"/>
      </w:r>
      <w:r>
        <w:t>663</w:t>
      </w:r>
      <w:r>
        <w:fldChar w:fldCharType="end"/>
      </w:r>
      <w:r>
        <w:t>,</w:t>
      </w:r>
      <w:r>
        <w:rPr>
          <w:i/>
        </w:rPr>
        <w:t xml:space="preserve"> </w:t>
      </w:r>
      <w:r>
        <w:t>art 293(1).</w:t>
      </w:r>
    </w:p>
  </w:footnote>
  <w:footnote w:id="676">
    <w:p w14:paraId="78FE8595" w14:textId="735C7ACD" w:rsidR="002774A4" w:rsidRPr="00ED2482" w:rsidRDefault="002774A4">
      <w:pPr>
        <w:pStyle w:val="FootnoteText"/>
      </w:pPr>
      <w:r>
        <w:rPr>
          <w:rStyle w:val="FootnoteReference"/>
        </w:rPr>
        <w:footnoteRef/>
      </w:r>
      <w:r>
        <w:t xml:space="preserve"> </w:t>
      </w:r>
      <w:r>
        <w:rPr>
          <w:i/>
        </w:rPr>
        <w:t xml:space="preserve">Ibid, </w:t>
      </w:r>
      <w:r>
        <w:t>art 239(2).</w:t>
      </w:r>
    </w:p>
  </w:footnote>
  <w:footnote w:id="677">
    <w:p w14:paraId="1D95CE6B" w14:textId="5D15AF59" w:rsidR="002774A4" w:rsidRPr="008D1C43" w:rsidRDefault="002774A4">
      <w:pPr>
        <w:pStyle w:val="FootnoteText"/>
      </w:pPr>
      <w:r>
        <w:rPr>
          <w:rStyle w:val="FootnoteReference"/>
        </w:rPr>
        <w:footnoteRef/>
      </w:r>
      <w:r>
        <w:t xml:space="preserve"> </w:t>
      </w:r>
      <w:r>
        <w:rPr>
          <w:i/>
        </w:rPr>
        <w:t xml:space="preserve">Ibid, </w:t>
      </w:r>
      <w:r>
        <w:t>art 240(1).</w:t>
      </w:r>
    </w:p>
  </w:footnote>
  <w:footnote w:id="678">
    <w:p w14:paraId="7F7C9BDE" w14:textId="4C8D994C" w:rsidR="002774A4" w:rsidRPr="0074654F" w:rsidRDefault="002774A4">
      <w:pPr>
        <w:pStyle w:val="FootnoteText"/>
      </w:pPr>
      <w:r>
        <w:rPr>
          <w:rStyle w:val="FootnoteReference"/>
        </w:rPr>
        <w:footnoteRef/>
      </w:r>
      <w:r>
        <w:t xml:space="preserve"> </w:t>
      </w:r>
      <w:r>
        <w:rPr>
          <w:i/>
        </w:rPr>
        <w:t xml:space="preserve">Ibid, </w:t>
      </w:r>
      <w:r>
        <w:t>art 240(2).</w:t>
      </w:r>
    </w:p>
  </w:footnote>
  <w:footnote w:id="679">
    <w:p w14:paraId="78D7B129" w14:textId="38FEF3BB" w:rsidR="002774A4" w:rsidRPr="00626048" w:rsidRDefault="002774A4">
      <w:pPr>
        <w:pStyle w:val="FootnoteText"/>
      </w:pPr>
      <w:r>
        <w:rPr>
          <w:rStyle w:val="FootnoteReference"/>
        </w:rPr>
        <w:footnoteRef/>
      </w:r>
      <w:r>
        <w:t xml:space="preserve"> </w:t>
      </w:r>
      <w:r>
        <w:rPr>
          <w:i/>
        </w:rPr>
        <w:t xml:space="preserve">Ibid, </w:t>
      </w:r>
      <w:r>
        <w:t xml:space="preserve">art </w:t>
      </w:r>
      <w:proofErr w:type="gramStart"/>
      <w:r>
        <w:t>241.</w:t>
      </w:r>
      <w:proofErr w:type="gramEnd"/>
    </w:p>
  </w:footnote>
  <w:footnote w:id="680">
    <w:p w14:paraId="78F7B3C2" w14:textId="1ECCB857" w:rsidR="002774A4" w:rsidRDefault="002774A4">
      <w:pPr>
        <w:pStyle w:val="FootnoteText"/>
      </w:pPr>
      <w:r>
        <w:rPr>
          <w:rStyle w:val="FootnoteReference"/>
        </w:rPr>
        <w:footnoteRef/>
      </w:r>
      <w:r>
        <w:t xml:space="preserve"> Austrian Federal Ministry of Constitutional Affairs, Reforms, Deregulation and Justice, </w:t>
      </w:r>
      <w:r>
        <w:rPr>
          <w:i/>
        </w:rPr>
        <w:t xml:space="preserve">supra </w:t>
      </w:r>
      <w:r>
        <w:t xml:space="preserve">note </w:t>
      </w:r>
      <w:r>
        <w:fldChar w:fldCharType="begin"/>
      </w:r>
      <w:r>
        <w:instrText xml:space="preserve"> NOTEREF _Ref15302271 \h </w:instrText>
      </w:r>
      <w:r>
        <w:fldChar w:fldCharType="separate"/>
      </w:r>
      <w:r>
        <w:t>663</w:t>
      </w:r>
      <w:r>
        <w:fldChar w:fldCharType="end"/>
      </w:r>
      <w:r>
        <w:t xml:space="preserve"> at </w:t>
      </w:r>
      <w:proofErr w:type="gramStart"/>
      <w:r>
        <w:t>4</w:t>
      </w:r>
      <w:proofErr w:type="gramEnd"/>
      <w:r>
        <w:t>.</w:t>
      </w:r>
    </w:p>
  </w:footnote>
  <w:footnote w:id="681">
    <w:p w14:paraId="2BCB6C39" w14:textId="7BF228A8" w:rsidR="002774A4" w:rsidRPr="00CC0C33" w:rsidRDefault="002774A4" w:rsidP="009C77B9">
      <w:pPr>
        <w:pStyle w:val="FootnoteText"/>
      </w:pPr>
      <w:r>
        <w:rPr>
          <w:rStyle w:val="FootnoteReference"/>
        </w:rPr>
        <w:footnoteRef/>
      </w:r>
      <w:r>
        <w:t xml:space="preserve"> </w:t>
      </w:r>
      <w:r>
        <w:rPr>
          <w:i/>
        </w:rPr>
        <w:t xml:space="preserve">Second Adult Protection Law </w:t>
      </w:r>
      <w:r w:rsidRPr="00010774">
        <w:rPr>
          <w:i/>
        </w:rPr>
        <w:t>(2.ErwSChG)</w:t>
      </w:r>
      <w:proofErr w:type="gramStart"/>
      <w:r>
        <w:rPr>
          <w:i/>
        </w:rPr>
        <w:t>,</w:t>
      </w:r>
      <w:proofErr w:type="gramEnd"/>
      <w:r>
        <w:rPr>
          <w:i/>
        </w:rPr>
        <w:t xml:space="preserve"> supra </w:t>
      </w:r>
      <w:r>
        <w:t xml:space="preserve">note </w:t>
      </w:r>
      <w:r>
        <w:fldChar w:fldCharType="begin"/>
      </w:r>
      <w:r>
        <w:instrText xml:space="preserve"> NOTEREF _Ref15302271 \h </w:instrText>
      </w:r>
      <w:r>
        <w:fldChar w:fldCharType="separate"/>
      </w:r>
      <w:r>
        <w:t>663</w:t>
      </w:r>
      <w:r>
        <w:fldChar w:fldCharType="end"/>
      </w:r>
      <w:r>
        <w:rPr>
          <w:i/>
        </w:rPr>
        <w:t xml:space="preserve">, </w:t>
      </w:r>
      <w:r>
        <w:t>art 244.</w:t>
      </w:r>
    </w:p>
  </w:footnote>
  <w:footnote w:id="682">
    <w:p w14:paraId="60474D31" w14:textId="29578DDC" w:rsidR="002774A4" w:rsidRPr="00963C3F" w:rsidRDefault="002774A4">
      <w:pPr>
        <w:pStyle w:val="FootnoteText"/>
      </w:pPr>
      <w:r w:rsidRPr="002B259C">
        <w:rPr>
          <w:rStyle w:val="FootnoteReference"/>
        </w:rPr>
        <w:footnoteRef/>
      </w:r>
      <w:r w:rsidRPr="002B259C">
        <w:t xml:space="preserve"> A</w:t>
      </w:r>
      <w:r>
        <w:t xml:space="preserve">ustrian Federal Ministry of Constitutional Affairs, Reforms, Deregulation and Justice, </w:t>
      </w:r>
      <w:r>
        <w:rPr>
          <w:i/>
        </w:rPr>
        <w:t xml:space="preserve">supra </w:t>
      </w:r>
      <w:r>
        <w:t xml:space="preserve">note </w:t>
      </w:r>
      <w:r>
        <w:fldChar w:fldCharType="begin"/>
      </w:r>
      <w:r>
        <w:instrText xml:space="preserve"> NOTEREF _Ref15302271 \h </w:instrText>
      </w:r>
      <w:r>
        <w:fldChar w:fldCharType="separate"/>
      </w:r>
      <w:r>
        <w:t>663</w:t>
      </w:r>
      <w:r>
        <w:fldChar w:fldCharType="end"/>
      </w:r>
      <w:r>
        <w:t xml:space="preserve"> at </w:t>
      </w:r>
      <w:proofErr w:type="gramStart"/>
      <w:r>
        <w:t>8</w:t>
      </w:r>
      <w:proofErr w:type="gramEnd"/>
      <w:r>
        <w:t>.</w:t>
      </w:r>
    </w:p>
  </w:footnote>
  <w:footnote w:id="683">
    <w:p w14:paraId="05A23898" w14:textId="1E5B06D9" w:rsidR="002774A4" w:rsidRPr="00912D18" w:rsidRDefault="002774A4">
      <w:pPr>
        <w:pStyle w:val="FootnoteText"/>
      </w:pPr>
      <w:r>
        <w:rPr>
          <w:rStyle w:val="FootnoteReference"/>
        </w:rPr>
        <w:footnoteRef/>
      </w:r>
      <w:r>
        <w:t xml:space="preserve"> </w:t>
      </w:r>
      <w:proofErr w:type="spellStart"/>
      <w:r>
        <w:t>Bzdera</w:t>
      </w:r>
      <w:proofErr w:type="spellEnd"/>
      <w:r>
        <w:t xml:space="preserve">, </w:t>
      </w:r>
      <w:r>
        <w:rPr>
          <w:i/>
        </w:rPr>
        <w:t xml:space="preserve">supra </w:t>
      </w:r>
      <w:r>
        <w:t xml:space="preserve">note </w:t>
      </w:r>
      <w:r>
        <w:fldChar w:fldCharType="begin"/>
      </w:r>
      <w:r>
        <w:instrText xml:space="preserve"> NOTEREF _Ref15302420 \h </w:instrText>
      </w:r>
      <w:r>
        <w:fldChar w:fldCharType="separate"/>
      </w:r>
      <w:r>
        <w:t>664</w:t>
      </w:r>
      <w:r>
        <w:fldChar w:fldCharType="end"/>
      </w:r>
      <w:r>
        <w:t xml:space="preserve"> at 2-3.</w:t>
      </w:r>
    </w:p>
  </w:footnote>
  <w:footnote w:id="684">
    <w:p w14:paraId="3F8A05F3" w14:textId="24F5BA82" w:rsidR="002774A4" w:rsidRPr="005A5F37" w:rsidRDefault="002774A4">
      <w:pPr>
        <w:pStyle w:val="FootnoteText"/>
        <w:rPr>
          <w:i/>
        </w:rPr>
      </w:pPr>
      <w:r>
        <w:rPr>
          <w:rStyle w:val="FootnoteReference"/>
        </w:rPr>
        <w:footnoteRef/>
      </w:r>
      <w:r>
        <w:t xml:space="preserve"> Austrian Federal Ministry of Constitutional Affairs, Reforms, Deregulation and Justice, </w:t>
      </w:r>
      <w:r>
        <w:rPr>
          <w:i/>
        </w:rPr>
        <w:t xml:space="preserve">supra </w:t>
      </w:r>
      <w:r>
        <w:t xml:space="preserve">note </w:t>
      </w:r>
      <w:r>
        <w:fldChar w:fldCharType="begin"/>
      </w:r>
      <w:r>
        <w:instrText xml:space="preserve"> NOTEREF _Ref15302271 \h </w:instrText>
      </w:r>
      <w:r>
        <w:fldChar w:fldCharType="separate"/>
      </w:r>
      <w:r>
        <w:t>663</w:t>
      </w:r>
      <w:r>
        <w:fldChar w:fldCharType="end"/>
      </w:r>
      <w:r>
        <w:t xml:space="preserve"> at </w:t>
      </w:r>
      <w:proofErr w:type="gramStart"/>
      <w:r>
        <w:t>8</w:t>
      </w:r>
      <w:proofErr w:type="gramEnd"/>
      <w:r>
        <w:rPr>
          <w:i/>
        </w:rPr>
        <w:t>.</w:t>
      </w:r>
    </w:p>
  </w:footnote>
  <w:footnote w:id="685">
    <w:p w14:paraId="320B72F1" w14:textId="7570002E" w:rsidR="002774A4" w:rsidRPr="007D7458" w:rsidRDefault="002774A4" w:rsidP="00675773">
      <w:pPr>
        <w:pStyle w:val="FootnoteText"/>
      </w:pPr>
      <w:r>
        <w:rPr>
          <w:rStyle w:val="FootnoteReference"/>
        </w:rPr>
        <w:footnoteRef/>
      </w:r>
      <w:r>
        <w:t xml:space="preserve"> </w:t>
      </w:r>
      <w:proofErr w:type="spellStart"/>
      <w:r>
        <w:t>Bzdera</w:t>
      </w:r>
      <w:proofErr w:type="spellEnd"/>
      <w:r>
        <w:t xml:space="preserve">, </w:t>
      </w:r>
      <w:r>
        <w:rPr>
          <w:i/>
        </w:rPr>
        <w:t xml:space="preserve">supra </w:t>
      </w:r>
      <w:r>
        <w:t xml:space="preserve">note </w:t>
      </w:r>
      <w:r>
        <w:fldChar w:fldCharType="begin"/>
      </w:r>
      <w:r>
        <w:instrText xml:space="preserve"> NOTEREF _Ref15302420 \h </w:instrText>
      </w:r>
      <w:r>
        <w:fldChar w:fldCharType="separate"/>
      </w:r>
      <w:r>
        <w:t>664</w:t>
      </w:r>
      <w:r>
        <w:fldChar w:fldCharType="end"/>
      </w:r>
      <w:r>
        <w:t xml:space="preserve"> at </w:t>
      </w:r>
      <w:proofErr w:type="gramStart"/>
      <w:r>
        <w:t>2</w:t>
      </w:r>
      <w:proofErr w:type="gramEnd"/>
      <w:r>
        <w:t>.</w:t>
      </w:r>
    </w:p>
  </w:footnote>
  <w:footnote w:id="686">
    <w:p w14:paraId="14515C66" w14:textId="5B244431" w:rsidR="002774A4" w:rsidRPr="005A5F37" w:rsidRDefault="002774A4">
      <w:pPr>
        <w:pStyle w:val="FootnoteText"/>
        <w:rPr>
          <w:i/>
        </w:rPr>
      </w:pPr>
      <w:r>
        <w:rPr>
          <w:rStyle w:val="FootnoteReference"/>
        </w:rPr>
        <w:footnoteRef/>
      </w:r>
      <w:r>
        <w:t xml:space="preserve"> Austrian Federal Ministry of Constitutional Affairs, Reforms, Deregulation and Justice, </w:t>
      </w:r>
      <w:r>
        <w:rPr>
          <w:i/>
        </w:rPr>
        <w:t xml:space="preserve">supra </w:t>
      </w:r>
      <w:r>
        <w:t xml:space="preserve">note </w:t>
      </w:r>
      <w:r>
        <w:fldChar w:fldCharType="begin"/>
      </w:r>
      <w:r>
        <w:instrText xml:space="preserve"> NOTEREF _Ref15302271 \h </w:instrText>
      </w:r>
      <w:r>
        <w:fldChar w:fldCharType="separate"/>
      </w:r>
      <w:r>
        <w:t>663</w:t>
      </w:r>
      <w:r>
        <w:fldChar w:fldCharType="end"/>
      </w:r>
      <w:r>
        <w:t xml:space="preserve"> at </w:t>
      </w:r>
      <w:proofErr w:type="gramStart"/>
      <w:r>
        <w:t>8</w:t>
      </w:r>
      <w:proofErr w:type="gramEnd"/>
      <w:r>
        <w:rPr>
          <w:i/>
        </w:rPr>
        <w:t>.</w:t>
      </w:r>
    </w:p>
  </w:footnote>
  <w:footnote w:id="687">
    <w:p w14:paraId="35774102" w14:textId="3F46B776" w:rsidR="002774A4" w:rsidRPr="00D561BB" w:rsidRDefault="002774A4">
      <w:pPr>
        <w:pStyle w:val="FootnoteText"/>
      </w:pPr>
      <w:r>
        <w:rPr>
          <w:rStyle w:val="FootnoteReference"/>
        </w:rPr>
        <w:footnoteRef/>
      </w:r>
      <w:r>
        <w:t xml:space="preserve"> </w:t>
      </w:r>
      <w:r>
        <w:rPr>
          <w:i/>
        </w:rPr>
        <w:t xml:space="preserve">Second Adult Protection Law </w:t>
      </w:r>
      <w:r w:rsidRPr="00010774">
        <w:rPr>
          <w:i/>
        </w:rPr>
        <w:t>(2.ErwSChG)</w:t>
      </w:r>
      <w:proofErr w:type="gramStart"/>
      <w:r>
        <w:rPr>
          <w:i/>
        </w:rPr>
        <w:t>,</w:t>
      </w:r>
      <w:proofErr w:type="gramEnd"/>
      <w:r>
        <w:rPr>
          <w:i/>
        </w:rPr>
        <w:t xml:space="preserve"> supra </w:t>
      </w:r>
      <w:r>
        <w:t xml:space="preserve">note </w:t>
      </w:r>
      <w:r>
        <w:fldChar w:fldCharType="begin"/>
      </w:r>
      <w:r>
        <w:instrText xml:space="preserve"> NOTEREF _Ref15302271 \h </w:instrText>
      </w:r>
      <w:r>
        <w:fldChar w:fldCharType="separate"/>
      </w:r>
      <w:r>
        <w:t>663</w:t>
      </w:r>
      <w:r>
        <w:fldChar w:fldCharType="end"/>
      </w:r>
      <w:r>
        <w:t>, art 264.</w:t>
      </w:r>
    </w:p>
  </w:footnote>
  <w:footnote w:id="688">
    <w:p w14:paraId="6097AB07" w14:textId="3009CA53" w:rsidR="002774A4" w:rsidRPr="00123694" w:rsidRDefault="002774A4">
      <w:pPr>
        <w:pStyle w:val="FootnoteText"/>
      </w:pPr>
      <w:r>
        <w:rPr>
          <w:rStyle w:val="FootnoteReference"/>
        </w:rPr>
        <w:footnoteRef/>
      </w:r>
      <w:r>
        <w:t xml:space="preserve"> </w:t>
      </w:r>
      <w:r>
        <w:rPr>
          <w:i/>
        </w:rPr>
        <w:t xml:space="preserve">Ibid, </w:t>
      </w:r>
      <w:r>
        <w:t>art 265(3).</w:t>
      </w:r>
    </w:p>
  </w:footnote>
  <w:footnote w:id="689">
    <w:p w14:paraId="54C65C0C" w14:textId="29029F31" w:rsidR="002774A4" w:rsidRPr="00A242A2" w:rsidRDefault="002774A4">
      <w:pPr>
        <w:pStyle w:val="FootnoteText"/>
      </w:pPr>
      <w:r>
        <w:rPr>
          <w:rStyle w:val="FootnoteReference"/>
        </w:rPr>
        <w:footnoteRef/>
      </w:r>
      <w:r>
        <w:t xml:space="preserve"> </w:t>
      </w:r>
      <w:r>
        <w:rPr>
          <w:i/>
        </w:rPr>
        <w:t xml:space="preserve">Ibid, </w:t>
      </w:r>
      <w:r>
        <w:t>art 266(1).</w:t>
      </w:r>
    </w:p>
  </w:footnote>
  <w:footnote w:id="690">
    <w:p w14:paraId="23A35FDC" w14:textId="021CC4D1" w:rsidR="002774A4" w:rsidRPr="006253A7" w:rsidRDefault="002774A4" w:rsidP="00CF5424">
      <w:pPr>
        <w:pStyle w:val="FootnoteText"/>
      </w:pPr>
      <w:r>
        <w:rPr>
          <w:rStyle w:val="FootnoteReference"/>
        </w:rPr>
        <w:footnoteRef/>
      </w:r>
      <w:r>
        <w:t xml:space="preserve"> </w:t>
      </w:r>
      <w:r>
        <w:rPr>
          <w:i/>
        </w:rPr>
        <w:t xml:space="preserve">Ibid, </w:t>
      </w:r>
      <w:r>
        <w:t>art 267(2).</w:t>
      </w:r>
    </w:p>
  </w:footnote>
  <w:footnote w:id="691">
    <w:p w14:paraId="5E12AD50" w14:textId="3FBDB4C3" w:rsidR="002774A4" w:rsidRPr="002A0E08" w:rsidRDefault="002774A4">
      <w:pPr>
        <w:pStyle w:val="FootnoteText"/>
      </w:pPr>
      <w:r w:rsidRPr="002A0E08">
        <w:rPr>
          <w:rStyle w:val="FootnoteReference"/>
        </w:rPr>
        <w:footnoteRef/>
      </w:r>
      <w:r w:rsidRPr="002A0E08">
        <w:t xml:space="preserve"> Austrian Federal Ministry of Constitutional Affairs, Reforms, Deregulation and Justice, </w:t>
      </w:r>
      <w:r w:rsidRPr="002A0E08">
        <w:rPr>
          <w:i/>
        </w:rPr>
        <w:t xml:space="preserve">supra </w:t>
      </w:r>
      <w:r w:rsidRPr="002A0E08">
        <w:t xml:space="preserve">note </w:t>
      </w:r>
      <w:r w:rsidRPr="002A0E08">
        <w:fldChar w:fldCharType="begin"/>
      </w:r>
      <w:r w:rsidRPr="002A0E08">
        <w:instrText xml:space="preserve"> NOTEREF _Ref15302271 \h </w:instrText>
      </w:r>
      <w:r>
        <w:instrText xml:space="preserve"> \* MERGEFORMAT </w:instrText>
      </w:r>
      <w:r w:rsidRPr="002A0E08">
        <w:fldChar w:fldCharType="separate"/>
      </w:r>
      <w:r w:rsidRPr="002A0E08">
        <w:t>663</w:t>
      </w:r>
      <w:r w:rsidRPr="002A0E08">
        <w:fldChar w:fldCharType="end"/>
      </w:r>
      <w:r w:rsidRPr="002A0E08">
        <w:t xml:space="preserve"> at </w:t>
      </w:r>
      <w:proofErr w:type="gramStart"/>
      <w:r w:rsidRPr="002A0E08">
        <w:t>8</w:t>
      </w:r>
      <w:proofErr w:type="gramEnd"/>
      <w:r w:rsidRPr="002A0E08">
        <w:t>.</w:t>
      </w:r>
    </w:p>
  </w:footnote>
  <w:footnote w:id="692">
    <w:p w14:paraId="4A3E28DF" w14:textId="154FD1C0" w:rsidR="002774A4" w:rsidRPr="002A0E08" w:rsidRDefault="002774A4">
      <w:pPr>
        <w:pStyle w:val="FootnoteText"/>
      </w:pPr>
      <w:r w:rsidRPr="002A0E08">
        <w:rPr>
          <w:rStyle w:val="FootnoteReference"/>
        </w:rPr>
        <w:footnoteRef/>
      </w:r>
      <w:r w:rsidRPr="002A0E08">
        <w:t xml:space="preserve"> </w:t>
      </w:r>
      <w:r w:rsidRPr="002A0E08">
        <w:rPr>
          <w:i/>
        </w:rPr>
        <w:t xml:space="preserve">Second Adult Protection Law (2.ErwSChG), supra </w:t>
      </w:r>
      <w:r w:rsidRPr="002A0E08">
        <w:t xml:space="preserve">note </w:t>
      </w:r>
      <w:r>
        <w:fldChar w:fldCharType="begin"/>
      </w:r>
      <w:r>
        <w:instrText xml:space="preserve"> NOTEREF _Ref15302271 \h </w:instrText>
      </w:r>
      <w:r>
        <w:fldChar w:fldCharType="separate"/>
      </w:r>
      <w:r>
        <w:t>663</w:t>
      </w:r>
      <w:r>
        <w:fldChar w:fldCharType="end"/>
      </w:r>
      <w:r w:rsidRPr="002A0E08">
        <w:t xml:space="preserve">, art 459; </w:t>
      </w:r>
      <w:proofErr w:type="spellStart"/>
      <w:r w:rsidRPr="002A0E08">
        <w:t>Bzdera</w:t>
      </w:r>
      <w:proofErr w:type="spellEnd"/>
      <w:r w:rsidRPr="002A0E08">
        <w:t xml:space="preserve">, </w:t>
      </w:r>
      <w:r w:rsidRPr="002A0E08">
        <w:rPr>
          <w:i/>
        </w:rPr>
        <w:t xml:space="preserve">supra </w:t>
      </w:r>
      <w:r w:rsidRPr="002A0E08">
        <w:t xml:space="preserve">note </w:t>
      </w:r>
      <w:r>
        <w:fldChar w:fldCharType="begin"/>
      </w:r>
      <w:r>
        <w:instrText xml:space="preserve"> NOTEREF _Ref15302420 \h </w:instrText>
      </w:r>
      <w:r>
        <w:fldChar w:fldCharType="separate"/>
      </w:r>
      <w:r>
        <w:t>664</w:t>
      </w:r>
      <w:r>
        <w:fldChar w:fldCharType="end"/>
      </w:r>
      <w:r w:rsidRPr="002A0E08">
        <w:t xml:space="preserve"> at </w:t>
      </w:r>
      <w:proofErr w:type="gramStart"/>
      <w:r w:rsidRPr="002A0E08">
        <w:t>3</w:t>
      </w:r>
      <w:proofErr w:type="gramEnd"/>
      <w:r w:rsidRPr="002A0E08">
        <w:t>.</w:t>
      </w:r>
    </w:p>
  </w:footnote>
  <w:footnote w:id="693">
    <w:p w14:paraId="7DB1DD2B" w14:textId="4FC46CB0" w:rsidR="002774A4" w:rsidRPr="002A0E08" w:rsidRDefault="002774A4">
      <w:pPr>
        <w:pStyle w:val="FootnoteText"/>
      </w:pPr>
      <w:r w:rsidRPr="002A0E08">
        <w:rPr>
          <w:rStyle w:val="FootnoteReference"/>
        </w:rPr>
        <w:footnoteRef/>
      </w:r>
      <w:r w:rsidRPr="002A0E08">
        <w:t xml:space="preserve"> </w:t>
      </w:r>
      <w:r w:rsidRPr="002A0E08">
        <w:rPr>
          <w:i/>
        </w:rPr>
        <w:t xml:space="preserve">Second Adult Protection Law (2.ErwSChG), supra </w:t>
      </w:r>
      <w:r w:rsidRPr="002A0E08">
        <w:t xml:space="preserve">note </w:t>
      </w:r>
      <w:r>
        <w:fldChar w:fldCharType="begin"/>
      </w:r>
      <w:r>
        <w:instrText xml:space="preserve"> NOTEREF _Ref15302271 \h </w:instrText>
      </w:r>
      <w:r>
        <w:fldChar w:fldCharType="separate"/>
      </w:r>
      <w:r>
        <w:t>663</w:t>
      </w:r>
      <w:r>
        <w:fldChar w:fldCharType="end"/>
      </w:r>
      <w:r w:rsidRPr="002A0E08">
        <w:t>, art 265(4).</w:t>
      </w:r>
    </w:p>
  </w:footnote>
  <w:footnote w:id="694">
    <w:p w14:paraId="222F5317" w14:textId="67151097" w:rsidR="002774A4" w:rsidRPr="002A0E08" w:rsidRDefault="002774A4">
      <w:pPr>
        <w:pStyle w:val="FootnoteText"/>
      </w:pPr>
      <w:r w:rsidRPr="002A0E08">
        <w:rPr>
          <w:rStyle w:val="FootnoteReference"/>
        </w:rPr>
        <w:footnoteRef/>
      </w:r>
      <w:r w:rsidRPr="002A0E08">
        <w:t xml:space="preserve"> </w:t>
      </w:r>
      <w:proofErr w:type="spellStart"/>
      <w:r w:rsidRPr="002A0E08">
        <w:t>Bzdera</w:t>
      </w:r>
      <w:proofErr w:type="spellEnd"/>
      <w:r w:rsidRPr="002A0E08">
        <w:t xml:space="preserve">, </w:t>
      </w:r>
      <w:r w:rsidRPr="002A0E08">
        <w:rPr>
          <w:i/>
        </w:rPr>
        <w:t xml:space="preserve">supra </w:t>
      </w:r>
      <w:r w:rsidRPr="002A0E08">
        <w:t xml:space="preserve">note </w:t>
      </w:r>
      <w:r>
        <w:fldChar w:fldCharType="begin"/>
      </w:r>
      <w:r>
        <w:instrText xml:space="preserve"> NOTEREF _Ref15302420 \h </w:instrText>
      </w:r>
      <w:r>
        <w:fldChar w:fldCharType="separate"/>
      </w:r>
      <w:r>
        <w:t>664</w:t>
      </w:r>
      <w:r>
        <w:fldChar w:fldCharType="end"/>
      </w:r>
      <w:r w:rsidRPr="002A0E08">
        <w:t xml:space="preserve"> at </w:t>
      </w:r>
      <w:proofErr w:type="gramStart"/>
      <w:r w:rsidRPr="002A0E08">
        <w:t>3</w:t>
      </w:r>
      <w:proofErr w:type="gramEnd"/>
      <w:r w:rsidRPr="002A0E08">
        <w:t>.</w:t>
      </w:r>
    </w:p>
  </w:footnote>
  <w:footnote w:id="695">
    <w:p w14:paraId="5ACC6F3C" w14:textId="79AEB009" w:rsidR="002774A4" w:rsidRPr="002A0E08" w:rsidRDefault="002774A4">
      <w:pPr>
        <w:pStyle w:val="FootnoteText"/>
      </w:pPr>
      <w:r w:rsidRPr="002A0E08">
        <w:rPr>
          <w:rStyle w:val="FootnoteReference"/>
        </w:rPr>
        <w:footnoteRef/>
      </w:r>
      <w:r w:rsidRPr="002A0E08">
        <w:t xml:space="preserve"> </w:t>
      </w:r>
      <w:r w:rsidRPr="002A0E08">
        <w:rPr>
          <w:i/>
        </w:rPr>
        <w:t xml:space="preserve">Second Adult Protection Law (2.ErwSChG), supra </w:t>
      </w:r>
      <w:r w:rsidRPr="002A0E08">
        <w:t xml:space="preserve">note </w:t>
      </w:r>
      <w:r>
        <w:fldChar w:fldCharType="begin"/>
      </w:r>
      <w:r>
        <w:instrText xml:space="preserve"> NOTEREF _Ref15302271 \h </w:instrText>
      </w:r>
      <w:r>
        <w:fldChar w:fldCharType="separate"/>
      </w:r>
      <w:r>
        <w:t>663</w:t>
      </w:r>
      <w:r>
        <w:fldChar w:fldCharType="end"/>
      </w:r>
      <w:r w:rsidRPr="002A0E08">
        <w:rPr>
          <w:i/>
        </w:rPr>
        <w:t xml:space="preserve">, </w:t>
      </w:r>
      <w:r w:rsidRPr="002A0E08">
        <w:t>art 265(2).</w:t>
      </w:r>
    </w:p>
  </w:footnote>
  <w:footnote w:id="696">
    <w:p w14:paraId="529921F0" w14:textId="19A44603" w:rsidR="002774A4" w:rsidRPr="002A0E08" w:rsidRDefault="002774A4">
      <w:pPr>
        <w:pStyle w:val="FootnoteText"/>
      </w:pPr>
      <w:r w:rsidRPr="002A0E08">
        <w:rPr>
          <w:rStyle w:val="FootnoteReference"/>
        </w:rPr>
        <w:footnoteRef/>
      </w:r>
      <w:r w:rsidRPr="002A0E08">
        <w:t xml:space="preserve"> </w:t>
      </w:r>
      <w:r w:rsidRPr="002A0E08">
        <w:rPr>
          <w:i/>
        </w:rPr>
        <w:t>Ibid.</w:t>
      </w:r>
    </w:p>
  </w:footnote>
  <w:footnote w:id="697">
    <w:p w14:paraId="54461C1F" w14:textId="520F4922" w:rsidR="002774A4" w:rsidRPr="002A0E08" w:rsidRDefault="002774A4">
      <w:pPr>
        <w:pStyle w:val="FootnoteText"/>
      </w:pPr>
      <w:r w:rsidRPr="002A0E08">
        <w:rPr>
          <w:rStyle w:val="FootnoteReference"/>
        </w:rPr>
        <w:footnoteRef/>
      </w:r>
      <w:r w:rsidRPr="002A0E08">
        <w:t xml:space="preserve"> </w:t>
      </w:r>
      <w:proofErr w:type="spellStart"/>
      <w:r w:rsidRPr="002A0E08">
        <w:t>Bzdera</w:t>
      </w:r>
      <w:proofErr w:type="spellEnd"/>
      <w:r w:rsidRPr="002A0E08">
        <w:t xml:space="preserve">, </w:t>
      </w:r>
      <w:r w:rsidRPr="002A0E08">
        <w:rPr>
          <w:i/>
        </w:rPr>
        <w:t xml:space="preserve">supra </w:t>
      </w:r>
      <w:r w:rsidRPr="002A0E08">
        <w:t xml:space="preserve">note </w:t>
      </w:r>
      <w:r>
        <w:fldChar w:fldCharType="begin"/>
      </w:r>
      <w:r>
        <w:instrText xml:space="preserve"> NOTEREF _Ref15302420 \h </w:instrText>
      </w:r>
      <w:r>
        <w:fldChar w:fldCharType="separate"/>
      </w:r>
      <w:r>
        <w:t>664</w:t>
      </w:r>
      <w:r>
        <w:fldChar w:fldCharType="end"/>
      </w:r>
      <w:r w:rsidRPr="002A0E08">
        <w:t xml:space="preserve"> at </w:t>
      </w:r>
      <w:proofErr w:type="gramStart"/>
      <w:r w:rsidRPr="002A0E08">
        <w:t>3</w:t>
      </w:r>
      <w:proofErr w:type="gramEnd"/>
      <w:r w:rsidRPr="002A0E08">
        <w:t>.</w:t>
      </w:r>
    </w:p>
  </w:footnote>
  <w:footnote w:id="698">
    <w:p w14:paraId="0878B912" w14:textId="2356B92B" w:rsidR="002774A4" w:rsidRPr="002A0E08" w:rsidRDefault="002774A4">
      <w:pPr>
        <w:pStyle w:val="FootnoteText"/>
      </w:pPr>
      <w:r w:rsidRPr="002A0E08">
        <w:rPr>
          <w:rStyle w:val="FootnoteReference"/>
        </w:rPr>
        <w:footnoteRef/>
      </w:r>
      <w:r w:rsidRPr="002A0E08">
        <w:rPr>
          <w:i/>
        </w:rPr>
        <w:t xml:space="preserve"> Second Adult Protection Law (2.ErwSChG), supra </w:t>
      </w:r>
      <w:r w:rsidRPr="002A0E08">
        <w:t xml:space="preserve">note </w:t>
      </w:r>
      <w:r>
        <w:fldChar w:fldCharType="begin"/>
      </w:r>
      <w:r>
        <w:instrText xml:space="preserve"> NOTEREF _Ref15302271 \h </w:instrText>
      </w:r>
      <w:r>
        <w:fldChar w:fldCharType="separate"/>
      </w:r>
      <w:r>
        <w:t>663</w:t>
      </w:r>
      <w:r>
        <w:fldChar w:fldCharType="end"/>
      </w:r>
      <w:r w:rsidRPr="002A0E08">
        <w:t>,</w:t>
      </w:r>
      <w:r w:rsidRPr="002A0E08">
        <w:rPr>
          <w:i/>
        </w:rPr>
        <w:t xml:space="preserve"> </w:t>
      </w:r>
      <w:r w:rsidRPr="002A0E08">
        <w:t>art 268(1).</w:t>
      </w:r>
    </w:p>
  </w:footnote>
  <w:footnote w:id="699">
    <w:p w14:paraId="4E7EDD66" w14:textId="0FB5FE0A" w:rsidR="002774A4" w:rsidRPr="002A0E08" w:rsidRDefault="002774A4">
      <w:pPr>
        <w:pStyle w:val="FootnoteText"/>
      </w:pPr>
      <w:r w:rsidRPr="002A0E08">
        <w:rPr>
          <w:rStyle w:val="FootnoteReference"/>
        </w:rPr>
        <w:footnoteRef/>
      </w:r>
      <w:r w:rsidRPr="002A0E08">
        <w:t xml:space="preserve"> </w:t>
      </w:r>
      <w:r w:rsidRPr="002A0E08">
        <w:rPr>
          <w:i/>
        </w:rPr>
        <w:t xml:space="preserve">Ibid, </w:t>
      </w:r>
      <w:r w:rsidRPr="002A0E08">
        <w:t xml:space="preserve">art </w:t>
      </w:r>
      <w:proofErr w:type="gramStart"/>
      <w:r w:rsidRPr="002A0E08">
        <w:t>268.</w:t>
      </w:r>
      <w:proofErr w:type="gramEnd"/>
    </w:p>
  </w:footnote>
  <w:footnote w:id="700">
    <w:p w14:paraId="23850452" w14:textId="23D6AD18" w:rsidR="002774A4" w:rsidRPr="002A0E08" w:rsidRDefault="002774A4">
      <w:pPr>
        <w:pStyle w:val="FootnoteText"/>
      </w:pPr>
      <w:r w:rsidRPr="002A0E08">
        <w:rPr>
          <w:rStyle w:val="FootnoteReference"/>
        </w:rPr>
        <w:footnoteRef/>
      </w:r>
      <w:r w:rsidRPr="002A0E08">
        <w:t xml:space="preserve"> </w:t>
      </w:r>
      <w:r w:rsidRPr="002A0E08">
        <w:rPr>
          <w:i/>
        </w:rPr>
        <w:t xml:space="preserve">Ibid, </w:t>
      </w:r>
      <w:r w:rsidRPr="002A0E08">
        <w:t xml:space="preserve">art </w:t>
      </w:r>
      <w:proofErr w:type="gramStart"/>
      <w:r w:rsidRPr="002A0E08">
        <w:t>269.</w:t>
      </w:r>
      <w:proofErr w:type="gramEnd"/>
    </w:p>
  </w:footnote>
  <w:footnote w:id="701">
    <w:p w14:paraId="17F1C9CB" w14:textId="518D2008" w:rsidR="002774A4" w:rsidRPr="002A0E08" w:rsidRDefault="002774A4">
      <w:pPr>
        <w:pStyle w:val="FootnoteText"/>
      </w:pPr>
      <w:r w:rsidRPr="002A0E08">
        <w:rPr>
          <w:rStyle w:val="FootnoteReference"/>
        </w:rPr>
        <w:footnoteRef/>
      </w:r>
      <w:r w:rsidRPr="002A0E08">
        <w:t xml:space="preserve"> </w:t>
      </w:r>
      <w:r w:rsidRPr="002A0E08">
        <w:rPr>
          <w:i/>
        </w:rPr>
        <w:t xml:space="preserve">Ibid, </w:t>
      </w:r>
      <w:r w:rsidRPr="002A0E08">
        <w:t>art 270(2).</w:t>
      </w:r>
    </w:p>
  </w:footnote>
  <w:footnote w:id="702">
    <w:p w14:paraId="70F6AA39" w14:textId="0C678EEE" w:rsidR="002774A4" w:rsidRPr="002A0E08" w:rsidRDefault="002774A4">
      <w:pPr>
        <w:pStyle w:val="FootnoteText"/>
        <w:rPr>
          <w:i/>
        </w:rPr>
      </w:pPr>
      <w:r w:rsidRPr="002A0E08">
        <w:rPr>
          <w:rStyle w:val="FootnoteReference"/>
        </w:rPr>
        <w:footnoteRef/>
      </w:r>
      <w:r w:rsidRPr="002A0E08">
        <w:t xml:space="preserve"> </w:t>
      </w:r>
      <w:r w:rsidRPr="002A0E08">
        <w:rPr>
          <w:i/>
        </w:rPr>
        <w:t>Ibid.</w:t>
      </w:r>
    </w:p>
  </w:footnote>
  <w:footnote w:id="703">
    <w:p w14:paraId="6625ACF1" w14:textId="39FE0FD4" w:rsidR="002774A4" w:rsidRPr="003B26D9" w:rsidRDefault="002774A4">
      <w:pPr>
        <w:pStyle w:val="FootnoteText"/>
      </w:pPr>
      <w:r w:rsidRPr="002A0E08">
        <w:rPr>
          <w:rStyle w:val="FootnoteReference"/>
        </w:rPr>
        <w:footnoteRef/>
      </w:r>
      <w:r w:rsidRPr="002A0E08">
        <w:t xml:space="preserve"> </w:t>
      </w:r>
      <w:proofErr w:type="spellStart"/>
      <w:r w:rsidRPr="002A0E08">
        <w:t>Bzdera</w:t>
      </w:r>
      <w:proofErr w:type="spellEnd"/>
      <w:r w:rsidRPr="002A0E08">
        <w:t xml:space="preserve">, </w:t>
      </w:r>
      <w:r w:rsidRPr="002A0E08">
        <w:rPr>
          <w:i/>
        </w:rPr>
        <w:t xml:space="preserve">supra </w:t>
      </w:r>
      <w:r w:rsidRPr="002A0E08">
        <w:t xml:space="preserve">note </w:t>
      </w:r>
      <w:r>
        <w:fldChar w:fldCharType="begin"/>
      </w:r>
      <w:r>
        <w:instrText xml:space="preserve"> NOTEREF _Ref15302420 \h </w:instrText>
      </w:r>
      <w:r>
        <w:fldChar w:fldCharType="separate"/>
      </w:r>
      <w:r>
        <w:t>664</w:t>
      </w:r>
      <w:r>
        <w:fldChar w:fldCharType="end"/>
      </w:r>
      <w:r w:rsidRPr="002A0E08">
        <w:t xml:space="preserve"> at </w:t>
      </w:r>
      <w:proofErr w:type="gramStart"/>
      <w:r w:rsidRPr="002A0E08">
        <w:t>4</w:t>
      </w:r>
      <w:proofErr w:type="gramEnd"/>
      <w:r w:rsidRPr="002A0E08">
        <w:t>.</w:t>
      </w:r>
    </w:p>
  </w:footnote>
  <w:footnote w:id="704">
    <w:p w14:paraId="4BBF5E22" w14:textId="46A7A3CD" w:rsidR="002774A4" w:rsidRPr="005F640A" w:rsidRDefault="002774A4">
      <w:pPr>
        <w:pStyle w:val="FootnoteText"/>
        <w:rPr>
          <w:i/>
        </w:rPr>
      </w:pPr>
      <w:r>
        <w:rPr>
          <w:rStyle w:val="FootnoteReference"/>
        </w:rPr>
        <w:footnoteRef/>
      </w:r>
      <w:r>
        <w:t xml:space="preserve"> </w:t>
      </w:r>
      <w:r>
        <w:rPr>
          <w:i/>
        </w:rPr>
        <w:t>Ibid.</w:t>
      </w:r>
    </w:p>
  </w:footnote>
  <w:footnote w:id="705">
    <w:p w14:paraId="1D99FD8A" w14:textId="4BF5FA33" w:rsidR="002774A4" w:rsidRPr="006D3046" w:rsidRDefault="002774A4">
      <w:pPr>
        <w:pStyle w:val="FootnoteText"/>
      </w:pPr>
      <w:r>
        <w:rPr>
          <w:rStyle w:val="FootnoteReference"/>
        </w:rPr>
        <w:footnoteRef/>
      </w:r>
      <w:r>
        <w:t xml:space="preserve"> </w:t>
      </w:r>
      <w:r>
        <w:rPr>
          <w:i/>
        </w:rPr>
        <w:t xml:space="preserve">Second Adult Protection Law </w:t>
      </w:r>
      <w:r w:rsidRPr="00010774">
        <w:rPr>
          <w:i/>
        </w:rPr>
        <w:t>(2.ErwSChG)</w:t>
      </w:r>
      <w:proofErr w:type="gramStart"/>
      <w:r>
        <w:rPr>
          <w:i/>
        </w:rPr>
        <w:t>,</w:t>
      </w:r>
      <w:proofErr w:type="gramEnd"/>
      <w:r>
        <w:rPr>
          <w:i/>
        </w:rPr>
        <w:t xml:space="preserve"> sup</w:t>
      </w:r>
      <w:r w:rsidRPr="006D3046">
        <w:rPr>
          <w:i/>
        </w:rPr>
        <w:t xml:space="preserve">ra </w:t>
      </w:r>
      <w:r w:rsidRPr="006D3046">
        <w:t xml:space="preserve">note </w:t>
      </w:r>
      <w:r>
        <w:fldChar w:fldCharType="begin"/>
      </w:r>
      <w:r>
        <w:instrText xml:space="preserve"> NOTEREF _Ref15302271 \h </w:instrText>
      </w:r>
      <w:r>
        <w:fldChar w:fldCharType="separate"/>
      </w:r>
      <w:r>
        <w:t>663</w:t>
      </w:r>
      <w:r>
        <w:fldChar w:fldCharType="end"/>
      </w:r>
      <w:r w:rsidRPr="006D3046">
        <w:rPr>
          <w:i/>
        </w:rPr>
        <w:t xml:space="preserve">, </w:t>
      </w:r>
      <w:r w:rsidRPr="006D3046">
        <w:t xml:space="preserve">art 459. </w:t>
      </w:r>
    </w:p>
  </w:footnote>
  <w:footnote w:id="706">
    <w:p w14:paraId="21358331" w14:textId="2F60624D" w:rsidR="002774A4" w:rsidRPr="00C248F8" w:rsidRDefault="002774A4">
      <w:pPr>
        <w:pStyle w:val="FootnoteText"/>
      </w:pPr>
      <w:r w:rsidRPr="006D3046">
        <w:rPr>
          <w:rStyle w:val="FootnoteReference"/>
        </w:rPr>
        <w:footnoteRef/>
      </w:r>
      <w:r w:rsidRPr="006D3046">
        <w:t xml:space="preserve"> </w:t>
      </w:r>
      <w:r w:rsidRPr="006D3046">
        <w:rPr>
          <w:i/>
        </w:rPr>
        <w:t xml:space="preserve">Ibid, </w:t>
      </w:r>
      <w:r w:rsidRPr="006D3046">
        <w:t xml:space="preserve">art </w:t>
      </w:r>
      <w:proofErr w:type="gramStart"/>
      <w:r w:rsidRPr="006D3046">
        <w:t>271.</w:t>
      </w:r>
      <w:proofErr w:type="gramEnd"/>
    </w:p>
  </w:footnote>
  <w:footnote w:id="707">
    <w:p w14:paraId="5F3DB26D" w14:textId="07480BE3" w:rsidR="002774A4" w:rsidRPr="003C7B75" w:rsidRDefault="002774A4">
      <w:pPr>
        <w:pStyle w:val="FootnoteText"/>
      </w:pPr>
      <w:r>
        <w:rPr>
          <w:rStyle w:val="FootnoteReference"/>
        </w:rPr>
        <w:footnoteRef/>
      </w:r>
      <w:r>
        <w:t xml:space="preserve"> </w:t>
      </w:r>
      <w:r>
        <w:rPr>
          <w:i/>
        </w:rPr>
        <w:t>Ibid.</w:t>
      </w:r>
    </w:p>
  </w:footnote>
  <w:footnote w:id="708">
    <w:p w14:paraId="16B89638" w14:textId="13453902" w:rsidR="002774A4" w:rsidRPr="00991FB9" w:rsidRDefault="002774A4">
      <w:pPr>
        <w:pStyle w:val="FootnoteText"/>
      </w:pPr>
      <w:r>
        <w:rPr>
          <w:rStyle w:val="FootnoteReference"/>
        </w:rPr>
        <w:footnoteRef/>
      </w:r>
      <w:r>
        <w:t xml:space="preserve"> </w:t>
      </w:r>
      <w:r>
        <w:rPr>
          <w:i/>
        </w:rPr>
        <w:t>Ibid.</w:t>
      </w:r>
    </w:p>
  </w:footnote>
  <w:footnote w:id="709">
    <w:p w14:paraId="040F2584" w14:textId="6211E5A4" w:rsidR="002774A4" w:rsidRPr="006633BC" w:rsidRDefault="002774A4">
      <w:pPr>
        <w:pStyle w:val="FootnoteText"/>
      </w:pPr>
      <w:r>
        <w:rPr>
          <w:rStyle w:val="FootnoteReference"/>
        </w:rPr>
        <w:footnoteRef/>
      </w:r>
      <w:r>
        <w:t xml:space="preserve"> </w:t>
      </w:r>
      <w:r>
        <w:rPr>
          <w:i/>
        </w:rPr>
        <w:t xml:space="preserve">Ibid, </w:t>
      </w:r>
      <w:r w:rsidRPr="00A55A53">
        <w:t>art</w:t>
      </w:r>
      <w:r>
        <w:rPr>
          <w:i/>
        </w:rPr>
        <w:t xml:space="preserve"> </w:t>
      </w:r>
      <w:proofErr w:type="gramStart"/>
      <w:r>
        <w:t>261.</w:t>
      </w:r>
      <w:proofErr w:type="gramEnd"/>
    </w:p>
  </w:footnote>
  <w:footnote w:id="710">
    <w:p w14:paraId="339FBC2E" w14:textId="20642E5F" w:rsidR="002774A4" w:rsidRPr="001C2511" w:rsidRDefault="002774A4">
      <w:pPr>
        <w:pStyle w:val="FootnoteText"/>
      </w:pPr>
      <w:r>
        <w:rPr>
          <w:rStyle w:val="FootnoteReference"/>
        </w:rPr>
        <w:footnoteRef/>
      </w:r>
      <w:r>
        <w:t xml:space="preserve"> </w:t>
      </w:r>
      <w:r>
        <w:rPr>
          <w:i/>
        </w:rPr>
        <w:t xml:space="preserve">Ibid, </w:t>
      </w:r>
      <w:r>
        <w:t>art 273(1).</w:t>
      </w:r>
    </w:p>
  </w:footnote>
  <w:footnote w:id="711">
    <w:p w14:paraId="6B1D1272" w14:textId="140FEC91" w:rsidR="002774A4" w:rsidRPr="00544A2E" w:rsidRDefault="002774A4">
      <w:pPr>
        <w:pStyle w:val="FootnoteText"/>
      </w:pPr>
      <w:r>
        <w:rPr>
          <w:rStyle w:val="FootnoteReference"/>
        </w:rPr>
        <w:footnoteRef/>
      </w:r>
      <w:r>
        <w:t xml:space="preserve"> </w:t>
      </w:r>
      <w:r>
        <w:rPr>
          <w:i/>
        </w:rPr>
        <w:t xml:space="preserve">Ibid, </w:t>
      </w:r>
      <w:r>
        <w:t>art 274(2).</w:t>
      </w:r>
    </w:p>
  </w:footnote>
  <w:footnote w:id="712">
    <w:p w14:paraId="5ACCD865" w14:textId="4C8D2C6E" w:rsidR="002774A4" w:rsidRPr="00D8600A" w:rsidRDefault="002774A4">
      <w:pPr>
        <w:pStyle w:val="FootnoteText"/>
      </w:pPr>
      <w:r>
        <w:rPr>
          <w:rStyle w:val="FootnoteReference"/>
        </w:rPr>
        <w:footnoteRef/>
      </w:r>
      <w:r>
        <w:rPr>
          <w:i/>
        </w:rPr>
        <w:t xml:space="preserve"> Ibid, </w:t>
      </w:r>
      <w:r w:rsidRPr="00D8600A">
        <w:t>arts 274(3)-(4).</w:t>
      </w:r>
    </w:p>
  </w:footnote>
  <w:footnote w:id="713">
    <w:p w14:paraId="5CFE0CC4" w14:textId="055A4962" w:rsidR="002774A4" w:rsidRPr="00AE1C8E" w:rsidRDefault="002774A4">
      <w:pPr>
        <w:pStyle w:val="FootnoteText"/>
      </w:pPr>
      <w:r w:rsidRPr="00D8600A">
        <w:rPr>
          <w:rStyle w:val="FootnoteReference"/>
        </w:rPr>
        <w:footnoteRef/>
      </w:r>
      <w:r w:rsidRPr="00D8600A">
        <w:t xml:space="preserve"> </w:t>
      </w:r>
      <w:r w:rsidRPr="00D8600A">
        <w:rPr>
          <w:i/>
        </w:rPr>
        <w:t xml:space="preserve">Ibid, </w:t>
      </w:r>
      <w:r w:rsidRPr="00D8600A">
        <w:t xml:space="preserve">art </w:t>
      </w:r>
      <w:proofErr w:type="gramStart"/>
      <w:r w:rsidRPr="00D8600A">
        <w:t>259.</w:t>
      </w:r>
      <w:proofErr w:type="gramEnd"/>
    </w:p>
  </w:footnote>
  <w:footnote w:id="714">
    <w:p w14:paraId="784CEF07" w14:textId="78ADA1C1" w:rsidR="002774A4" w:rsidRPr="006F7EC8" w:rsidRDefault="002774A4">
      <w:pPr>
        <w:pStyle w:val="FootnoteText"/>
      </w:pPr>
      <w:r>
        <w:rPr>
          <w:rStyle w:val="FootnoteReference"/>
        </w:rPr>
        <w:footnoteRef/>
      </w:r>
      <w:r>
        <w:t xml:space="preserve"> </w:t>
      </w:r>
      <w:r>
        <w:rPr>
          <w:i/>
        </w:rPr>
        <w:t xml:space="preserve">Ibid, </w:t>
      </w:r>
      <w:r>
        <w:t>art 272(1).</w:t>
      </w:r>
    </w:p>
  </w:footnote>
  <w:footnote w:id="715">
    <w:p w14:paraId="73B0CC9C" w14:textId="28C304DA" w:rsidR="002774A4" w:rsidRPr="0045320D" w:rsidRDefault="002774A4">
      <w:pPr>
        <w:pStyle w:val="FootnoteText"/>
      </w:pPr>
      <w:r>
        <w:rPr>
          <w:rStyle w:val="FootnoteReference"/>
        </w:rPr>
        <w:footnoteRef/>
      </w:r>
      <w:r>
        <w:t xml:space="preserve"> </w:t>
      </w:r>
      <w:proofErr w:type="spellStart"/>
      <w:r>
        <w:t>Bzdera</w:t>
      </w:r>
      <w:proofErr w:type="spellEnd"/>
      <w:r>
        <w:t xml:space="preserve">, </w:t>
      </w:r>
      <w:r>
        <w:rPr>
          <w:i/>
        </w:rPr>
        <w:t xml:space="preserve">supra </w:t>
      </w:r>
      <w:r>
        <w:t xml:space="preserve">note </w:t>
      </w:r>
      <w:r>
        <w:fldChar w:fldCharType="begin"/>
      </w:r>
      <w:r>
        <w:instrText xml:space="preserve"> NOTEREF _Ref15302420 \h </w:instrText>
      </w:r>
      <w:r>
        <w:fldChar w:fldCharType="separate"/>
      </w:r>
      <w:r>
        <w:t>664</w:t>
      </w:r>
      <w:r>
        <w:fldChar w:fldCharType="end"/>
      </w:r>
      <w:r>
        <w:t xml:space="preserve"> at </w:t>
      </w:r>
      <w:proofErr w:type="gramStart"/>
      <w:r>
        <w:t>4</w:t>
      </w:r>
      <w:proofErr w:type="gramEnd"/>
      <w:r>
        <w:t>.</w:t>
      </w:r>
    </w:p>
  </w:footnote>
  <w:footnote w:id="716">
    <w:p w14:paraId="74614CD2" w14:textId="61E74F91" w:rsidR="002774A4" w:rsidRPr="008D22C4" w:rsidRDefault="002774A4">
      <w:pPr>
        <w:pStyle w:val="FootnoteText"/>
        <w:rPr>
          <w:i/>
        </w:rPr>
      </w:pPr>
      <w:r>
        <w:rPr>
          <w:rStyle w:val="FootnoteReference"/>
        </w:rPr>
        <w:footnoteRef/>
      </w:r>
      <w:r>
        <w:t xml:space="preserve"> </w:t>
      </w:r>
      <w:r>
        <w:rPr>
          <w:i/>
        </w:rPr>
        <w:t>Ibid.</w:t>
      </w:r>
    </w:p>
  </w:footnote>
  <w:footnote w:id="717">
    <w:p w14:paraId="44FBBD42" w14:textId="2CCA6178" w:rsidR="002774A4" w:rsidRPr="00601E5B" w:rsidRDefault="002774A4">
      <w:pPr>
        <w:pStyle w:val="FootnoteText"/>
      </w:pPr>
      <w:r>
        <w:rPr>
          <w:rStyle w:val="FootnoteReference"/>
        </w:rPr>
        <w:footnoteRef/>
      </w:r>
      <w:r>
        <w:t xml:space="preserve"> </w:t>
      </w:r>
      <w:r>
        <w:rPr>
          <w:i/>
        </w:rPr>
        <w:t xml:space="preserve">Second Adult Protection Law </w:t>
      </w:r>
      <w:r w:rsidRPr="00010774">
        <w:rPr>
          <w:i/>
        </w:rPr>
        <w:t>(2.ErwSChG)</w:t>
      </w:r>
      <w:r>
        <w:rPr>
          <w:i/>
        </w:rPr>
        <w:t xml:space="preserve">, supra </w:t>
      </w:r>
      <w:r>
        <w:t xml:space="preserve">note </w:t>
      </w:r>
      <w:r>
        <w:fldChar w:fldCharType="begin"/>
      </w:r>
      <w:r>
        <w:instrText xml:space="preserve"> NOTEREF _Ref15302271 \h </w:instrText>
      </w:r>
      <w:r>
        <w:fldChar w:fldCharType="separate"/>
      </w:r>
      <w:r>
        <w:t>663</w:t>
      </w:r>
      <w:r>
        <w:fldChar w:fldCharType="end"/>
      </w:r>
      <w:r>
        <w:rPr>
          <w:i/>
        </w:rPr>
        <w:t xml:space="preserve">, </w:t>
      </w:r>
      <w:r>
        <w:t>art 242(2).</w:t>
      </w:r>
    </w:p>
  </w:footnote>
  <w:footnote w:id="718">
    <w:p w14:paraId="2D05B2D1" w14:textId="5A4D5294" w:rsidR="002774A4" w:rsidRPr="003F0BA2" w:rsidRDefault="002774A4">
      <w:pPr>
        <w:pStyle w:val="FootnoteText"/>
      </w:pPr>
      <w:r>
        <w:rPr>
          <w:rStyle w:val="FootnoteReference"/>
        </w:rPr>
        <w:footnoteRef/>
      </w:r>
      <w:r>
        <w:t xml:space="preserve"> </w:t>
      </w:r>
      <w:r>
        <w:rPr>
          <w:i/>
        </w:rPr>
        <w:t xml:space="preserve">Ibid, </w:t>
      </w:r>
      <w:r>
        <w:t>art 276(1).</w:t>
      </w:r>
    </w:p>
  </w:footnote>
  <w:footnote w:id="719">
    <w:p w14:paraId="006E7F10" w14:textId="4E32C012" w:rsidR="002774A4" w:rsidRPr="00FA6212" w:rsidRDefault="002774A4">
      <w:pPr>
        <w:pStyle w:val="FootnoteText"/>
      </w:pPr>
      <w:r>
        <w:rPr>
          <w:rStyle w:val="FootnoteReference"/>
        </w:rPr>
        <w:footnoteRef/>
      </w:r>
      <w:r>
        <w:t xml:space="preserve"> </w:t>
      </w:r>
      <w:proofErr w:type="spellStart"/>
      <w:r w:rsidRPr="00FC6501">
        <w:t>Bzdera</w:t>
      </w:r>
      <w:proofErr w:type="spellEnd"/>
      <w:r w:rsidRPr="00FC6501">
        <w:t xml:space="preserve">, </w:t>
      </w:r>
      <w:r w:rsidRPr="00FC6501">
        <w:rPr>
          <w:i/>
        </w:rPr>
        <w:t xml:space="preserve">supra </w:t>
      </w:r>
      <w:r w:rsidRPr="00FC6501">
        <w:t xml:space="preserve">note </w:t>
      </w:r>
      <w:r>
        <w:fldChar w:fldCharType="begin"/>
      </w:r>
      <w:r>
        <w:instrText xml:space="preserve"> NOTEREF _Ref15302420 \h </w:instrText>
      </w:r>
      <w:r>
        <w:fldChar w:fldCharType="separate"/>
      </w:r>
      <w:r>
        <w:t>664</w:t>
      </w:r>
      <w:r>
        <w:fldChar w:fldCharType="end"/>
      </w:r>
      <w:r>
        <w:t xml:space="preserve"> </w:t>
      </w:r>
      <w:r w:rsidRPr="00FC6501">
        <w:t xml:space="preserve">at </w:t>
      </w:r>
      <w:proofErr w:type="gramStart"/>
      <w:r w:rsidRPr="00FC6501">
        <w:t>5</w:t>
      </w:r>
      <w:proofErr w:type="gramEnd"/>
      <w:r w:rsidRPr="00FC6501">
        <w:t>.</w:t>
      </w:r>
    </w:p>
  </w:footnote>
  <w:footnote w:id="720">
    <w:p w14:paraId="31936669" w14:textId="75162C05" w:rsidR="002774A4" w:rsidRPr="00EE04C3" w:rsidRDefault="002774A4">
      <w:pPr>
        <w:pStyle w:val="FootnoteText"/>
      </w:pPr>
      <w:r>
        <w:rPr>
          <w:rStyle w:val="FootnoteReference"/>
        </w:rPr>
        <w:footnoteRef/>
      </w:r>
      <w:r>
        <w:t xml:space="preserve"> Austrian Federal Ministry of Constitutional Affairs, Reforms, Deregulation and Justice, </w:t>
      </w:r>
      <w:r>
        <w:rPr>
          <w:i/>
        </w:rPr>
        <w:t xml:space="preserve">supra </w:t>
      </w:r>
      <w:r>
        <w:t xml:space="preserve">note </w:t>
      </w:r>
      <w:r>
        <w:fldChar w:fldCharType="begin"/>
      </w:r>
      <w:r>
        <w:instrText xml:space="preserve"> NOTEREF _Ref15302271 \h </w:instrText>
      </w:r>
      <w:r>
        <w:fldChar w:fldCharType="separate"/>
      </w:r>
      <w:r>
        <w:t>663</w:t>
      </w:r>
      <w:r>
        <w:fldChar w:fldCharType="end"/>
      </w:r>
      <w:r>
        <w:t xml:space="preserve"> at 10. </w:t>
      </w:r>
    </w:p>
  </w:footnote>
  <w:footnote w:id="721">
    <w:p w14:paraId="6748067F" w14:textId="358CA353" w:rsidR="002774A4" w:rsidRPr="00FB7BB9" w:rsidRDefault="002774A4">
      <w:pPr>
        <w:pStyle w:val="FootnoteText"/>
        <w:rPr>
          <w:i/>
        </w:rPr>
      </w:pPr>
      <w:r>
        <w:rPr>
          <w:rStyle w:val="FootnoteReference"/>
        </w:rPr>
        <w:footnoteRef/>
      </w:r>
      <w:r>
        <w:t xml:space="preserve"> </w:t>
      </w:r>
      <w:r>
        <w:rPr>
          <w:i/>
        </w:rPr>
        <w:t>Ibid.</w:t>
      </w:r>
    </w:p>
  </w:footnote>
  <w:footnote w:id="722">
    <w:p w14:paraId="6917EA75" w14:textId="6DDC9FF4" w:rsidR="002774A4" w:rsidRPr="00254AF5" w:rsidRDefault="002774A4">
      <w:pPr>
        <w:pStyle w:val="FootnoteText"/>
      </w:pPr>
      <w:r>
        <w:rPr>
          <w:rStyle w:val="FootnoteReference"/>
        </w:rPr>
        <w:footnoteRef/>
      </w:r>
      <w:r>
        <w:t xml:space="preserve"> </w:t>
      </w:r>
      <w:proofErr w:type="spellStart"/>
      <w:r w:rsidRPr="007A078C">
        <w:rPr>
          <w:rFonts w:ascii="times" w:hAnsi="times" w:cs="Segoe UI"/>
          <w:color w:val="000000"/>
          <w:shd w:val="clear" w:color="auto" w:fill="FFFFFF"/>
        </w:rPr>
        <w:t>Österreichischer</w:t>
      </w:r>
      <w:proofErr w:type="spellEnd"/>
      <w:r w:rsidRPr="007A078C">
        <w:rPr>
          <w:rFonts w:ascii="times" w:hAnsi="times" w:cs="Segoe UI"/>
          <w:color w:val="000000"/>
          <w:shd w:val="clear" w:color="auto" w:fill="FFFFFF"/>
        </w:rPr>
        <w:t xml:space="preserve"> </w:t>
      </w:r>
      <w:proofErr w:type="spellStart"/>
      <w:r w:rsidRPr="007A078C">
        <w:rPr>
          <w:rFonts w:ascii="times" w:hAnsi="times" w:cs="Segoe UI"/>
          <w:color w:val="000000"/>
          <w:shd w:val="clear" w:color="auto" w:fill="FFFFFF"/>
        </w:rPr>
        <w:t>Behindertenrat</w:t>
      </w:r>
      <w:proofErr w:type="spellEnd"/>
      <w:r w:rsidRPr="007A078C">
        <w:rPr>
          <w:rFonts w:ascii="times" w:hAnsi="times" w:cs="Segoe UI"/>
          <w:color w:val="000000"/>
          <w:shd w:val="clear" w:color="auto" w:fill="FFFFFF"/>
        </w:rPr>
        <w:t xml:space="preserve"> (Austrian Disability Council),</w:t>
      </w:r>
      <w:r>
        <w:rPr>
          <w:rFonts w:ascii="times" w:hAnsi="times" w:cs="Segoe UI"/>
          <w:color w:val="000000"/>
          <w:shd w:val="clear" w:color="auto" w:fill="FFFFFF"/>
        </w:rPr>
        <w:t xml:space="preserve"> </w:t>
      </w:r>
      <w:r>
        <w:rPr>
          <w:rFonts w:ascii="times" w:hAnsi="times" w:cs="Segoe UI"/>
          <w:i/>
          <w:color w:val="000000"/>
          <w:shd w:val="clear" w:color="auto" w:fill="FFFFFF"/>
        </w:rPr>
        <w:t xml:space="preserve">supra </w:t>
      </w:r>
      <w:r>
        <w:rPr>
          <w:rFonts w:ascii="times" w:hAnsi="times" w:cs="Segoe UI"/>
          <w:color w:val="000000"/>
          <w:shd w:val="clear" w:color="auto" w:fill="FFFFFF"/>
        </w:rPr>
        <w:t xml:space="preserve">note </w:t>
      </w:r>
      <w:r>
        <w:rPr>
          <w:rFonts w:ascii="times" w:hAnsi="times" w:cs="Segoe UI"/>
          <w:color w:val="000000"/>
          <w:shd w:val="clear" w:color="auto" w:fill="FFFFFF"/>
        </w:rPr>
        <w:fldChar w:fldCharType="begin"/>
      </w:r>
      <w:r>
        <w:rPr>
          <w:rFonts w:ascii="times" w:hAnsi="times" w:cs="Segoe UI"/>
          <w:color w:val="000000"/>
          <w:shd w:val="clear" w:color="auto" w:fill="FFFFFF"/>
        </w:rPr>
        <w:instrText xml:space="preserve"> NOTEREF _Ref15302839 \h </w:instrText>
      </w:r>
      <w:r>
        <w:rPr>
          <w:rFonts w:ascii="times" w:hAnsi="times" w:cs="Segoe UI"/>
          <w:color w:val="000000"/>
          <w:shd w:val="clear" w:color="auto" w:fill="FFFFFF"/>
        </w:rPr>
      </w:r>
      <w:r>
        <w:rPr>
          <w:rFonts w:ascii="times" w:hAnsi="times" w:cs="Segoe UI"/>
          <w:color w:val="000000"/>
          <w:shd w:val="clear" w:color="auto" w:fill="FFFFFF"/>
        </w:rPr>
        <w:fldChar w:fldCharType="separate"/>
      </w:r>
      <w:r>
        <w:rPr>
          <w:rFonts w:ascii="times" w:hAnsi="times" w:cs="Segoe UI"/>
          <w:color w:val="000000"/>
          <w:shd w:val="clear" w:color="auto" w:fill="FFFFFF"/>
        </w:rPr>
        <w:t>669</w:t>
      </w:r>
      <w:r>
        <w:rPr>
          <w:rFonts w:ascii="times" w:hAnsi="times" w:cs="Segoe UI"/>
          <w:color w:val="000000"/>
          <w:shd w:val="clear" w:color="auto" w:fill="FFFFFF"/>
        </w:rPr>
        <w:fldChar w:fldCharType="end"/>
      </w:r>
      <w:r>
        <w:rPr>
          <w:rFonts w:ascii="times" w:hAnsi="times" w:cs="Segoe UI"/>
          <w:color w:val="000000"/>
          <w:shd w:val="clear" w:color="auto" w:fill="FFFFFF"/>
        </w:rPr>
        <w:t xml:space="preserve"> at 13-14.</w:t>
      </w:r>
    </w:p>
  </w:footnote>
  <w:footnote w:id="723">
    <w:p w14:paraId="56170BB7" w14:textId="33C81F21" w:rsidR="002774A4" w:rsidRDefault="002774A4">
      <w:pPr>
        <w:pStyle w:val="FootnoteText"/>
      </w:pPr>
      <w:r>
        <w:rPr>
          <w:rStyle w:val="FootnoteReference"/>
        </w:rPr>
        <w:footnoteRef/>
      </w:r>
      <w:r>
        <w:t xml:space="preserve"> See </w:t>
      </w:r>
      <w:r>
        <w:rPr>
          <w:i/>
        </w:rPr>
        <w:t xml:space="preserve">Second Adult Protection Law </w:t>
      </w:r>
      <w:r w:rsidRPr="00010774">
        <w:rPr>
          <w:i/>
        </w:rPr>
        <w:t>(2.ErwSChG)</w:t>
      </w:r>
      <w:proofErr w:type="gramStart"/>
      <w:r>
        <w:rPr>
          <w:i/>
        </w:rPr>
        <w:t>,</w:t>
      </w:r>
      <w:proofErr w:type="gramEnd"/>
      <w:r>
        <w:rPr>
          <w:i/>
        </w:rPr>
        <w:t xml:space="preserve"> supra </w:t>
      </w:r>
      <w:r>
        <w:t xml:space="preserve">note </w:t>
      </w:r>
      <w:r>
        <w:fldChar w:fldCharType="begin"/>
      </w:r>
      <w:r>
        <w:instrText xml:space="preserve"> NOTEREF _Ref15302271 \h </w:instrText>
      </w:r>
      <w:r>
        <w:fldChar w:fldCharType="separate"/>
      </w:r>
      <w:r>
        <w:t>663</w:t>
      </w:r>
      <w:r>
        <w:fldChar w:fldCharType="end"/>
      </w:r>
      <w:r>
        <w:t>, art 264.</w:t>
      </w:r>
    </w:p>
  </w:footnote>
  <w:footnote w:id="724">
    <w:p w14:paraId="4E1609CA" w14:textId="6B151E5D" w:rsidR="002774A4" w:rsidRPr="006F33D9" w:rsidRDefault="002774A4">
      <w:pPr>
        <w:pStyle w:val="FootnoteText"/>
      </w:pPr>
      <w:r>
        <w:rPr>
          <w:rStyle w:val="FootnoteReference"/>
        </w:rPr>
        <w:footnoteRef/>
      </w:r>
      <w:r>
        <w:t xml:space="preserve"> </w:t>
      </w:r>
      <w:r w:rsidRPr="00A550A1">
        <w:rPr>
          <w:color w:val="000000" w:themeColor="text1"/>
        </w:rPr>
        <w:t xml:space="preserve">Committee on the Rights of Persons with Disabilities, </w:t>
      </w:r>
      <w:r>
        <w:rPr>
          <w:color w:val="000000" w:themeColor="text1"/>
        </w:rPr>
        <w:t>“</w:t>
      </w:r>
      <w:r>
        <w:t xml:space="preserve">General comment No.1,” </w:t>
      </w:r>
      <w:r w:rsidRPr="00A550A1">
        <w:rPr>
          <w:i/>
          <w:color w:val="000000" w:themeColor="text1"/>
        </w:rPr>
        <w:t xml:space="preserve">supra </w:t>
      </w:r>
      <w:r w:rsidRPr="00A550A1">
        <w:rPr>
          <w:color w:val="000000" w:themeColor="text1"/>
        </w:rPr>
        <w:t xml:space="preserve">note </w:t>
      </w:r>
      <w:r>
        <w:rPr>
          <w:color w:val="000000" w:themeColor="text1"/>
        </w:rPr>
        <w:fldChar w:fldCharType="begin"/>
      </w:r>
      <w:r>
        <w:rPr>
          <w:color w:val="000000" w:themeColor="text1"/>
        </w:rPr>
        <w:instrText xml:space="preserve"> NOTEREF _Ref15295251 \h </w:instrText>
      </w:r>
      <w:r>
        <w:rPr>
          <w:color w:val="000000" w:themeColor="text1"/>
        </w:rPr>
      </w:r>
      <w:r>
        <w:rPr>
          <w:color w:val="000000" w:themeColor="text1"/>
        </w:rPr>
        <w:fldChar w:fldCharType="separate"/>
      </w:r>
      <w:proofErr w:type="gramStart"/>
      <w:r>
        <w:rPr>
          <w:color w:val="000000" w:themeColor="text1"/>
        </w:rPr>
        <w:t>7</w:t>
      </w:r>
      <w:proofErr w:type="gramEnd"/>
      <w:r>
        <w:rPr>
          <w:color w:val="000000" w:themeColor="text1"/>
        </w:rPr>
        <w:fldChar w:fldCharType="end"/>
      </w:r>
      <w:r>
        <w:rPr>
          <w:color w:val="000000" w:themeColor="text1"/>
        </w:rPr>
        <w:t xml:space="preserve"> at para </w:t>
      </w:r>
      <w:r>
        <w:t>29(i).</w:t>
      </w:r>
    </w:p>
  </w:footnote>
  <w:footnote w:id="725">
    <w:p w14:paraId="7D97A5C3" w14:textId="30ECEFAD" w:rsidR="002774A4" w:rsidRPr="000369F2" w:rsidRDefault="002774A4">
      <w:pPr>
        <w:pStyle w:val="FootnoteText"/>
      </w:pPr>
      <w:r>
        <w:rPr>
          <w:rStyle w:val="FootnoteReference"/>
        </w:rPr>
        <w:footnoteRef/>
      </w:r>
      <w:r>
        <w:t xml:space="preserve"> </w:t>
      </w:r>
      <w:r>
        <w:rPr>
          <w:i/>
        </w:rPr>
        <w:t xml:space="preserve">Second Adult Protection Law </w:t>
      </w:r>
      <w:r w:rsidRPr="00010774">
        <w:rPr>
          <w:i/>
        </w:rPr>
        <w:t>(2.ErwSChG)</w:t>
      </w:r>
      <w:proofErr w:type="gramStart"/>
      <w:r>
        <w:rPr>
          <w:i/>
        </w:rPr>
        <w:t>,</w:t>
      </w:r>
      <w:proofErr w:type="gramEnd"/>
      <w:r>
        <w:rPr>
          <w:i/>
        </w:rPr>
        <w:t xml:space="preserve"> supra </w:t>
      </w:r>
      <w:r>
        <w:t xml:space="preserve">note </w:t>
      </w:r>
      <w:r>
        <w:fldChar w:fldCharType="begin"/>
      </w:r>
      <w:r>
        <w:instrText xml:space="preserve"> NOTEREF _Ref15302271 \h </w:instrText>
      </w:r>
      <w:r>
        <w:fldChar w:fldCharType="separate"/>
      </w:r>
      <w:r>
        <w:t>663</w:t>
      </w:r>
      <w:r>
        <w:fldChar w:fldCharType="end"/>
      </w:r>
      <w:r>
        <w:t>, art 241.</w:t>
      </w:r>
    </w:p>
  </w:footnote>
  <w:footnote w:id="726">
    <w:p w14:paraId="4F4AD555" w14:textId="31412B33" w:rsidR="002774A4" w:rsidRPr="00377B97" w:rsidRDefault="002774A4">
      <w:pPr>
        <w:pStyle w:val="FootnoteText"/>
      </w:pPr>
      <w:r>
        <w:rPr>
          <w:rStyle w:val="FootnoteReference"/>
        </w:rPr>
        <w:footnoteRef/>
      </w:r>
      <w:r>
        <w:t xml:space="preserve"> </w:t>
      </w:r>
      <w:proofErr w:type="spellStart"/>
      <w:r>
        <w:t>Bzdera</w:t>
      </w:r>
      <w:proofErr w:type="spellEnd"/>
      <w:r>
        <w:t xml:space="preserve">, </w:t>
      </w:r>
      <w:r w:rsidRPr="00FC6501">
        <w:rPr>
          <w:i/>
        </w:rPr>
        <w:t xml:space="preserve">supra </w:t>
      </w:r>
      <w:r w:rsidRPr="00FC6501">
        <w:t xml:space="preserve">note </w:t>
      </w:r>
      <w:r>
        <w:fldChar w:fldCharType="begin"/>
      </w:r>
      <w:r>
        <w:instrText xml:space="preserve"> NOTEREF _Ref15302420 \h </w:instrText>
      </w:r>
      <w:r>
        <w:fldChar w:fldCharType="separate"/>
      </w:r>
      <w:r>
        <w:t>664</w:t>
      </w:r>
      <w:r>
        <w:fldChar w:fldCharType="end"/>
      </w:r>
      <w:r>
        <w:t xml:space="preserve"> at </w:t>
      </w:r>
      <w:proofErr w:type="gramStart"/>
      <w:r>
        <w:t>6</w:t>
      </w:r>
      <w:proofErr w:type="gramEnd"/>
      <w:r>
        <w:t>.</w:t>
      </w:r>
    </w:p>
  </w:footnote>
  <w:footnote w:id="727">
    <w:p w14:paraId="3E8E654A" w14:textId="4B70A282" w:rsidR="002774A4" w:rsidRPr="00FF5C57" w:rsidRDefault="002774A4">
      <w:pPr>
        <w:pStyle w:val="FootnoteText"/>
      </w:pPr>
      <w:r>
        <w:rPr>
          <w:rStyle w:val="FootnoteReference"/>
        </w:rPr>
        <w:footnoteRef/>
      </w:r>
      <w:r>
        <w:t xml:space="preserve"> “Convention on the Rights of Persons with Disabilities,” </w:t>
      </w:r>
      <w:r>
        <w:rPr>
          <w:i/>
        </w:rPr>
        <w:t xml:space="preserve">supra </w:t>
      </w:r>
      <w:r>
        <w:t xml:space="preserve">note </w:t>
      </w:r>
      <w:r>
        <w:fldChar w:fldCharType="begin"/>
      </w:r>
      <w:r>
        <w:instrText xml:space="preserve"> NOTEREF _Ref15297432 \h </w:instrText>
      </w:r>
      <w:r>
        <w:fldChar w:fldCharType="separate"/>
      </w:r>
      <w:r>
        <w:t>20</w:t>
      </w:r>
      <w:r>
        <w:fldChar w:fldCharType="end"/>
      </w:r>
      <w:r>
        <w:t xml:space="preserve">. </w:t>
      </w:r>
    </w:p>
  </w:footnote>
  <w:footnote w:id="728">
    <w:p w14:paraId="4C929085" w14:textId="4352B3EE" w:rsidR="002774A4" w:rsidRPr="0024600C" w:rsidRDefault="002774A4" w:rsidP="007C31D1">
      <w:pPr>
        <w:pStyle w:val="FootnoteText"/>
      </w:pPr>
      <w:r>
        <w:rPr>
          <w:rStyle w:val="FootnoteReference"/>
        </w:rPr>
        <w:footnoteRef/>
      </w:r>
      <w:r>
        <w:t xml:space="preserve"> </w:t>
      </w:r>
      <w:proofErr w:type="spellStart"/>
      <w:r>
        <w:rPr>
          <w:i/>
        </w:rPr>
        <w:t>Loi</w:t>
      </w:r>
      <w:proofErr w:type="spellEnd"/>
      <w:r>
        <w:rPr>
          <w:i/>
        </w:rPr>
        <w:t xml:space="preserve"> </w:t>
      </w:r>
      <w:proofErr w:type="spellStart"/>
      <w:r>
        <w:rPr>
          <w:i/>
        </w:rPr>
        <w:t>réformant</w:t>
      </w:r>
      <w:proofErr w:type="spellEnd"/>
      <w:r>
        <w:rPr>
          <w:i/>
        </w:rPr>
        <w:t xml:space="preserve"> les </w:t>
      </w:r>
      <w:proofErr w:type="spellStart"/>
      <w:r>
        <w:rPr>
          <w:i/>
        </w:rPr>
        <w:t>régimes</w:t>
      </w:r>
      <w:proofErr w:type="spellEnd"/>
      <w:r>
        <w:rPr>
          <w:i/>
        </w:rPr>
        <w:t xml:space="preserve"> </w:t>
      </w:r>
      <w:proofErr w:type="spellStart"/>
      <w:r>
        <w:rPr>
          <w:i/>
        </w:rPr>
        <w:t>d’incapacité</w:t>
      </w:r>
      <w:proofErr w:type="spellEnd"/>
      <w:r>
        <w:rPr>
          <w:i/>
        </w:rPr>
        <w:t xml:space="preserve"> </w:t>
      </w:r>
      <w:proofErr w:type="gramStart"/>
      <w:r>
        <w:rPr>
          <w:i/>
        </w:rPr>
        <w:t>et</w:t>
      </w:r>
      <w:proofErr w:type="gramEnd"/>
      <w:r>
        <w:rPr>
          <w:i/>
        </w:rPr>
        <w:t xml:space="preserve"> </w:t>
      </w:r>
      <w:proofErr w:type="spellStart"/>
      <w:r>
        <w:rPr>
          <w:i/>
        </w:rPr>
        <w:t>instaurant</w:t>
      </w:r>
      <w:proofErr w:type="spellEnd"/>
      <w:r>
        <w:rPr>
          <w:i/>
        </w:rPr>
        <w:t xml:space="preserve"> un nouveau </w:t>
      </w:r>
      <w:proofErr w:type="spellStart"/>
      <w:r>
        <w:rPr>
          <w:i/>
        </w:rPr>
        <w:t>statut</w:t>
      </w:r>
      <w:proofErr w:type="spellEnd"/>
      <w:r>
        <w:rPr>
          <w:i/>
        </w:rPr>
        <w:t xml:space="preserve"> de protection </w:t>
      </w:r>
      <w:proofErr w:type="spellStart"/>
      <w:r>
        <w:rPr>
          <w:i/>
        </w:rPr>
        <w:t>conforme</w:t>
      </w:r>
      <w:proofErr w:type="spellEnd"/>
      <w:r>
        <w:rPr>
          <w:i/>
        </w:rPr>
        <w:t xml:space="preserve"> à la </w:t>
      </w:r>
      <w:proofErr w:type="spellStart"/>
      <w:r>
        <w:rPr>
          <w:i/>
        </w:rPr>
        <w:t>dignité</w:t>
      </w:r>
      <w:proofErr w:type="spellEnd"/>
      <w:r>
        <w:rPr>
          <w:i/>
        </w:rPr>
        <w:t xml:space="preserve"> </w:t>
      </w:r>
      <w:proofErr w:type="spellStart"/>
      <w:r>
        <w:rPr>
          <w:i/>
        </w:rPr>
        <w:t>humaine</w:t>
      </w:r>
      <w:proofErr w:type="spellEnd"/>
      <w:r>
        <w:rPr>
          <w:i/>
        </w:rPr>
        <w:t xml:space="preserve">, </w:t>
      </w:r>
      <w:r>
        <w:t>Belgium, 14 June 2013, online: &lt;</w:t>
      </w:r>
      <w:hyperlink r:id="rId28" w:history="1">
        <w:r w:rsidRPr="00CA63FA">
          <w:rPr>
            <w:rStyle w:val="Hyperlink"/>
          </w:rPr>
          <w:t>http://www.ejustice.just.fgov.be/cgi_loi/change_lg.pl?language=fr&amp;la=F&amp;cn=2013031714&amp;table_name=loi</w:t>
        </w:r>
      </w:hyperlink>
      <w:r>
        <w:t xml:space="preserve">&gt;. </w:t>
      </w:r>
    </w:p>
  </w:footnote>
  <w:footnote w:id="729">
    <w:p w14:paraId="2DBF0C51" w14:textId="56CD883A" w:rsidR="002774A4" w:rsidRPr="00635DCD" w:rsidRDefault="002774A4" w:rsidP="008B5105">
      <w:pPr>
        <w:rPr>
          <w:sz w:val="20"/>
          <w:szCs w:val="20"/>
        </w:rPr>
      </w:pPr>
      <w:r w:rsidRPr="00635DCD">
        <w:rPr>
          <w:rStyle w:val="FootnoteReference"/>
          <w:sz w:val="20"/>
          <w:szCs w:val="20"/>
        </w:rPr>
        <w:footnoteRef/>
      </w:r>
      <w:r w:rsidRPr="00A83FD7">
        <w:rPr>
          <w:sz w:val="20"/>
          <w:szCs w:val="20"/>
          <w:lang w:val="es-419"/>
        </w:rPr>
        <w:t xml:space="preserve"> François </w:t>
      </w:r>
      <w:proofErr w:type="spellStart"/>
      <w:r w:rsidRPr="00A83FD7">
        <w:rPr>
          <w:sz w:val="20"/>
          <w:szCs w:val="20"/>
          <w:lang w:val="es-419"/>
        </w:rPr>
        <w:t>Deguel</w:t>
      </w:r>
      <w:proofErr w:type="spellEnd"/>
      <w:r w:rsidRPr="00A83FD7">
        <w:rPr>
          <w:sz w:val="20"/>
          <w:szCs w:val="20"/>
          <w:lang w:val="es-419"/>
        </w:rPr>
        <w:t xml:space="preserve">, “La </w:t>
      </w:r>
      <w:proofErr w:type="spellStart"/>
      <w:r w:rsidRPr="00A83FD7">
        <w:rPr>
          <w:sz w:val="20"/>
          <w:szCs w:val="20"/>
          <w:lang w:val="es-419"/>
        </w:rPr>
        <w:t>Loi</w:t>
      </w:r>
      <w:proofErr w:type="spellEnd"/>
      <w:r w:rsidRPr="00A83FD7">
        <w:rPr>
          <w:sz w:val="20"/>
          <w:szCs w:val="20"/>
          <w:lang w:val="es-419"/>
        </w:rPr>
        <w:t xml:space="preserve"> du 17 </w:t>
      </w:r>
      <w:proofErr w:type="spellStart"/>
      <w:r w:rsidRPr="00A83FD7">
        <w:rPr>
          <w:sz w:val="20"/>
          <w:szCs w:val="20"/>
          <w:lang w:val="es-419"/>
        </w:rPr>
        <w:t>mars</w:t>
      </w:r>
      <w:proofErr w:type="spellEnd"/>
      <w:r w:rsidRPr="00A83FD7">
        <w:rPr>
          <w:sz w:val="20"/>
          <w:szCs w:val="20"/>
          <w:lang w:val="es-419"/>
        </w:rPr>
        <w:t xml:space="preserve"> 2013 </w:t>
      </w:r>
      <w:proofErr w:type="spellStart"/>
      <w:r w:rsidRPr="00A83FD7">
        <w:rPr>
          <w:sz w:val="20"/>
          <w:szCs w:val="20"/>
          <w:lang w:val="es-419"/>
        </w:rPr>
        <w:t>réformant</w:t>
      </w:r>
      <w:proofErr w:type="spellEnd"/>
      <w:r w:rsidRPr="00A83FD7">
        <w:rPr>
          <w:sz w:val="20"/>
          <w:szCs w:val="20"/>
          <w:lang w:val="es-419"/>
        </w:rPr>
        <w:t xml:space="preserve"> les </w:t>
      </w:r>
      <w:proofErr w:type="spellStart"/>
      <w:r w:rsidRPr="00A83FD7">
        <w:rPr>
          <w:sz w:val="20"/>
          <w:szCs w:val="20"/>
          <w:lang w:val="es-419"/>
        </w:rPr>
        <w:t>régimes</w:t>
      </w:r>
      <w:proofErr w:type="spellEnd"/>
      <w:r w:rsidRPr="00A83FD7">
        <w:rPr>
          <w:sz w:val="20"/>
          <w:szCs w:val="20"/>
          <w:lang w:val="es-419"/>
        </w:rPr>
        <w:t xml:space="preserve"> </w:t>
      </w:r>
      <w:proofErr w:type="spellStart"/>
      <w:r w:rsidRPr="00A83FD7">
        <w:rPr>
          <w:sz w:val="20"/>
          <w:szCs w:val="20"/>
          <w:lang w:val="es-419"/>
        </w:rPr>
        <w:t>d’incapacité</w:t>
      </w:r>
      <w:proofErr w:type="spellEnd"/>
      <w:r w:rsidRPr="00A83FD7">
        <w:rPr>
          <w:sz w:val="20"/>
          <w:szCs w:val="20"/>
          <w:lang w:val="es-419"/>
        </w:rPr>
        <w:t xml:space="preserve"> et </w:t>
      </w:r>
      <w:proofErr w:type="spellStart"/>
      <w:r w:rsidRPr="00A83FD7">
        <w:rPr>
          <w:sz w:val="20"/>
          <w:szCs w:val="20"/>
          <w:lang w:val="es-419"/>
        </w:rPr>
        <w:t>instaurant</w:t>
      </w:r>
      <w:proofErr w:type="spellEnd"/>
      <w:r w:rsidRPr="00A83FD7">
        <w:rPr>
          <w:sz w:val="20"/>
          <w:szCs w:val="20"/>
          <w:lang w:val="es-419"/>
        </w:rPr>
        <w:t xml:space="preserve"> un </w:t>
      </w:r>
      <w:proofErr w:type="spellStart"/>
      <w:r w:rsidRPr="00A83FD7">
        <w:rPr>
          <w:sz w:val="20"/>
          <w:szCs w:val="20"/>
          <w:lang w:val="es-419"/>
        </w:rPr>
        <w:t>nouveau</w:t>
      </w:r>
      <w:proofErr w:type="spellEnd"/>
      <w:r w:rsidRPr="00A83FD7">
        <w:rPr>
          <w:sz w:val="20"/>
          <w:szCs w:val="20"/>
          <w:lang w:val="es-419"/>
        </w:rPr>
        <w:t xml:space="preserve"> </w:t>
      </w:r>
      <w:proofErr w:type="spellStart"/>
      <w:r w:rsidRPr="00A83FD7">
        <w:rPr>
          <w:sz w:val="20"/>
          <w:szCs w:val="20"/>
          <w:lang w:val="es-419"/>
        </w:rPr>
        <w:t>statut</w:t>
      </w:r>
      <w:proofErr w:type="spellEnd"/>
      <w:r w:rsidRPr="00A83FD7">
        <w:rPr>
          <w:sz w:val="20"/>
          <w:szCs w:val="20"/>
          <w:lang w:val="es-419"/>
        </w:rPr>
        <w:t xml:space="preserve"> de </w:t>
      </w:r>
      <w:proofErr w:type="spellStart"/>
      <w:r w:rsidRPr="00A83FD7">
        <w:rPr>
          <w:sz w:val="20"/>
          <w:szCs w:val="20"/>
          <w:lang w:val="es-419"/>
        </w:rPr>
        <w:t>protection</w:t>
      </w:r>
      <w:proofErr w:type="spellEnd"/>
      <w:r w:rsidRPr="00A83FD7">
        <w:rPr>
          <w:sz w:val="20"/>
          <w:szCs w:val="20"/>
          <w:lang w:val="es-419"/>
        </w:rPr>
        <w:t xml:space="preserve"> conforme à la </w:t>
      </w:r>
      <w:proofErr w:type="spellStart"/>
      <w:r w:rsidRPr="00A83FD7">
        <w:rPr>
          <w:sz w:val="20"/>
          <w:szCs w:val="20"/>
          <w:lang w:val="es-419"/>
        </w:rPr>
        <w:t>dignité</w:t>
      </w:r>
      <w:proofErr w:type="spellEnd"/>
      <w:r w:rsidRPr="00A83FD7">
        <w:rPr>
          <w:sz w:val="20"/>
          <w:szCs w:val="20"/>
          <w:lang w:val="es-419"/>
        </w:rPr>
        <w:t xml:space="preserve"> </w:t>
      </w:r>
      <w:proofErr w:type="spellStart"/>
      <w:r w:rsidRPr="00A83FD7">
        <w:rPr>
          <w:sz w:val="20"/>
          <w:szCs w:val="20"/>
          <w:lang w:val="es-419"/>
        </w:rPr>
        <w:t>humaine</w:t>
      </w:r>
      <w:proofErr w:type="spellEnd"/>
      <w:r w:rsidRPr="00A83FD7">
        <w:rPr>
          <w:sz w:val="20"/>
          <w:szCs w:val="20"/>
          <w:lang w:val="es-419"/>
        </w:rPr>
        <w:t xml:space="preserve">: </w:t>
      </w:r>
      <w:proofErr w:type="spellStart"/>
      <w:proofErr w:type="gramStart"/>
      <w:r w:rsidRPr="00A83FD7">
        <w:rPr>
          <w:sz w:val="20"/>
          <w:szCs w:val="20"/>
          <w:lang w:val="es-419"/>
        </w:rPr>
        <w:t>vers</w:t>
      </w:r>
      <w:proofErr w:type="spellEnd"/>
      <w:r w:rsidRPr="00A83FD7">
        <w:rPr>
          <w:sz w:val="20"/>
          <w:szCs w:val="20"/>
          <w:lang w:val="es-419"/>
        </w:rPr>
        <w:t xml:space="preserve"> une </w:t>
      </w:r>
      <w:proofErr w:type="spellStart"/>
      <w:r w:rsidRPr="00A83FD7">
        <w:rPr>
          <w:sz w:val="20"/>
          <w:szCs w:val="20"/>
          <w:lang w:val="es-419"/>
        </w:rPr>
        <w:t>simplification</w:t>
      </w:r>
      <w:proofErr w:type="spellEnd"/>
      <w:r w:rsidRPr="00A83FD7">
        <w:rPr>
          <w:sz w:val="20"/>
          <w:szCs w:val="20"/>
          <w:lang w:val="es-419"/>
        </w:rPr>
        <w:t>?</w:t>
      </w:r>
      <w:proofErr w:type="gramEnd"/>
      <w:r w:rsidRPr="00A83FD7">
        <w:rPr>
          <w:sz w:val="20"/>
          <w:szCs w:val="20"/>
          <w:lang w:val="es-419"/>
        </w:rPr>
        <w:t xml:space="preserve">” </w:t>
      </w:r>
      <w:r w:rsidRPr="00635DCD">
        <w:rPr>
          <w:sz w:val="20"/>
          <w:szCs w:val="20"/>
        </w:rPr>
        <w:t xml:space="preserve">Revue </w:t>
      </w:r>
      <w:proofErr w:type="spellStart"/>
      <w:r w:rsidRPr="00635DCD">
        <w:rPr>
          <w:sz w:val="20"/>
          <w:szCs w:val="20"/>
        </w:rPr>
        <w:t>Générale</w:t>
      </w:r>
      <w:proofErr w:type="spellEnd"/>
      <w:r w:rsidRPr="00635DCD">
        <w:rPr>
          <w:sz w:val="20"/>
          <w:szCs w:val="20"/>
        </w:rPr>
        <w:t xml:space="preserve"> de Droit </w:t>
      </w:r>
      <w:proofErr w:type="gramStart"/>
      <w:r w:rsidRPr="00635DCD">
        <w:rPr>
          <w:sz w:val="20"/>
          <w:szCs w:val="20"/>
        </w:rPr>
        <w:t xml:space="preserve">Civil  </w:t>
      </w:r>
      <w:proofErr w:type="spellStart"/>
      <w:r w:rsidRPr="00635DCD">
        <w:rPr>
          <w:sz w:val="20"/>
          <w:szCs w:val="20"/>
        </w:rPr>
        <w:t>Belge</w:t>
      </w:r>
      <w:proofErr w:type="spellEnd"/>
      <w:proofErr w:type="gramEnd"/>
      <w:r w:rsidRPr="00635DCD">
        <w:rPr>
          <w:sz w:val="20"/>
          <w:szCs w:val="20"/>
        </w:rPr>
        <w:t xml:space="preserve"> – Kluwer at 291, online: &lt;</w:t>
      </w:r>
      <w:hyperlink r:id="rId29" w:history="1">
        <w:r w:rsidRPr="00635DCD">
          <w:rPr>
            <w:rStyle w:val="Hyperlink"/>
            <w:sz w:val="20"/>
            <w:szCs w:val="20"/>
          </w:rPr>
          <w:t>https://orbi.uliege.be/bitstream/2268/222202/1/Incapacit%C3%A9%20-%20DEGUEL.pdf</w:t>
        </w:r>
      </w:hyperlink>
      <w:r w:rsidRPr="00635DCD">
        <w:rPr>
          <w:sz w:val="20"/>
          <w:szCs w:val="20"/>
        </w:rPr>
        <w:t xml:space="preserve">&gt;. </w:t>
      </w:r>
    </w:p>
  </w:footnote>
  <w:footnote w:id="730">
    <w:p w14:paraId="15485CA4" w14:textId="25EFFFF3" w:rsidR="002774A4" w:rsidRPr="0039502C" w:rsidRDefault="002774A4" w:rsidP="007C31D1">
      <w:pPr>
        <w:pStyle w:val="FootnoteText"/>
      </w:pPr>
      <w:r>
        <w:rPr>
          <w:rStyle w:val="FootnoteReference"/>
        </w:rPr>
        <w:footnoteRef/>
      </w:r>
      <w:r>
        <w:t xml:space="preserve"> </w:t>
      </w:r>
      <w:proofErr w:type="gramStart"/>
      <w:r>
        <w:t xml:space="preserve">Centre for Equal Opportunities and Opposition to Racism, </w:t>
      </w:r>
      <w:r w:rsidRPr="008B5E1B">
        <w:rPr>
          <w:i/>
        </w:rPr>
        <w:t xml:space="preserve">Parallel Report of the Centre for Equal Opportunities </w:t>
      </w:r>
      <w:r w:rsidRPr="0039502C">
        <w:rPr>
          <w:i/>
        </w:rPr>
        <w:t>and Opposition to Racism on the First Periodic Report from Belgium in the Context of the Implementation of the United Nations Convention on the Rights of Persons with Disabilities</w:t>
      </w:r>
      <w:r w:rsidRPr="0039502C">
        <w:t xml:space="preserve"> (14 April 2014) at 14, online: &lt; </w:t>
      </w:r>
      <w:hyperlink r:id="rId30" w:history="1">
        <w:r w:rsidRPr="0039502C">
          <w:rPr>
            <w:rStyle w:val="Hyperlink"/>
          </w:rPr>
          <w:t>https://tbinternet.ohchr.org/Treaties/CRPD/Shared%20Documents/BEL/INT_CRPD_NGO_BEL_17019_E.doc</w:t>
        </w:r>
      </w:hyperlink>
      <w:r w:rsidRPr="0039502C">
        <w:t>&gt;.</w:t>
      </w:r>
      <w:proofErr w:type="gramEnd"/>
      <w:r w:rsidRPr="0039502C">
        <w:t xml:space="preserve"> </w:t>
      </w:r>
    </w:p>
  </w:footnote>
  <w:footnote w:id="731">
    <w:p w14:paraId="1416B18F" w14:textId="033ACFD1" w:rsidR="002774A4" w:rsidRPr="00B9204B" w:rsidRDefault="002774A4" w:rsidP="0039502C">
      <w:r w:rsidRPr="0039502C">
        <w:rPr>
          <w:rStyle w:val="FootnoteReference"/>
          <w:sz w:val="20"/>
          <w:szCs w:val="20"/>
        </w:rPr>
        <w:footnoteRef/>
      </w:r>
      <w:r w:rsidRPr="0039502C">
        <w:rPr>
          <w:sz w:val="20"/>
          <w:szCs w:val="20"/>
        </w:rPr>
        <w:t xml:space="preserve"> Belgian Disability Forum, </w:t>
      </w:r>
      <w:r w:rsidRPr="0039502C">
        <w:rPr>
          <w:i/>
          <w:sz w:val="20"/>
          <w:szCs w:val="20"/>
        </w:rPr>
        <w:t>Position of the associations and Advisory Structures representing persons with disabilities: Shadow Report initiated and coordinated by the Belgian Disability Forum</w:t>
      </w:r>
      <w:r w:rsidRPr="0039502C">
        <w:rPr>
          <w:sz w:val="20"/>
          <w:szCs w:val="20"/>
        </w:rPr>
        <w:t xml:space="preserve"> (20 February 2014) at 103, online: &lt; </w:t>
      </w:r>
      <w:hyperlink r:id="rId31" w:history="1">
        <w:r w:rsidRPr="0039502C">
          <w:rPr>
            <w:color w:val="0000FF"/>
            <w:sz w:val="20"/>
            <w:szCs w:val="20"/>
            <w:u w:val="single"/>
          </w:rPr>
          <w:t>https://tbinternet.ohchr.org/Treaties/CRPD/Shared%20Documents/BEL/INT_CRPD_NGO_BEL_16564_E.pdf</w:t>
        </w:r>
      </w:hyperlink>
      <w:r w:rsidRPr="0039502C">
        <w:rPr>
          <w:sz w:val="20"/>
          <w:szCs w:val="20"/>
        </w:rPr>
        <w:t>&gt;.</w:t>
      </w:r>
      <w:r>
        <w:t xml:space="preserve"> </w:t>
      </w:r>
    </w:p>
  </w:footnote>
  <w:footnote w:id="732">
    <w:p w14:paraId="100E74C9" w14:textId="7F96BAD8" w:rsidR="002774A4" w:rsidRPr="00A83FD7" w:rsidRDefault="002774A4">
      <w:pPr>
        <w:pStyle w:val="FootnoteText"/>
        <w:rPr>
          <w:lang w:val="es-419"/>
        </w:rPr>
      </w:pPr>
      <w:r>
        <w:rPr>
          <w:rStyle w:val="FootnoteReference"/>
        </w:rPr>
        <w:footnoteRef/>
      </w:r>
      <w:r w:rsidRPr="00A83FD7">
        <w:rPr>
          <w:lang w:val="es-419"/>
        </w:rPr>
        <w:t xml:space="preserve"> </w:t>
      </w:r>
      <w:proofErr w:type="spellStart"/>
      <w:r w:rsidRPr="00A83FD7">
        <w:rPr>
          <w:i/>
          <w:lang w:val="es-419"/>
        </w:rPr>
        <w:t>Loi</w:t>
      </w:r>
      <w:proofErr w:type="spellEnd"/>
      <w:r w:rsidRPr="00A83FD7">
        <w:rPr>
          <w:i/>
          <w:lang w:val="es-419"/>
        </w:rPr>
        <w:t xml:space="preserve"> </w:t>
      </w:r>
      <w:proofErr w:type="spellStart"/>
      <w:r w:rsidRPr="00A83FD7">
        <w:rPr>
          <w:i/>
          <w:lang w:val="es-419"/>
        </w:rPr>
        <w:t>réformant</w:t>
      </w:r>
      <w:proofErr w:type="spellEnd"/>
      <w:r w:rsidRPr="00A83FD7">
        <w:rPr>
          <w:i/>
          <w:lang w:val="es-419"/>
        </w:rPr>
        <w:t xml:space="preserve"> les </w:t>
      </w:r>
      <w:proofErr w:type="spellStart"/>
      <w:r w:rsidRPr="00A83FD7">
        <w:rPr>
          <w:i/>
          <w:lang w:val="es-419"/>
        </w:rPr>
        <w:t>régimes</w:t>
      </w:r>
      <w:proofErr w:type="spellEnd"/>
      <w:r w:rsidRPr="00A83FD7">
        <w:rPr>
          <w:i/>
          <w:lang w:val="es-419"/>
        </w:rPr>
        <w:t xml:space="preserve"> </w:t>
      </w:r>
      <w:proofErr w:type="spellStart"/>
      <w:r w:rsidRPr="00A83FD7">
        <w:rPr>
          <w:i/>
          <w:lang w:val="es-419"/>
        </w:rPr>
        <w:t>d’incapacité</w:t>
      </w:r>
      <w:proofErr w:type="spellEnd"/>
      <w:r w:rsidRPr="00A83FD7">
        <w:rPr>
          <w:i/>
          <w:lang w:val="es-419"/>
        </w:rPr>
        <w:t xml:space="preserve"> et </w:t>
      </w:r>
      <w:proofErr w:type="spellStart"/>
      <w:r w:rsidRPr="00A83FD7">
        <w:rPr>
          <w:i/>
          <w:lang w:val="es-419"/>
        </w:rPr>
        <w:t>instaurant</w:t>
      </w:r>
      <w:proofErr w:type="spellEnd"/>
      <w:r w:rsidRPr="00A83FD7">
        <w:rPr>
          <w:i/>
          <w:lang w:val="es-419"/>
        </w:rPr>
        <w:t xml:space="preserve"> un </w:t>
      </w:r>
      <w:proofErr w:type="spellStart"/>
      <w:r w:rsidRPr="00A83FD7">
        <w:rPr>
          <w:i/>
          <w:lang w:val="es-419"/>
        </w:rPr>
        <w:t>nouveau</w:t>
      </w:r>
      <w:proofErr w:type="spellEnd"/>
      <w:r w:rsidRPr="00A83FD7">
        <w:rPr>
          <w:i/>
          <w:lang w:val="es-419"/>
        </w:rPr>
        <w:t xml:space="preserve"> </w:t>
      </w:r>
      <w:proofErr w:type="spellStart"/>
      <w:r w:rsidRPr="00A83FD7">
        <w:rPr>
          <w:i/>
          <w:lang w:val="es-419"/>
        </w:rPr>
        <w:t>statut</w:t>
      </w:r>
      <w:proofErr w:type="spellEnd"/>
      <w:r w:rsidRPr="00A83FD7">
        <w:rPr>
          <w:i/>
          <w:lang w:val="es-419"/>
        </w:rPr>
        <w:t xml:space="preserve"> de </w:t>
      </w:r>
      <w:proofErr w:type="spellStart"/>
      <w:r w:rsidRPr="00A83FD7">
        <w:rPr>
          <w:i/>
          <w:lang w:val="es-419"/>
        </w:rPr>
        <w:t>protection</w:t>
      </w:r>
      <w:proofErr w:type="spellEnd"/>
      <w:r w:rsidRPr="00A83FD7">
        <w:rPr>
          <w:i/>
          <w:lang w:val="es-419"/>
        </w:rPr>
        <w:t xml:space="preserve"> conforme à la </w:t>
      </w:r>
      <w:proofErr w:type="spellStart"/>
      <w:r w:rsidRPr="00A83FD7">
        <w:rPr>
          <w:i/>
          <w:lang w:val="es-419"/>
        </w:rPr>
        <w:t>dignité</w:t>
      </w:r>
      <w:proofErr w:type="spellEnd"/>
      <w:r w:rsidRPr="00A83FD7">
        <w:rPr>
          <w:i/>
          <w:lang w:val="es-419"/>
        </w:rPr>
        <w:t xml:space="preserve"> </w:t>
      </w:r>
      <w:proofErr w:type="spellStart"/>
      <w:r w:rsidRPr="00A83FD7">
        <w:rPr>
          <w:i/>
          <w:lang w:val="es-419"/>
        </w:rPr>
        <w:t>humaine</w:t>
      </w:r>
      <w:proofErr w:type="spellEnd"/>
      <w:r w:rsidRPr="00A83FD7">
        <w:rPr>
          <w:i/>
          <w:lang w:val="es-419"/>
        </w:rPr>
        <w:t xml:space="preserve">, supra </w:t>
      </w:r>
      <w:r w:rsidRPr="00A83FD7">
        <w:rPr>
          <w:lang w:val="es-419"/>
        </w:rPr>
        <w:t xml:space="preserve">note </w:t>
      </w:r>
      <w:r>
        <w:fldChar w:fldCharType="begin"/>
      </w:r>
      <w:r w:rsidRPr="00A83FD7">
        <w:rPr>
          <w:lang w:val="es-419"/>
        </w:rPr>
        <w:instrText xml:space="preserve"> NOTEREF _Ref15303198 \h </w:instrText>
      </w:r>
      <w:r>
        <w:fldChar w:fldCharType="separate"/>
      </w:r>
      <w:r w:rsidRPr="00A83FD7">
        <w:rPr>
          <w:lang w:val="es-419"/>
        </w:rPr>
        <w:t>728</w:t>
      </w:r>
      <w:r>
        <w:fldChar w:fldCharType="end"/>
      </w:r>
      <w:r w:rsidRPr="00A83FD7">
        <w:rPr>
          <w:lang w:val="es-419"/>
        </w:rPr>
        <w:t>.</w:t>
      </w:r>
    </w:p>
  </w:footnote>
  <w:footnote w:id="733">
    <w:p w14:paraId="45A67458" w14:textId="400F27A7" w:rsidR="002774A4" w:rsidRPr="00A83FD7" w:rsidRDefault="002774A4" w:rsidP="007C31D1">
      <w:pPr>
        <w:pStyle w:val="FootnoteText"/>
        <w:rPr>
          <w:lang w:val="es-419"/>
        </w:rPr>
      </w:pPr>
      <w:r>
        <w:rPr>
          <w:rStyle w:val="FootnoteReference"/>
        </w:rPr>
        <w:footnoteRef/>
      </w:r>
      <w:r w:rsidRPr="00A83FD7">
        <w:rPr>
          <w:lang w:val="es-419"/>
        </w:rPr>
        <w:t xml:space="preserve"> </w:t>
      </w:r>
      <w:proofErr w:type="spellStart"/>
      <w:r w:rsidRPr="00A83FD7">
        <w:rPr>
          <w:lang w:val="es-419"/>
        </w:rPr>
        <w:t>Personne</w:t>
      </w:r>
      <w:proofErr w:type="spellEnd"/>
      <w:r w:rsidRPr="00A83FD7">
        <w:rPr>
          <w:lang w:val="es-419"/>
        </w:rPr>
        <w:t xml:space="preserve"> </w:t>
      </w:r>
      <w:proofErr w:type="spellStart"/>
      <w:r w:rsidRPr="00A83FD7">
        <w:rPr>
          <w:lang w:val="es-419"/>
        </w:rPr>
        <w:t>Handicapée</w:t>
      </w:r>
      <w:proofErr w:type="spellEnd"/>
      <w:r w:rsidRPr="00A83FD7">
        <w:rPr>
          <w:lang w:val="es-419"/>
        </w:rPr>
        <w:t xml:space="preserve"> </w:t>
      </w:r>
      <w:proofErr w:type="spellStart"/>
      <w:r w:rsidRPr="00A83FD7">
        <w:rPr>
          <w:lang w:val="es-419"/>
        </w:rPr>
        <w:t>Autonomie</w:t>
      </w:r>
      <w:proofErr w:type="spellEnd"/>
      <w:r w:rsidRPr="00A83FD7">
        <w:rPr>
          <w:lang w:val="es-419"/>
        </w:rPr>
        <w:t xml:space="preserve"> </w:t>
      </w:r>
      <w:proofErr w:type="spellStart"/>
      <w:r w:rsidRPr="00A83FD7">
        <w:rPr>
          <w:lang w:val="es-419"/>
        </w:rPr>
        <w:t>Recherchée</w:t>
      </w:r>
      <w:proofErr w:type="spellEnd"/>
      <w:r w:rsidRPr="00A83FD7">
        <w:rPr>
          <w:lang w:val="es-419"/>
        </w:rPr>
        <w:t xml:space="preserve"> (</w:t>
      </w:r>
      <w:proofErr w:type="spellStart"/>
      <w:r w:rsidRPr="00A83FD7">
        <w:rPr>
          <w:lang w:val="es-419"/>
        </w:rPr>
        <w:t>Phare</w:t>
      </w:r>
      <w:proofErr w:type="spellEnd"/>
      <w:r w:rsidRPr="00A83FD7">
        <w:rPr>
          <w:lang w:val="es-419"/>
        </w:rPr>
        <w:t>), “</w:t>
      </w:r>
      <w:proofErr w:type="spellStart"/>
      <w:r w:rsidRPr="00A83FD7">
        <w:rPr>
          <w:lang w:val="es-419"/>
        </w:rPr>
        <w:t>Loi</w:t>
      </w:r>
      <w:proofErr w:type="spellEnd"/>
      <w:r w:rsidRPr="00A83FD7">
        <w:rPr>
          <w:lang w:val="es-419"/>
        </w:rPr>
        <w:t xml:space="preserve"> du 17 </w:t>
      </w:r>
      <w:proofErr w:type="spellStart"/>
      <w:r w:rsidRPr="00A83FD7">
        <w:rPr>
          <w:lang w:val="es-419"/>
        </w:rPr>
        <w:t>mars</w:t>
      </w:r>
      <w:proofErr w:type="spellEnd"/>
      <w:r w:rsidRPr="00A83FD7">
        <w:rPr>
          <w:lang w:val="es-419"/>
        </w:rPr>
        <w:t xml:space="preserve"> 2013: un </w:t>
      </w:r>
      <w:proofErr w:type="spellStart"/>
      <w:r w:rsidRPr="00A83FD7">
        <w:rPr>
          <w:lang w:val="es-419"/>
        </w:rPr>
        <w:t>nouveau</w:t>
      </w:r>
      <w:proofErr w:type="spellEnd"/>
      <w:r w:rsidRPr="00A83FD7">
        <w:rPr>
          <w:lang w:val="es-419"/>
        </w:rPr>
        <w:t xml:space="preserve"> </w:t>
      </w:r>
      <w:proofErr w:type="spellStart"/>
      <w:r w:rsidRPr="00A83FD7">
        <w:rPr>
          <w:lang w:val="es-419"/>
        </w:rPr>
        <w:t>statut</w:t>
      </w:r>
      <w:proofErr w:type="spellEnd"/>
      <w:r w:rsidRPr="00A83FD7">
        <w:rPr>
          <w:lang w:val="es-419"/>
        </w:rPr>
        <w:t xml:space="preserve"> de </w:t>
      </w:r>
      <w:proofErr w:type="spellStart"/>
      <w:r w:rsidRPr="00A83FD7">
        <w:rPr>
          <w:lang w:val="es-419"/>
        </w:rPr>
        <w:t>protection</w:t>
      </w:r>
      <w:proofErr w:type="spellEnd"/>
      <w:r w:rsidRPr="00A83FD7">
        <w:rPr>
          <w:lang w:val="es-419"/>
        </w:rPr>
        <w:t xml:space="preserve"> des </w:t>
      </w:r>
      <w:proofErr w:type="spellStart"/>
      <w:r w:rsidRPr="00A83FD7">
        <w:rPr>
          <w:lang w:val="es-419"/>
        </w:rPr>
        <w:t>personnes</w:t>
      </w:r>
      <w:proofErr w:type="spellEnd"/>
      <w:r w:rsidRPr="00A83FD7">
        <w:rPr>
          <w:lang w:val="es-419"/>
        </w:rPr>
        <w:t xml:space="preserve"> </w:t>
      </w:r>
      <w:proofErr w:type="spellStart"/>
      <w:r w:rsidRPr="00A83FD7">
        <w:rPr>
          <w:lang w:val="es-419"/>
        </w:rPr>
        <w:t>majeures</w:t>
      </w:r>
      <w:proofErr w:type="spellEnd"/>
      <w:r w:rsidRPr="00A83FD7">
        <w:rPr>
          <w:lang w:val="es-419"/>
        </w:rPr>
        <w:t xml:space="preserve"> conforme à la </w:t>
      </w:r>
      <w:proofErr w:type="spellStart"/>
      <w:r w:rsidRPr="00A83FD7">
        <w:rPr>
          <w:lang w:val="es-419"/>
        </w:rPr>
        <w:t>dignité</w:t>
      </w:r>
      <w:proofErr w:type="spellEnd"/>
      <w:r w:rsidRPr="00A83FD7">
        <w:rPr>
          <w:lang w:val="es-419"/>
        </w:rPr>
        <w:t xml:space="preserve"> </w:t>
      </w:r>
      <w:proofErr w:type="spellStart"/>
      <w:r w:rsidRPr="00A83FD7">
        <w:rPr>
          <w:lang w:val="es-419"/>
        </w:rPr>
        <w:t>humaine</w:t>
      </w:r>
      <w:proofErr w:type="spellEnd"/>
      <w:r w:rsidRPr="00A83FD7">
        <w:rPr>
          <w:lang w:val="es-419"/>
        </w:rPr>
        <w:t>,” online: &lt;https://phare.irisnet.be/droits/protection-judiciaire/&gt;.</w:t>
      </w:r>
    </w:p>
  </w:footnote>
  <w:footnote w:id="734">
    <w:p w14:paraId="1DCA330E" w14:textId="63E2FAC3" w:rsidR="002774A4" w:rsidRPr="00A83FD7" w:rsidRDefault="002774A4" w:rsidP="007C31D1">
      <w:pPr>
        <w:pStyle w:val="FootnoteText"/>
        <w:rPr>
          <w:lang w:val="es-419"/>
        </w:rPr>
      </w:pPr>
      <w:r>
        <w:rPr>
          <w:rStyle w:val="FootnoteReference"/>
        </w:rPr>
        <w:footnoteRef/>
      </w:r>
      <w:r w:rsidRPr="00A83FD7">
        <w:rPr>
          <w:lang w:val="es-419"/>
        </w:rPr>
        <w:t xml:space="preserve"> </w:t>
      </w:r>
      <w:proofErr w:type="spellStart"/>
      <w:r w:rsidRPr="00A83FD7">
        <w:rPr>
          <w:i/>
          <w:lang w:val="es-419"/>
        </w:rPr>
        <w:t>Belgian</w:t>
      </w:r>
      <w:proofErr w:type="spellEnd"/>
      <w:r w:rsidRPr="00A83FD7">
        <w:rPr>
          <w:i/>
          <w:lang w:val="es-419"/>
        </w:rPr>
        <w:t xml:space="preserve"> Civil </w:t>
      </w:r>
      <w:proofErr w:type="spellStart"/>
      <w:r w:rsidRPr="00A83FD7">
        <w:rPr>
          <w:i/>
          <w:lang w:val="es-419"/>
        </w:rPr>
        <w:t>Code</w:t>
      </w:r>
      <w:proofErr w:type="spellEnd"/>
      <w:r w:rsidRPr="00A83FD7">
        <w:rPr>
          <w:i/>
          <w:lang w:val="es-419"/>
        </w:rPr>
        <w:t xml:space="preserve">, supra </w:t>
      </w:r>
      <w:r w:rsidRPr="00A83FD7">
        <w:rPr>
          <w:lang w:val="es-419"/>
        </w:rPr>
        <w:t xml:space="preserve">note </w:t>
      </w:r>
      <w:r>
        <w:fldChar w:fldCharType="begin"/>
      </w:r>
      <w:r w:rsidRPr="00A83FD7">
        <w:rPr>
          <w:lang w:val="es-419"/>
        </w:rPr>
        <w:instrText xml:space="preserve"> NOTEREF _Ref15303198 \h </w:instrText>
      </w:r>
      <w:r>
        <w:fldChar w:fldCharType="separate"/>
      </w:r>
      <w:r w:rsidRPr="00A83FD7">
        <w:rPr>
          <w:lang w:val="es-419"/>
        </w:rPr>
        <w:t>728</w:t>
      </w:r>
      <w:r>
        <w:fldChar w:fldCharType="end"/>
      </w:r>
      <w:r w:rsidRPr="00A83FD7">
        <w:rPr>
          <w:lang w:val="es-419"/>
        </w:rPr>
        <w:t>, art 489.</w:t>
      </w:r>
    </w:p>
  </w:footnote>
  <w:footnote w:id="735">
    <w:p w14:paraId="711566D1" w14:textId="5B30EFD6" w:rsidR="002774A4" w:rsidRPr="00A83FD7" w:rsidRDefault="002774A4" w:rsidP="007C31D1">
      <w:pPr>
        <w:pStyle w:val="FootnoteText"/>
        <w:rPr>
          <w:lang w:val="es-419"/>
        </w:rPr>
      </w:pPr>
      <w:r>
        <w:rPr>
          <w:rStyle w:val="FootnoteReference"/>
        </w:rPr>
        <w:footnoteRef/>
      </w:r>
      <w:r w:rsidRPr="00A83FD7">
        <w:rPr>
          <w:lang w:val="es-419"/>
        </w:rPr>
        <w:t xml:space="preserve"> “</w:t>
      </w:r>
      <w:proofErr w:type="spellStart"/>
      <w:r w:rsidRPr="00A83FD7">
        <w:rPr>
          <w:lang w:val="es-419"/>
        </w:rPr>
        <w:t>Protection</w:t>
      </w:r>
      <w:proofErr w:type="spellEnd"/>
      <w:r w:rsidRPr="00A83FD7">
        <w:rPr>
          <w:lang w:val="es-419"/>
        </w:rPr>
        <w:t xml:space="preserve"> </w:t>
      </w:r>
      <w:proofErr w:type="spellStart"/>
      <w:r w:rsidRPr="00A83FD7">
        <w:rPr>
          <w:lang w:val="es-419"/>
        </w:rPr>
        <w:t>extrajudiciare</w:t>
      </w:r>
      <w:proofErr w:type="spellEnd"/>
      <w:r w:rsidRPr="00A83FD7">
        <w:rPr>
          <w:lang w:val="es-419"/>
        </w:rPr>
        <w:t xml:space="preserve">: le </w:t>
      </w:r>
      <w:proofErr w:type="spellStart"/>
      <w:r w:rsidRPr="00A83FD7">
        <w:rPr>
          <w:lang w:val="es-419"/>
        </w:rPr>
        <w:t>mandat</w:t>
      </w:r>
      <w:proofErr w:type="spellEnd"/>
      <w:r w:rsidRPr="00A83FD7">
        <w:rPr>
          <w:lang w:val="es-419"/>
        </w:rPr>
        <w:t xml:space="preserve">,” online: </w:t>
      </w:r>
      <w:r w:rsidRPr="00A83FD7">
        <w:rPr>
          <w:i/>
          <w:lang w:val="es-419"/>
        </w:rPr>
        <w:t>Notaire.be</w:t>
      </w:r>
      <w:r w:rsidRPr="00A83FD7">
        <w:rPr>
          <w:lang w:val="es-419"/>
        </w:rPr>
        <w:t xml:space="preserve"> &lt;https://www.notaire.be/donations-successions/mandat-extrajudiciaire-et-protection-judiciaire/mandat-extrajudiciaire&gt;.</w:t>
      </w:r>
    </w:p>
  </w:footnote>
  <w:footnote w:id="736">
    <w:p w14:paraId="5D164BBF" w14:textId="34998FB6" w:rsidR="002774A4" w:rsidRPr="002D3DF3" w:rsidRDefault="002774A4" w:rsidP="007C31D1">
      <w:pPr>
        <w:pStyle w:val="FootnoteText"/>
      </w:pPr>
      <w:r>
        <w:rPr>
          <w:rStyle w:val="FootnoteReference"/>
        </w:rPr>
        <w:footnoteRef/>
      </w:r>
      <w:r>
        <w:t xml:space="preserve"> </w:t>
      </w:r>
      <w:r>
        <w:rPr>
          <w:i/>
        </w:rPr>
        <w:t xml:space="preserve">Belgian Civil Code, supra </w:t>
      </w:r>
      <w:r>
        <w:t xml:space="preserve">note </w:t>
      </w:r>
      <w:r>
        <w:fldChar w:fldCharType="begin"/>
      </w:r>
      <w:r>
        <w:instrText xml:space="preserve"> NOTEREF _Ref15303198 \h </w:instrText>
      </w:r>
      <w:r>
        <w:fldChar w:fldCharType="separate"/>
      </w:r>
      <w:r>
        <w:t>728</w:t>
      </w:r>
      <w:r>
        <w:fldChar w:fldCharType="end"/>
      </w:r>
      <w:r>
        <w:t>, art 490.</w:t>
      </w:r>
    </w:p>
  </w:footnote>
  <w:footnote w:id="737">
    <w:p w14:paraId="3B64C6EA" w14:textId="2B6BC983" w:rsidR="002774A4" w:rsidRPr="0065040C" w:rsidRDefault="002774A4" w:rsidP="007C31D1">
      <w:pPr>
        <w:pStyle w:val="FootnoteText"/>
      </w:pPr>
      <w:r>
        <w:rPr>
          <w:rStyle w:val="FootnoteReference"/>
        </w:rPr>
        <w:footnoteRef/>
      </w:r>
      <w:r>
        <w:t xml:space="preserve"> </w:t>
      </w:r>
      <w:r>
        <w:rPr>
          <w:i/>
        </w:rPr>
        <w:t xml:space="preserve">Ibid, </w:t>
      </w:r>
      <w:r>
        <w:t xml:space="preserve">art </w:t>
      </w:r>
      <w:proofErr w:type="gramStart"/>
      <w:r>
        <w:t>492.</w:t>
      </w:r>
      <w:proofErr w:type="gramEnd"/>
    </w:p>
  </w:footnote>
  <w:footnote w:id="738">
    <w:p w14:paraId="242FC165" w14:textId="7487593C" w:rsidR="002774A4" w:rsidRPr="00A3388A" w:rsidRDefault="002774A4" w:rsidP="007C31D1">
      <w:pPr>
        <w:pStyle w:val="FootnoteText"/>
      </w:pPr>
      <w:r>
        <w:rPr>
          <w:rStyle w:val="FootnoteReference"/>
        </w:rPr>
        <w:footnoteRef/>
      </w:r>
      <w:r>
        <w:t xml:space="preserve"> </w:t>
      </w:r>
      <w:r>
        <w:rPr>
          <w:i/>
        </w:rPr>
        <w:t xml:space="preserve">Ibid, </w:t>
      </w:r>
      <w:r>
        <w:t>art 491(f)</w:t>
      </w:r>
      <w:proofErr w:type="gramStart"/>
      <w:r>
        <w:t>.</w:t>
      </w:r>
      <w:proofErr w:type="gramEnd"/>
    </w:p>
  </w:footnote>
  <w:footnote w:id="739">
    <w:p w14:paraId="571B16FB" w14:textId="1006EB8E" w:rsidR="002774A4" w:rsidRPr="003D4146" w:rsidRDefault="002774A4" w:rsidP="007C31D1">
      <w:pPr>
        <w:pStyle w:val="FootnoteText"/>
      </w:pPr>
      <w:r>
        <w:rPr>
          <w:rStyle w:val="FootnoteReference"/>
        </w:rPr>
        <w:footnoteRef/>
      </w:r>
      <w:r>
        <w:t xml:space="preserve"> </w:t>
      </w:r>
      <w:r>
        <w:rPr>
          <w:i/>
        </w:rPr>
        <w:t xml:space="preserve">Ibid, </w:t>
      </w:r>
      <w:r>
        <w:t>art 494(e)</w:t>
      </w:r>
      <w:proofErr w:type="gramStart"/>
      <w:r>
        <w:t>.</w:t>
      </w:r>
      <w:proofErr w:type="gramEnd"/>
    </w:p>
  </w:footnote>
  <w:footnote w:id="740">
    <w:p w14:paraId="454D8C7A" w14:textId="61ABB8E2" w:rsidR="002774A4" w:rsidRPr="00513A9E" w:rsidRDefault="002774A4" w:rsidP="007C31D1">
      <w:pPr>
        <w:pStyle w:val="FootnoteText"/>
      </w:pPr>
      <w:r>
        <w:rPr>
          <w:rStyle w:val="FootnoteReference"/>
        </w:rPr>
        <w:footnoteRef/>
      </w:r>
      <w:r>
        <w:t xml:space="preserve"> </w:t>
      </w:r>
      <w:r>
        <w:rPr>
          <w:i/>
        </w:rPr>
        <w:t xml:space="preserve">Ibid, </w:t>
      </w:r>
      <w:r>
        <w:t>art 498/</w:t>
      </w:r>
      <w:proofErr w:type="gramStart"/>
      <w:r>
        <w:t>1.</w:t>
      </w:r>
      <w:proofErr w:type="gramEnd"/>
    </w:p>
  </w:footnote>
  <w:footnote w:id="741">
    <w:p w14:paraId="4B12F05F" w14:textId="6B63C1F7" w:rsidR="002774A4" w:rsidRPr="004B3EB9" w:rsidRDefault="002774A4" w:rsidP="007C31D1">
      <w:pPr>
        <w:pStyle w:val="FootnoteText"/>
      </w:pPr>
      <w:r>
        <w:rPr>
          <w:rStyle w:val="FootnoteReference"/>
        </w:rPr>
        <w:footnoteRef/>
      </w:r>
      <w:r>
        <w:t xml:space="preserve"> </w:t>
      </w:r>
      <w:r>
        <w:rPr>
          <w:i/>
        </w:rPr>
        <w:t xml:space="preserve">Ibid, </w:t>
      </w:r>
      <w:r>
        <w:t>art 498/</w:t>
      </w:r>
      <w:proofErr w:type="gramStart"/>
      <w:r>
        <w:t>2.</w:t>
      </w:r>
      <w:proofErr w:type="gramEnd"/>
    </w:p>
  </w:footnote>
  <w:footnote w:id="742">
    <w:p w14:paraId="309C545D" w14:textId="006B8D5E" w:rsidR="002774A4" w:rsidRPr="00D57684" w:rsidRDefault="002774A4" w:rsidP="007C31D1">
      <w:pPr>
        <w:pStyle w:val="FootnoteText"/>
      </w:pPr>
      <w:r>
        <w:rPr>
          <w:rStyle w:val="FootnoteReference"/>
        </w:rPr>
        <w:footnoteRef/>
      </w:r>
      <w:r>
        <w:t xml:space="preserve"> </w:t>
      </w:r>
      <w:r>
        <w:rPr>
          <w:i/>
        </w:rPr>
        <w:t xml:space="preserve">Ibid, </w:t>
      </w:r>
      <w:r>
        <w:t>art 492/</w:t>
      </w:r>
      <w:proofErr w:type="gramStart"/>
      <w:r>
        <w:t>2.</w:t>
      </w:r>
      <w:proofErr w:type="gramEnd"/>
    </w:p>
  </w:footnote>
  <w:footnote w:id="743">
    <w:p w14:paraId="0E9C24B5" w14:textId="07A0EBD5" w:rsidR="002774A4" w:rsidRPr="009F155E" w:rsidRDefault="002774A4" w:rsidP="00066AF6">
      <w:pPr>
        <w:pStyle w:val="FootnoteText"/>
      </w:pPr>
      <w:r>
        <w:rPr>
          <w:rStyle w:val="FootnoteReference"/>
        </w:rPr>
        <w:footnoteRef/>
      </w:r>
      <w:r>
        <w:t xml:space="preserve"> </w:t>
      </w:r>
      <w:r>
        <w:rPr>
          <w:i/>
        </w:rPr>
        <w:t xml:space="preserve">Ibid, </w:t>
      </w:r>
      <w:r>
        <w:t>art 491(g)</w:t>
      </w:r>
      <w:proofErr w:type="gramStart"/>
      <w:r>
        <w:t>.</w:t>
      </w:r>
      <w:proofErr w:type="gramEnd"/>
    </w:p>
  </w:footnote>
  <w:footnote w:id="744">
    <w:p w14:paraId="785D442E" w14:textId="32555E14" w:rsidR="002774A4" w:rsidRPr="0098161A" w:rsidRDefault="002774A4" w:rsidP="007C31D1">
      <w:pPr>
        <w:pStyle w:val="FootnoteText"/>
      </w:pPr>
      <w:r>
        <w:rPr>
          <w:rStyle w:val="FootnoteReference"/>
        </w:rPr>
        <w:footnoteRef/>
      </w:r>
      <w:r>
        <w:t xml:space="preserve"> </w:t>
      </w:r>
      <w:r>
        <w:rPr>
          <w:i/>
        </w:rPr>
        <w:t xml:space="preserve">Ibid, </w:t>
      </w:r>
      <w:r>
        <w:t>art 494(f)</w:t>
      </w:r>
      <w:proofErr w:type="gramStart"/>
      <w:r>
        <w:t>.</w:t>
      </w:r>
      <w:proofErr w:type="gramEnd"/>
    </w:p>
  </w:footnote>
  <w:footnote w:id="745">
    <w:p w14:paraId="2D0D9518" w14:textId="77777777" w:rsidR="002774A4" w:rsidRPr="00DA5BD7" w:rsidRDefault="002774A4" w:rsidP="007C31D1">
      <w:pPr>
        <w:pStyle w:val="FootnoteText"/>
        <w:rPr>
          <w:i/>
        </w:rPr>
      </w:pPr>
      <w:r>
        <w:rPr>
          <w:rStyle w:val="FootnoteReference"/>
        </w:rPr>
        <w:footnoteRef/>
      </w:r>
      <w:r>
        <w:t xml:space="preserve"> </w:t>
      </w:r>
      <w:r>
        <w:rPr>
          <w:i/>
        </w:rPr>
        <w:t>Ibid.</w:t>
      </w:r>
    </w:p>
  </w:footnote>
  <w:footnote w:id="746">
    <w:p w14:paraId="7D1D8146" w14:textId="15128DBD" w:rsidR="002774A4" w:rsidRPr="00CB1A22" w:rsidRDefault="002774A4" w:rsidP="007C31D1">
      <w:pPr>
        <w:pStyle w:val="FootnoteText"/>
      </w:pPr>
      <w:r>
        <w:rPr>
          <w:rStyle w:val="FootnoteReference"/>
        </w:rPr>
        <w:footnoteRef/>
      </w:r>
      <w:r>
        <w:t xml:space="preserve"> </w:t>
      </w:r>
      <w:r>
        <w:rPr>
          <w:i/>
        </w:rPr>
        <w:t xml:space="preserve">Ibid, </w:t>
      </w:r>
      <w:r>
        <w:t>arts 498/3, 498/4, 499/6, 499/14, 499/17.</w:t>
      </w:r>
    </w:p>
  </w:footnote>
  <w:footnote w:id="747">
    <w:p w14:paraId="3B0B3471" w14:textId="62933300" w:rsidR="002774A4" w:rsidRPr="00F26CA5" w:rsidRDefault="002774A4" w:rsidP="001A0EA3">
      <w:pPr>
        <w:pStyle w:val="FootnoteText"/>
      </w:pPr>
      <w:r>
        <w:rPr>
          <w:rStyle w:val="FootnoteReference"/>
        </w:rPr>
        <w:footnoteRef/>
      </w:r>
      <w:r>
        <w:t xml:space="preserve"> </w:t>
      </w:r>
      <w:r>
        <w:rPr>
          <w:i/>
        </w:rPr>
        <w:t xml:space="preserve">Ibid, </w:t>
      </w:r>
      <w:r>
        <w:t>art 496/</w:t>
      </w:r>
      <w:proofErr w:type="gramStart"/>
      <w:r>
        <w:t>77.</w:t>
      </w:r>
      <w:proofErr w:type="gramEnd"/>
    </w:p>
  </w:footnote>
  <w:footnote w:id="748">
    <w:p w14:paraId="6FF5462D" w14:textId="0A3A7DB3" w:rsidR="002774A4" w:rsidRPr="001329AD" w:rsidRDefault="002774A4" w:rsidP="007C31D1">
      <w:pPr>
        <w:pStyle w:val="FootnoteText"/>
      </w:pPr>
      <w:r>
        <w:rPr>
          <w:rStyle w:val="FootnoteReference"/>
        </w:rPr>
        <w:footnoteRef/>
      </w:r>
      <w:r>
        <w:t xml:space="preserve"> </w:t>
      </w:r>
      <w:r>
        <w:rPr>
          <w:i/>
        </w:rPr>
        <w:t xml:space="preserve">Ibid, </w:t>
      </w:r>
      <w:r>
        <w:t xml:space="preserve">art </w:t>
      </w:r>
      <w:proofErr w:type="gramStart"/>
      <w:r>
        <w:t>501.</w:t>
      </w:r>
      <w:proofErr w:type="gramEnd"/>
    </w:p>
  </w:footnote>
  <w:footnote w:id="749">
    <w:p w14:paraId="335D9019" w14:textId="6F21D068" w:rsidR="002774A4" w:rsidRPr="00BD71F1" w:rsidRDefault="002774A4">
      <w:pPr>
        <w:pStyle w:val="FootnoteText"/>
      </w:pPr>
      <w:r>
        <w:rPr>
          <w:rStyle w:val="FootnoteReference"/>
        </w:rPr>
        <w:footnoteRef/>
      </w:r>
      <w:r>
        <w:t xml:space="preserve"> </w:t>
      </w:r>
      <w:r>
        <w:rPr>
          <w:i/>
        </w:rPr>
        <w:t xml:space="preserve">Ibid, </w:t>
      </w:r>
      <w:r>
        <w:t>art 501/</w:t>
      </w:r>
      <w:proofErr w:type="gramStart"/>
      <w:r>
        <w:t>2.</w:t>
      </w:r>
      <w:proofErr w:type="gramEnd"/>
    </w:p>
  </w:footnote>
  <w:footnote w:id="750">
    <w:p w14:paraId="6229FC5B" w14:textId="5BF459FA" w:rsidR="002774A4" w:rsidRPr="008E23B1" w:rsidRDefault="002774A4">
      <w:pPr>
        <w:pStyle w:val="FootnoteText"/>
      </w:pPr>
      <w:r>
        <w:rPr>
          <w:rStyle w:val="FootnoteReference"/>
        </w:rPr>
        <w:footnoteRef/>
      </w:r>
      <w:r>
        <w:t xml:space="preserve"> </w:t>
      </w:r>
      <w:r>
        <w:rPr>
          <w:i/>
        </w:rPr>
        <w:t>Ibid.</w:t>
      </w:r>
    </w:p>
  </w:footnote>
  <w:footnote w:id="751">
    <w:p w14:paraId="2F920DFB" w14:textId="6E28025D" w:rsidR="002774A4" w:rsidRPr="003C781C" w:rsidRDefault="002774A4" w:rsidP="007C31D1">
      <w:pPr>
        <w:pStyle w:val="FootnoteText"/>
      </w:pPr>
      <w:r>
        <w:rPr>
          <w:rStyle w:val="FootnoteReference"/>
        </w:rPr>
        <w:footnoteRef/>
      </w:r>
      <w:r>
        <w:t xml:space="preserve"> </w:t>
      </w:r>
      <w:r>
        <w:rPr>
          <w:i/>
        </w:rPr>
        <w:t xml:space="preserve">Ibid, </w:t>
      </w:r>
      <w:r>
        <w:t>art 494(d)</w:t>
      </w:r>
      <w:proofErr w:type="gramStart"/>
      <w:r>
        <w:t>.</w:t>
      </w:r>
      <w:proofErr w:type="gramEnd"/>
    </w:p>
  </w:footnote>
  <w:footnote w:id="752">
    <w:p w14:paraId="112F23BD" w14:textId="044D5461" w:rsidR="002774A4" w:rsidRPr="00673F4D" w:rsidRDefault="002774A4" w:rsidP="007C31D1">
      <w:pPr>
        <w:pStyle w:val="FootnoteText"/>
      </w:pPr>
      <w:r>
        <w:rPr>
          <w:rStyle w:val="FootnoteReference"/>
        </w:rPr>
        <w:footnoteRef/>
      </w:r>
      <w:r>
        <w:t xml:space="preserve"> </w:t>
      </w:r>
      <w:r>
        <w:rPr>
          <w:i/>
        </w:rPr>
        <w:t xml:space="preserve">Ibid, </w:t>
      </w:r>
      <w:r>
        <w:t>art 501/</w:t>
      </w:r>
      <w:proofErr w:type="gramStart"/>
      <w:r>
        <w:t>2.</w:t>
      </w:r>
      <w:proofErr w:type="gramEnd"/>
    </w:p>
  </w:footnote>
  <w:footnote w:id="753">
    <w:p w14:paraId="3580B896" w14:textId="74B55E55" w:rsidR="002774A4" w:rsidRPr="004E2C8A" w:rsidRDefault="002774A4">
      <w:pPr>
        <w:pStyle w:val="FootnoteText"/>
        <w:rPr>
          <w:i/>
        </w:rPr>
      </w:pPr>
      <w:r>
        <w:rPr>
          <w:rStyle w:val="FootnoteReference"/>
        </w:rPr>
        <w:footnoteRef/>
      </w:r>
      <w:r>
        <w:t xml:space="preserve"> </w:t>
      </w:r>
      <w:r>
        <w:rPr>
          <w:i/>
        </w:rPr>
        <w:t>Ibid.</w:t>
      </w:r>
    </w:p>
  </w:footnote>
  <w:footnote w:id="754">
    <w:p w14:paraId="587ABD0F" w14:textId="7E5E91DE" w:rsidR="002774A4" w:rsidRPr="005F0E9E" w:rsidRDefault="002774A4" w:rsidP="007C31D1">
      <w:pPr>
        <w:pStyle w:val="FootnoteText"/>
      </w:pPr>
      <w:r>
        <w:rPr>
          <w:rStyle w:val="FootnoteReference"/>
        </w:rPr>
        <w:footnoteRef/>
      </w:r>
      <w:r>
        <w:t xml:space="preserve"> </w:t>
      </w:r>
      <w:r>
        <w:rPr>
          <w:i/>
        </w:rPr>
        <w:t xml:space="preserve">Ibid, </w:t>
      </w:r>
      <w:r>
        <w:t xml:space="preserve">art </w:t>
      </w:r>
      <w:proofErr w:type="gramStart"/>
      <w:r>
        <w:t>496.</w:t>
      </w:r>
      <w:proofErr w:type="gramEnd"/>
    </w:p>
  </w:footnote>
  <w:footnote w:id="755">
    <w:p w14:paraId="77B3D983" w14:textId="411B7535" w:rsidR="002774A4" w:rsidRPr="00CD5E9C" w:rsidRDefault="002774A4" w:rsidP="007C31D1">
      <w:pPr>
        <w:pStyle w:val="FootnoteText"/>
      </w:pPr>
      <w:r>
        <w:rPr>
          <w:rStyle w:val="FootnoteReference"/>
        </w:rPr>
        <w:footnoteRef/>
      </w:r>
      <w:r>
        <w:t xml:space="preserve"> </w:t>
      </w:r>
      <w:r>
        <w:rPr>
          <w:i/>
        </w:rPr>
        <w:t xml:space="preserve">Ibid, </w:t>
      </w:r>
      <w:r>
        <w:t>arts 496/2 &amp; 501.</w:t>
      </w:r>
    </w:p>
  </w:footnote>
  <w:footnote w:id="756">
    <w:p w14:paraId="49AC7A77" w14:textId="309371EC" w:rsidR="002774A4" w:rsidRPr="0024537C" w:rsidRDefault="002774A4" w:rsidP="007C31D1">
      <w:pPr>
        <w:pStyle w:val="FootnoteText"/>
      </w:pPr>
      <w:r>
        <w:rPr>
          <w:rStyle w:val="FootnoteReference"/>
        </w:rPr>
        <w:footnoteRef/>
      </w:r>
      <w:r>
        <w:t xml:space="preserve"> </w:t>
      </w:r>
      <w:r>
        <w:rPr>
          <w:i/>
        </w:rPr>
        <w:t xml:space="preserve">Ibid, </w:t>
      </w:r>
      <w:r>
        <w:t>art 496/</w:t>
      </w:r>
      <w:proofErr w:type="gramStart"/>
      <w:r>
        <w:t>3.</w:t>
      </w:r>
      <w:proofErr w:type="gramEnd"/>
    </w:p>
  </w:footnote>
  <w:footnote w:id="757">
    <w:p w14:paraId="78E2F514" w14:textId="7C88049D" w:rsidR="002774A4" w:rsidRPr="0074616A" w:rsidRDefault="002774A4" w:rsidP="007C31D1">
      <w:pPr>
        <w:pStyle w:val="FootnoteText"/>
      </w:pPr>
      <w:r>
        <w:rPr>
          <w:rStyle w:val="FootnoteReference"/>
        </w:rPr>
        <w:footnoteRef/>
      </w:r>
      <w:r>
        <w:t xml:space="preserve"> </w:t>
      </w:r>
      <w:r>
        <w:rPr>
          <w:i/>
        </w:rPr>
        <w:t xml:space="preserve">Ibid, </w:t>
      </w:r>
      <w:r>
        <w:t>art 496/</w:t>
      </w:r>
      <w:proofErr w:type="gramStart"/>
      <w:r>
        <w:t>3.</w:t>
      </w:r>
      <w:proofErr w:type="gramEnd"/>
    </w:p>
  </w:footnote>
  <w:footnote w:id="758">
    <w:p w14:paraId="35E0F5E7" w14:textId="5BA5EC8E" w:rsidR="002774A4" w:rsidRPr="00B25972" w:rsidRDefault="002774A4" w:rsidP="007C31D1">
      <w:pPr>
        <w:pStyle w:val="FootnoteText"/>
      </w:pPr>
      <w:r>
        <w:rPr>
          <w:rStyle w:val="FootnoteReference"/>
        </w:rPr>
        <w:footnoteRef/>
      </w:r>
      <w:r>
        <w:t xml:space="preserve"> </w:t>
      </w:r>
      <w:r>
        <w:rPr>
          <w:i/>
        </w:rPr>
        <w:t xml:space="preserve">Ibid, </w:t>
      </w:r>
      <w:r>
        <w:t xml:space="preserve">art </w:t>
      </w:r>
      <w:proofErr w:type="gramStart"/>
      <w:r>
        <w:t>501.</w:t>
      </w:r>
      <w:proofErr w:type="gramEnd"/>
    </w:p>
  </w:footnote>
  <w:footnote w:id="759">
    <w:p w14:paraId="1F655498" w14:textId="0076BD34" w:rsidR="002774A4" w:rsidRPr="00565C9F" w:rsidRDefault="002774A4">
      <w:pPr>
        <w:pStyle w:val="FootnoteText"/>
      </w:pPr>
      <w:r>
        <w:rPr>
          <w:rStyle w:val="FootnoteReference"/>
        </w:rPr>
        <w:footnoteRef/>
      </w:r>
      <w:r>
        <w:t xml:space="preserve"> See </w:t>
      </w:r>
      <w:r>
        <w:rPr>
          <w:i/>
        </w:rPr>
        <w:t xml:space="preserve">Ibid, </w:t>
      </w:r>
      <w:r>
        <w:t>art 492.</w:t>
      </w:r>
    </w:p>
  </w:footnote>
  <w:footnote w:id="760">
    <w:p w14:paraId="32E18FB2" w14:textId="05E44AAF" w:rsidR="002774A4" w:rsidRPr="001C7114" w:rsidRDefault="002774A4">
      <w:pPr>
        <w:pStyle w:val="FootnoteText"/>
      </w:pPr>
      <w:r>
        <w:rPr>
          <w:rStyle w:val="FootnoteReference"/>
        </w:rPr>
        <w:footnoteRef/>
      </w:r>
      <w:r>
        <w:t xml:space="preserve"> See </w:t>
      </w:r>
      <w:r w:rsidRPr="00A550A1">
        <w:rPr>
          <w:color w:val="000000" w:themeColor="text1"/>
        </w:rPr>
        <w:t xml:space="preserve">Committee on the Rights of Persons with Disabilities, </w:t>
      </w:r>
      <w:r>
        <w:t xml:space="preserve">“General comment No.1,” </w:t>
      </w:r>
      <w:r w:rsidRPr="00A550A1">
        <w:rPr>
          <w:i/>
          <w:color w:val="000000" w:themeColor="text1"/>
        </w:rPr>
        <w:t xml:space="preserve">supra </w:t>
      </w:r>
      <w:r w:rsidRPr="00A550A1">
        <w:rPr>
          <w:color w:val="000000" w:themeColor="text1"/>
        </w:rPr>
        <w:t xml:space="preserve">note </w:t>
      </w:r>
      <w:r>
        <w:rPr>
          <w:color w:val="000000" w:themeColor="text1"/>
        </w:rPr>
        <w:fldChar w:fldCharType="begin"/>
      </w:r>
      <w:r>
        <w:rPr>
          <w:color w:val="000000" w:themeColor="text1"/>
        </w:rPr>
        <w:instrText xml:space="preserve"> NOTEREF _Ref15295251 \h </w:instrText>
      </w:r>
      <w:r>
        <w:rPr>
          <w:color w:val="000000" w:themeColor="text1"/>
        </w:rPr>
      </w:r>
      <w:r>
        <w:rPr>
          <w:color w:val="000000" w:themeColor="text1"/>
        </w:rPr>
        <w:fldChar w:fldCharType="separate"/>
      </w:r>
      <w:proofErr w:type="gramStart"/>
      <w:r>
        <w:rPr>
          <w:color w:val="000000" w:themeColor="text1"/>
        </w:rPr>
        <w:t>7</w:t>
      </w:r>
      <w:proofErr w:type="gramEnd"/>
      <w:r>
        <w:rPr>
          <w:color w:val="000000" w:themeColor="text1"/>
        </w:rPr>
        <w:fldChar w:fldCharType="end"/>
      </w:r>
      <w:r>
        <w:rPr>
          <w:color w:val="000000" w:themeColor="text1"/>
        </w:rPr>
        <w:t xml:space="preserve"> at </w:t>
      </w:r>
      <w:r>
        <w:t>para 15.</w:t>
      </w:r>
    </w:p>
  </w:footnote>
  <w:footnote w:id="761">
    <w:p w14:paraId="242C4A38" w14:textId="5876F2A7" w:rsidR="002774A4" w:rsidRPr="00483559" w:rsidRDefault="002774A4">
      <w:pPr>
        <w:pStyle w:val="FootnoteText"/>
      </w:pPr>
      <w:r>
        <w:rPr>
          <w:rStyle w:val="FootnoteReference"/>
        </w:rPr>
        <w:footnoteRef/>
      </w:r>
      <w:r>
        <w:t xml:space="preserve"> See </w:t>
      </w:r>
      <w:r>
        <w:rPr>
          <w:i/>
        </w:rPr>
        <w:t xml:space="preserve">Belgian Civil </w:t>
      </w:r>
      <w:proofErr w:type="gramStart"/>
      <w:r>
        <w:rPr>
          <w:i/>
        </w:rPr>
        <w:t>Code,</w:t>
      </w:r>
      <w:proofErr w:type="gramEnd"/>
      <w:r>
        <w:rPr>
          <w:i/>
        </w:rPr>
        <w:t xml:space="preserve"> supra </w:t>
      </w:r>
      <w:r>
        <w:t xml:space="preserve">note </w:t>
      </w:r>
      <w:r>
        <w:fldChar w:fldCharType="begin"/>
      </w:r>
      <w:r>
        <w:instrText xml:space="preserve"> NOTEREF _Ref15303198 \h </w:instrText>
      </w:r>
      <w:r>
        <w:fldChar w:fldCharType="separate"/>
      </w:r>
      <w:r>
        <w:t>728</w:t>
      </w:r>
      <w:r>
        <w:fldChar w:fldCharType="end"/>
      </w:r>
      <w:r>
        <w:fldChar w:fldCharType="begin"/>
      </w:r>
      <w:r>
        <w:instrText xml:space="preserve"> NOTEREF _Ref15303198 \h </w:instrText>
      </w:r>
      <w:r>
        <w:fldChar w:fldCharType="end"/>
      </w:r>
      <w:r>
        <w:t>, art 494(e).</w:t>
      </w:r>
    </w:p>
  </w:footnote>
  <w:footnote w:id="762">
    <w:p w14:paraId="12467FA7" w14:textId="08EC8C0E" w:rsidR="002774A4" w:rsidRPr="00891CE1" w:rsidRDefault="002774A4" w:rsidP="007C31D1">
      <w:pPr>
        <w:pStyle w:val="FootnoteText"/>
      </w:pPr>
      <w:r>
        <w:rPr>
          <w:rStyle w:val="FootnoteReference"/>
        </w:rPr>
        <w:footnoteRef/>
      </w:r>
      <w:r>
        <w:t xml:space="preserve"> </w:t>
      </w:r>
      <w:proofErr w:type="spellStart"/>
      <w:r w:rsidRPr="00783360">
        <w:t>Devandas</w:t>
      </w:r>
      <w:proofErr w:type="spellEnd"/>
      <w:r w:rsidRPr="00783360">
        <w:t xml:space="preserve"> Aguilar, </w:t>
      </w:r>
      <w:r w:rsidRPr="00783360">
        <w:rPr>
          <w:i/>
        </w:rPr>
        <w:t xml:space="preserve">supra </w:t>
      </w:r>
      <w:r w:rsidRPr="00783360">
        <w:t xml:space="preserve">note </w:t>
      </w:r>
      <w:r>
        <w:fldChar w:fldCharType="begin"/>
      </w:r>
      <w:r>
        <w:instrText xml:space="preserve"> NOTEREF _Ref15295121 \h </w:instrText>
      </w:r>
      <w:r>
        <w:fldChar w:fldCharType="separate"/>
      </w:r>
      <w:proofErr w:type="gramStart"/>
      <w:r>
        <w:t>8</w:t>
      </w:r>
      <w:proofErr w:type="gramEnd"/>
      <w:r>
        <w:fldChar w:fldCharType="end"/>
      </w:r>
      <w:r>
        <w:t xml:space="preserve"> at para 45.</w:t>
      </w:r>
    </w:p>
  </w:footnote>
  <w:footnote w:id="763">
    <w:p w14:paraId="359BF040" w14:textId="30CE5B59" w:rsidR="002774A4" w:rsidRPr="00FD7C57" w:rsidRDefault="002774A4" w:rsidP="007C31D1">
      <w:pPr>
        <w:pStyle w:val="FootnoteText"/>
      </w:pPr>
      <w:r>
        <w:rPr>
          <w:rStyle w:val="FootnoteReference"/>
        </w:rPr>
        <w:footnoteRef/>
      </w:r>
      <w:r>
        <w:t xml:space="preserve"> </w:t>
      </w:r>
      <w:r>
        <w:rPr>
          <w:i/>
        </w:rPr>
        <w:t xml:space="preserve">Belgian Civil Code, supra </w:t>
      </w:r>
      <w:r>
        <w:t xml:space="preserve">note </w:t>
      </w:r>
      <w:r>
        <w:fldChar w:fldCharType="begin"/>
      </w:r>
      <w:r>
        <w:instrText xml:space="preserve"> NOTEREF _Ref15303198 \h </w:instrText>
      </w:r>
      <w:r>
        <w:fldChar w:fldCharType="separate"/>
      </w:r>
      <w:r>
        <w:t>728</w:t>
      </w:r>
      <w:r>
        <w:fldChar w:fldCharType="end"/>
      </w:r>
      <w:r>
        <w:t>, art 498/2.</w:t>
      </w:r>
    </w:p>
  </w:footnote>
  <w:footnote w:id="764">
    <w:p w14:paraId="4227E92A" w14:textId="2B34CD91" w:rsidR="002774A4" w:rsidRPr="00C00C8C" w:rsidRDefault="002774A4">
      <w:pPr>
        <w:pStyle w:val="FootnoteText"/>
      </w:pPr>
      <w:r>
        <w:rPr>
          <w:rStyle w:val="FootnoteReference"/>
        </w:rPr>
        <w:footnoteRef/>
      </w:r>
      <w:r>
        <w:t xml:space="preserve"> See </w:t>
      </w:r>
      <w:r>
        <w:rPr>
          <w:i/>
        </w:rPr>
        <w:t xml:space="preserve">Ibid, </w:t>
      </w:r>
      <w:r>
        <w:t>art 492.</w:t>
      </w:r>
    </w:p>
  </w:footnote>
  <w:footnote w:id="765">
    <w:p w14:paraId="0A8918E9" w14:textId="759D4166" w:rsidR="002774A4" w:rsidRDefault="002774A4">
      <w:pPr>
        <w:pStyle w:val="FootnoteText"/>
      </w:pPr>
      <w:r>
        <w:rPr>
          <w:rStyle w:val="FootnoteReference"/>
        </w:rPr>
        <w:footnoteRef/>
      </w:r>
      <w:r>
        <w:t xml:space="preserve"> </w:t>
      </w:r>
      <w:r>
        <w:rPr>
          <w:i/>
        </w:rPr>
        <w:t xml:space="preserve">Ibid, </w:t>
      </w:r>
      <w:r>
        <w:t>art 491(f)</w:t>
      </w:r>
      <w:proofErr w:type="gramStart"/>
      <w:r>
        <w:t>.</w:t>
      </w:r>
      <w:proofErr w:type="gramEnd"/>
    </w:p>
  </w:footnote>
  <w:footnote w:id="766">
    <w:p w14:paraId="07BBE78D" w14:textId="73474F38" w:rsidR="002774A4" w:rsidRDefault="002774A4">
      <w:pPr>
        <w:pStyle w:val="FootnoteText"/>
      </w:pPr>
      <w:r>
        <w:rPr>
          <w:rStyle w:val="FootnoteReference"/>
        </w:rPr>
        <w:footnoteRef/>
      </w:r>
      <w:r>
        <w:t xml:space="preserve"> </w:t>
      </w:r>
      <w:r>
        <w:rPr>
          <w:i/>
        </w:rPr>
        <w:t xml:space="preserve">Ibid, </w:t>
      </w:r>
      <w:r>
        <w:t>art 491(g)</w:t>
      </w:r>
    </w:p>
  </w:footnote>
  <w:footnote w:id="767">
    <w:p w14:paraId="686E20DF" w14:textId="504F9674" w:rsidR="002774A4" w:rsidRDefault="002774A4">
      <w:pPr>
        <w:pStyle w:val="FootnoteText"/>
      </w:pPr>
      <w:r>
        <w:rPr>
          <w:rStyle w:val="FootnoteReference"/>
        </w:rPr>
        <w:footnoteRef/>
      </w:r>
      <w:r>
        <w:t xml:space="preserve"> See </w:t>
      </w:r>
      <w:r w:rsidRPr="00A550A1">
        <w:rPr>
          <w:color w:val="000000" w:themeColor="text1"/>
        </w:rPr>
        <w:t xml:space="preserve">Committee on the Rights of Persons with Disabilities, </w:t>
      </w:r>
      <w:r>
        <w:rPr>
          <w:color w:val="000000" w:themeColor="text1"/>
        </w:rPr>
        <w:t>“</w:t>
      </w:r>
      <w:r>
        <w:t xml:space="preserve">General comment No.1,” </w:t>
      </w:r>
      <w:r w:rsidRPr="00A550A1">
        <w:rPr>
          <w:i/>
          <w:color w:val="000000" w:themeColor="text1"/>
        </w:rPr>
        <w:t xml:space="preserve">supra </w:t>
      </w:r>
      <w:r w:rsidRPr="00A550A1">
        <w:rPr>
          <w:color w:val="000000" w:themeColor="text1"/>
        </w:rPr>
        <w:t xml:space="preserve">note </w:t>
      </w:r>
      <w:r>
        <w:rPr>
          <w:color w:val="000000" w:themeColor="text1"/>
        </w:rPr>
        <w:fldChar w:fldCharType="begin"/>
      </w:r>
      <w:r>
        <w:rPr>
          <w:color w:val="000000" w:themeColor="text1"/>
        </w:rPr>
        <w:instrText xml:space="preserve"> NOTEREF _Ref15295251 \h </w:instrText>
      </w:r>
      <w:r>
        <w:rPr>
          <w:color w:val="000000" w:themeColor="text1"/>
        </w:rPr>
      </w:r>
      <w:r>
        <w:rPr>
          <w:color w:val="000000" w:themeColor="text1"/>
        </w:rPr>
        <w:fldChar w:fldCharType="separate"/>
      </w:r>
      <w:proofErr w:type="gramStart"/>
      <w:r>
        <w:rPr>
          <w:color w:val="000000" w:themeColor="text1"/>
        </w:rPr>
        <w:t>7</w:t>
      </w:r>
      <w:proofErr w:type="gramEnd"/>
      <w:r>
        <w:rPr>
          <w:color w:val="000000" w:themeColor="text1"/>
        </w:rPr>
        <w:fldChar w:fldCharType="end"/>
      </w:r>
      <w:r>
        <w:rPr>
          <w:color w:val="000000" w:themeColor="text1"/>
        </w:rPr>
        <w:t xml:space="preserve"> at para </w:t>
      </w:r>
      <w:r>
        <w:t>29(i).</w:t>
      </w:r>
    </w:p>
  </w:footnote>
  <w:footnote w:id="768">
    <w:p w14:paraId="56750054" w14:textId="55FB5FB0" w:rsidR="002774A4" w:rsidRDefault="002774A4">
      <w:pPr>
        <w:pStyle w:val="FootnoteText"/>
      </w:pPr>
      <w:r>
        <w:rPr>
          <w:rStyle w:val="FootnoteReference"/>
        </w:rPr>
        <w:footnoteRef/>
      </w:r>
      <w:r>
        <w:t xml:space="preserve"> </w:t>
      </w:r>
      <w:r>
        <w:rPr>
          <w:i/>
        </w:rPr>
        <w:t xml:space="preserve">Belgian Civil Code, supra </w:t>
      </w:r>
      <w:r>
        <w:t xml:space="preserve">note </w:t>
      </w:r>
      <w:r>
        <w:fldChar w:fldCharType="begin"/>
      </w:r>
      <w:r>
        <w:instrText xml:space="preserve"> NOTEREF _Ref15303198 \h </w:instrText>
      </w:r>
      <w:r>
        <w:fldChar w:fldCharType="separate"/>
      </w:r>
      <w:r>
        <w:t>728</w:t>
      </w:r>
      <w:r>
        <w:fldChar w:fldCharType="end"/>
      </w:r>
      <w:r>
        <w:rPr>
          <w:i/>
        </w:rPr>
        <w:t xml:space="preserve">, </w:t>
      </w:r>
      <w:r>
        <w:t>art 492/5.</w:t>
      </w:r>
    </w:p>
  </w:footnote>
  <w:footnote w:id="769">
    <w:p w14:paraId="05776E8F" w14:textId="353DFF75" w:rsidR="002774A4" w:rsidRPr="00FC767E" w:rsidRDefault="002774A4" w:rsidP="00E53B23">
      <w:pPr>
        <w:pStyle w:val="FootnoteText"/>
        <w:rPr>
          <w:i/>
        </w:rPr>
      </w:pPr>
      <w:r>
        <w:rPr>
          <w:rStyle w:val="FootnoteReference"/>
        </w:rPr>
        <w:footnoteRef/>
      </w:r>
      <w:r>
        <w:t xml:space="preserve"> </w:t>
      </w:r>
      <w:r>
        <w:rPr>
          <w:i/>
        </w:rPr>
        <w:t>Ibid.</w:t>
      </w:r>
    </w:p>
  </w:footnote>
  <w:footnote w:id="770">
    <w:p w14:paraId="13106A91" w14:textId="318D6AF9" w:rsidR="002774A4" w:rsidRPr="00D32416" w:rsidRDefault="002774A4">
      <w:pPr>
        <w:pStyle w:val="FootnoteText"/>
      </w:pPr>
      <w:r>
        <w:rPr>
          <w:rStyle w:val="FootnoteReference"/>
        </w:rPr>
        <w:footnoteRef/>
      </w:r>
      <w:r>
        <w:t xml:space="preserve"> See </w:t>
      </w:r>
      <w:r>
        <w:rPr>
          <w:i/>
        </w:rPr>
        <w:t xml:space="preserve">Ibid, </w:t>
      </w:r>
      <w:r>
        <w:t>494(d).</w:t>
      </w:r>
    </w:p>
  </w:footnote>
  <w:footnote w:id="771">
    <w:p w14:paraId="3A5CA523" w14:textId="4F046CDD" w:rsidR="002774A4" w:rsidRPr="008673C3" w:rsidRDefault="002774A4" w:rsidP="007C31D1">
      <w:pPr>
        <w:pStyle w:val="FootnoteText"/>
      </w:pPr>
      <w:r>
        <w:rPr>
          <w:rStyle w:val="FootnoteReference"/>
        </w:rPr>
        <w:footnoteRef/>
      </w:r>
      <w:r>
        <w:t xml:space="preserve"> </w:t>
      </w:r>
      <w:r>
        <w:rPr>
          <w:i/>
        </w:rPr>
        <w:t xml:space="preserve">Ibid, </w:t>
      </w:r>
      <w:r>
        <w:t xml:space="preserve">art </w:t>
      </w:r>
      <w:proofErr w:type="gramStart"/>
      <w:r>
        <w:t>501.</w:t>
      </w:r>
      <w:proofErr w:type="gramEnd"/>
    </w:p>
  </w:footnote>
  <w:footnote w:id="772">
    <w:p w14:paraId="0F37FA0C" w14:textId="42BEC779" w:rsidR="002774A4" w:rsidRPr="007B4AE6" w:rsidRDefault="002774A4" w:rsidP="007C31D1">
      <w:pPr>
        <w:pStyle w:val="FootnoteText"/>
      </w:pPr>
      <w:r>
        <w:rPr>
          <w:rStyle w:val="FootnoteReference"/>
        </w:rPr>
        <w:footnoteRef/>
      </w:r>
      <w:r>
        <w:t xml:space="preserve"> </w:t>
      </w:r>
      <w:r>
        <w:rPr>
          <w:i/>
        </w:rPr>
        <w:t>Ibid.</w:t>
      </w:r>
    </w:p>
  </w:footnote>
  <w:footnote w:id="773">
    <w:p w14:paraId="71805907" w14:textId="18AE5B56" w:rsidR="002774A4" w:rsidRPr="000966C6" w:rsidRDefault="002774A4" w:rsidP="007C31D1">
      <w:pPr>
        <w:pStyle w:val="FootnoteText"/>
      </w:pPr>
      <w:r>
        <w:rPr>
          <w:rStyle w:val="FootnoteReference"/>
        </w:rPr>
        <w:footnoteRef/>
      </w:r>
      <w:r>
        <w:t xml:space="preserve"> </w:t>
      </w:r>
      <w:r>
        <w:rPr>
          <w:i/>
        </w:rPr>
        <w:t>Ibid.</w:t>
      </w:r>
    </w:p>
  </w:footnote>
  <w:footnote w:id="774">
    <w:p w14:paraId="5EB15EE3" w14:textId="7638F457" w:rsidR="002774A4" w:rsidRPr="005018B8" w:rsidRDefault="002774A4">
      <w:pPr>
        <w:pStyle w:val="FootnoteText"/>
        <w:rPr>
          <w:i/>
        </w:rPr>
      </w:pPr>
      <w:r>
        <w:rPr>
          <w:rStyle w:val="FootnoteReference"/>
        </w:rPr>
        <w:footnoteRef/>
      </w:r>
      <w:r>
        <w:t xml:space="preserve"> See</w:t>
      </w:r>
      <w:r>
        <w:rPr>
          <w:i/>
        </w:rPr>
        <w:t xml:space="preserve"> Ibid, </w:t>
      </w:r>
      <w:r>
        <w:t>arts 498/3, 498/4, 499/6, 499/14, 499/17.</w:t>
      </w:r>
    </w:p>
  </w:footnote>
  <w:footnote w:id="775">
    <w:p w14:paraId="1F1DF5C1" w14:textId="3F81AC62" w:rsidR="002774A4" w:rsidRPr="00F90012" w:rsidRDefault="002774A4">
      <w:pPr>
        <w:pStyle w:val="FootnoteText"/>
      </w:pPr>
      <w:r>
        <w:rPr>
          <w:rStyle w:val="FootnoteReference"/>
        </w:rPr>
        <w:footnoteRef/>
      </w:r>
      <w:r>
        <w:t xml:space="preserve"> See </w:t>
      </w:r>
      <w:r>
        <w:rPr>
          <w:i/>
        </w:rPr>
        <w:t xml:space="preserve">Ibid, </w:t>
      </w:r>
      <w:r>
        <w:t>arts 494(d), 501/2.</w:t>
      </w:r>
    </w:p>
  </w:footnote>
  <w:footnote w:id="776">
    <w:p w14:paraId="02C3E397" w14:textId="25E62B67" w:rsidR="002774A4" w:rsidRPr="00F26CA5" w:rsidRDefault="002774A4">
      <w:pPr>
        <w:pStyle w:val="FootnoteText"/>
      </w:pPr>
      <w:r>
        <w:rPr>
          <w:rStyle w:val="FootnoteReference"/>
        </w:rPr>
        <w:footnoteRef/>
      </w:r>
      <w:r>
        <w:t xml:space="preserve"> See </w:t>
      </w:r>
      <w:r>
        <w:rPr>
          <w:i/>
        </w:rPr>
        <w:t xml:space="preserve">Ibid, </w:t>
      </w:r>
      <w:r>
        <w:t>art 496/77.</w:t>
      </w:r>
    </w:p>
  </w:footnote>
  <w:footnote w:id="777">
    <w:p w14:paraId="63E443FF" w14:textId="665933CA" w:rsidR="002774A4" w:rsidRPr="007F1D0D" w:rsidRDefault="002774A4" w:rsidP="007C31D1">
      <w:pPr>
        <w:pStyle w:val="FootnoteText"/>
      </w:pPr>
      <w:r>
        <w:rPr>
          <w:rStyle w:val="FootnoteReference"/>
        </w:rPr>
        <w:footnoteRef/>
      </w:r>
      <w:r>
        <w:t xml:space="preserve"> </w:t>
      </w:r>
      <w:r>
        <w:rPr>
          <w:i/>
        </w:rPr>
        <w:t xml:space="preserve">Ibid, </w:t>
      </w:r>
      <w:r>
        <w:t xml:space="preserve">art </w:t>
      </w:r>
      <w:proofErr w:type="gramStart"/>
      <w:r>
        <w:t>490.</w:t>
      </w:r>
      <w:proofErr w:type="gramEnd"/>
    </w:p>
  </w:footnote>
  <w:footnote w:id="778">
    <w:p w14:paraId="2B4F972E" w14:textId="1210E497" w:rsidR="002774A4" w:rsidRPr="002A4FF7" w:rsidRDefault="002774A4">
      <w:pPr>
        <w:pStyle w:val="FootnoteText"/>
      </w:pPr>
      <w:r>
        <w:rPr>
          <w:rStyle w:val="FootnoteReference"/>
        </w:rPr>
        <w:footnoteRef/>
      </w:r>
      <w:r>
        <w:t xml:space="preserve"> “Protection </w:t>
      </w:r>
      <w:proofErr w:type="spellStart"/>
      <w:r>
        <w:t>extrajudiciare</w:t>
      </w:r>
      <w:proofErr w:type="spellEnd"/>
      <w:r>
        <w:t xml:space="preserve">: le </w:t>
      </w:r>
      <w:proofErr w:type="spellStart"/>
      <w:r>
        <w:t>mandat</w:t>
      </w:r>
      <w:proofErr w:type="spellEnd"/>
      <w:r>
        <w:t xml:space="preserve">,” </w:t>
      </w:r>
      <w:r>
        <w:rPr>
          <w:i/>
        </w:rPr>
        <w:t xml:space="preserve">supra </w:t>
      </w:r>
      <w:r>
        <w:t xml:space="preserve">note </w:t>
      </w:r>
      <w:r>
        <w:fldChar w:fldCharType="begin"/>
      </w:r>
      <w:r>
        <w:instrText xml:space="preserve"> NOTEREF _Ref15305646 \h </w:instrText>
      </w:r>
      <w:r>
        <w:fldChar w:fldCharType="separate"/>
      </w:r>
      <w:r>
        <w:t>735</w:t>
      </w:r>
      <w:r>
        <w:fldChar w:fldCharType="end"/>
      </w:r>
      <w:r>
        <w:t>.</w:t>
      </w:r>
    </w:p>
  </w:footnote>
  <w:footnote w:id="779">
    <w:p w14:paraId="4711818D" w14:textId="55D8B006" w:rsidR="002774A4" w:rsidRPr="009013FD" w:rsidRDefault="002774A4" w:rsidP="007C31D1">
      <w:pPr>
        <w:pStyle w:val="FootnoteText"/>
      </w:pPr>
      <w:r>
        <w:rPr>
          <w:rStyle w:val="FootnoteReference"/>
        </w:rPr>
        <w:footnoteRef/>
      </w:r>
      <w:r>
        <w:t xml:space="preserve"> </w:t>
      </w:r>
      <w:r>
        <w:rPr>
          <w:i/>
        </w:rPr>
        <w:t xml:space="preserve">Belgian Civil Code, supra </w:t>
      </w:r>
      <w:r>
        <w:t>note</w:t>
      </w:r>
      <w:r>
        <w:rPr>
          <w:i/>
        </w:rPr>
        <w:t xml:space="preserve">, supra </w:t>
      </w:r>
      <w:r>
        <w:t xml:space="preserve">note </w:t>
      </w:r>
      <w:r>
        <w:fldChar w:fldCharType="begin"/>
      </w:r>
      <w:r>
        <w:instrText xml:space="preserve"> NOTEREF _Ref15303198 \h </w:instrText>
      </w:r>
      <w:r>
        <w:fldChar w:fldCharType="separate"/>
      </w:r>
      <w:r>
        <w:t>728</w:t>
      </w:r>
      <w:r>
        <w:fldChar w:fldCharType="end"/>
      </w:r>
      <w:r>
        <w:t>,</w:t>
      </w:r>
      <w:r>
        <w:rPr>
          <w:i/>
        </w:rPr>
        <w:t xml:space="preserve"> </w:t>
      </w:r>
      <w:proofErr w:type="gramStart"/>
      <w:r>
        <w:t>art 489 (extra judicial protection pertains to “acts of representation”)</w:t>
      </w:r>
      <w:proofErr w:type="gramEnd"/>
      <w:r>
        <w:t>.</w:t>
      </w:r>
    </w:p>
  </w:footnote>
  <w:footnote w:id="780">
    <w:p w14:paraId="000C2C13" w14:textId="092F6F7C" w:rsidR="002774A4" w:rsidRDefault="002774A4">
      <w:pPr>
        <w:pStyle w:val="FootnoteText"/>
      </w:pPr>
      <w:r>
        <w:rPr>
          <w:rStyle w:val="FootnoteReference"/>
        </w:rPr>
        <w:footnoteRef/>
      </w:r>
      <w:r>
        <w:t xml:space="preserve"> Committee on the Rights of Persons with Disabilities, </w:t>
      </w:r>
      <w:r>
        <w:rPr>
          <w:i/>
        </w:rPr>
        <w:t xml:space="preserve">Concluding observations on the initial report of Belgium </w:t>
      </w:r>
      <w:r>
        <w:t>(28 October 2014) at para 24, online: &lt;</w:t>
      </w:r>
      <w:r w:rsidRPr="00F2176E">
        <w:t xml:space="preserve"> </w:t>
      </w:r>
      <w:hyperlink r:id="rId32" w:history="1">
        <w:r w:rsidRPr="005D14B6">
          <w:rPr>
            <w:rStyle w:val="Hyperlink"/>
          </w:rPr>
          <w:t>http://docstore.ohchr.org/SelfServices/FilesHandler.ashx?enc=6QkG1d%2fPPRiCAqhKb7yhsjjHe7ia4QapdfXcn9RXjWGUnLq7lBzf6jZqm5v8d04CHmp7F4CYraPSGkq8DobTcdMA5AUGYfwBkUk1KR%2bYgxpUpELLRKGqpAXglC81HePB</w:t>
        </w:r>
      </w:hyperlink>
      <w:r>
        <w:t xml:space="preserve">&gt;.   </w:t>
      </w:r>
    </w:p>
  </w:footnote>
  <w:footnote w:id="781">
    <w:p w14:paraId="1C977E5B" w14:textId="0239A020" w:rsidR="002774A4" w:rsidRDefault="002774A4">
      <w:pPr>
        <w:pStyle w:val="FootnoteText"/>
      </w:pPr>
      <w:r>
        <w:rPr>
          <w:rStyle w:val="FootnoteReference"/>
        </w:rPr>
        <w:footnoteRef/>
      </w:r>
      <w:r>
        <w:t xml:space="preserve"> “Convention on the Rights of Persons with Disabilities,” </w:t>
      </w:r>
      <w:r>
        <w:rPr>
          <w:i/>
        </w:rPr>
        <w:t xml:space="preserve">supra </w:t>
      </w:r>
      <w:r>
        <w:t xml:space="preserve">note </w:t>
      </w:r>
      <w:r>
        <w:fldChar w:fldCharType="begin"/>
      </w:r>
      <w:r>
        <w:instrText xml:space="preserve"> NOTEREF _Ref15297432 \h </w:instrText>
      </w:r>
      <w:r>
        <w:fldChar w:fldCharType="separate"/>
      </w:r>
      <w:r>
        <w:t>20</w:t>
      </w:r>
      <w:r>
        <w:fldChar w:fldCharType="end"/>
      </w:r>
      <w:r>
        <w:t xml:space="preserve">. </w:t>
      </w:r>
    </w:p>
  </w:footnote>
  <w:footnote w:id="782">
    <w:p w14:paraId="338EEFF6" w14:textId="78ED9614" w:rsidR="002774A4" w:rsidRPr="00477FF2" w:rsidRDefault="002774A4">
      <w:pPr>
        <w:pStyle w:val="FootnoteText"/>
      </w:pPr>
      <w:r>
        <w:rPr>
          <w:rStyle w:val="FootnoteReference"/>
        </w:rPr>
        <w:footnoteRef/>
      </w:r>
      <w:r>
        <w:t xml:space="preserve"> </w:t>
      </w:r>
      <w:r w:rsidRPr="00477FF2">
        <w:rPr>
          <w:i/>
        </w:rPr>
        <w:t>Ibid.</w:t>
      </w:r>
    </w:p>
  </w:footnote>
  <w:footnote w:id="783">
    <w:p w14:paraId="7254F738" w14:textId="739EE570" w:rsidR="002774A4" w:rsidRPr="00BC3F0C" w:rsidRDefault="002774A4" w:rsidP="00477FF2">
      <w:pPr>
        <w:pStyle w:val="NormalWeb"/>
        <w:spacing w:before="0" w:beforeAutospacing="0" w:after="0" w:afterAutospacing="0"/>
      </w:pPr>
      <w:r w:rsidRPr="00477FF2">
        <w:rPr>
          <w:rStyle w:val="FootnoteReference"/>
          <w:sz w:val="20"/>
          <w:szCs w:val="20"/>
        </w:rPr>
        <w:footnoteRef/>
      </w:r>
      <w:r w:rsidRPr="00477FF2">
        <w:rPr>
          <w:i/>
          <w:iCs/>
          <w:sz w:val="20"/>
          <w:szCs w:val="20"/>
        </w:rPr>
        <w:t xml:space="preserve"> Constitution Act, 1867</w:t>
      </w:r>
      <w:r w:rsidRPr="00477FF2">
        <w:rPr>
          <w:sz w:val="20"/>
          <w:szCs w:val="20"/>
        </w:rPr>
        <w:t>, s. 92(13)</w:t>
      </w:r>
      <w:r>
        <w:rPr>
          <w:sz w:val="20"/>
          <w:szCs w:val="20"/>
        </w:rPr>
        <w:t>, online: &lt;</w:t>
      </w:r>
      <w:r w:rsidRPr="0006697E">
        <w:rPr>
          <w:sz w:val="20"/>
          <w:szCs w:val="20"/>
        </w:rPr>
        <w:t>https://laws-lois.justice.gc.ca/eng/Const//page-4.html#docCont</w:t>
      </w:r>
      <w:r>
        <w:rPr>
          <w:sz w:val="20"/>
          <w:szCs w:val="20"/>
        </w:rPr>
        <w:t>&gt;</w:t>
      </w:r>
      <w:proofErr w:type="gramStart"/>
      <w:r>
        <w:rPr>
          <w:sz w:val="20"/>
          <w:szCs w:val="20"/>
        </w:rPr>
        <w:t>;</w:t>
      </w:r>
      <w:proofErr w:type="gramEnd"/>
      <w:r w:rsidRPr="00477FF2">
        <w:rPr>
          <w:sz w:val="20"/>
          <w:szCs w:val="20"/>
        </w:rPr>
        <w:t xml:space="preserve"> </w:t>
      </w:r>
      <w:r>
        <w:rPr>
          <w:sz w:val="20"/>
          <w:szCs w:val="20"/>
        </w:rPr>
        <w:t xml:space="preserve">Lana </w:t>
      </w:r>
      <w:proofErr w:type="spellStart"/>
      <w:r w:rsidRPr="00477FF2">
        <w:rPr>
          <w:sz w:val="20"/>
          <w:szCs w:val="20"/>
        </w:rPr>
        <w:t>Kerzner</w:t>
      </w:r>
      <w:proofErr w:type="spellEnd"/>
      <w:r>
        <w:rPr>
          <w:sz w:val="20"/>
          <w:szCs w:val="20"/>
        </w:rPr>
        <w:t xml:space="preserve">, </w:t>
      </w:r>
      <w:r>
        <w:rPr>
          <w:i/>
          <w:sz w:val="20"/>
          <w:szCs w:val="20"/>
        </w:rPr>
        <w:t xml:space="preserve">Paving the way to Full Realization of the CRPD’s Rights to Legal Capacity and Supported Decision-Making: A Canadian Perspective </w:t>
      </w:r>
      <w:r>
        <w:rPr>
          <w:sz w:val="20"/>
          <w:szCs w:val="20"/>
        </w:rPr>
        <w:t>(April 2011) at</w:t>
      </w:r>
      <w:r w:rsidRPr="00477FF2">
        <w:rPr>
          <w:sz w:val="20"/>
          <w:szCs w:val="20"/>
        </w:rPr>
        <w:t xml:space="preserve"> 21</w:t>
      </w:r>
      <w:r>
        <w:rPr>
          <w:sz w:val="20"/>
          <w:szCs w:val="20"/>
        </w:rPr>
        <w:t>, online: &lt;</w:t>
      </w:r>
      <w:r w:rsidRPr="00FE4832">
        <w:rPr>
          <w:sz w:val="20"/>
          <w:szCs w:val="20"/>
        </w:rPr>
        <w:t>https://citizenship.sites.olt.ubc.ca/files/2014/07/In_From_The_Margins_Paper-Lana_Kerzner-FINAL-April_22_2011__2_.pdf</w:t>
      </w:r>
      <w:r>
        <w:rPr>
          <w:sz w:val="20"/>
          <w:szCs w:val="20"/>
        </w:rPr>
        <w:t xml:space="preserve">&gt;. </w:t>
      </w:r>
    </w:p>
  </w:footnote>
  <w:footnote w:id="784">
    <w:p w14:paraId="196C105F" w14:textId="1C480326" w:rsidR="002774A4" w:rsidRPr="00156D12" w:rsidRDefault="002774A4" w:rsidP="00477FF2">
      <w:pPr>
        <w:pStyle w:val="FootnoteText"/>
      </w:pPr>
      <w:r>
        <w:rPr>
          <w:rStyle w:val="FootnoteReference"/>
        </w:rPr>
        <w:footnoteRef/>
      </w:r>
      <w:r>
        <w:t xml:space="preserve"> </w:t>
      </w:r>
      <w:r>
        <w:rPr>
          <w:i/>
        </w:rPr>
        <w:t>Ibid.</w:t>
      </w:r>
    </w:p>
  </w:footnote>
  <w:footnote w:id="785">
    <w:p w14:paraId="283167AB" w14:textId="33E52736" w:rsidR="002774A4" w:rsidRPr="00053E50" w:rsidRDefault="002774A4">
      <w:pPr>
        <w:pStyle w:val="FootnoteText"/>
      </w:pPr>
      <w:r>
        <w:rPr>
          <w:rStyle w:val="FootnoteReference"/>
        </w:rPr>
        <w:footnoteRef/>
      </w:r>
      <w:r>
        <w:t xml:space="preserve"> Kanter &amp; </w:t>
      </w:r>
      <w:proofErr w:type="spellStart"/>
      <w:r>
        <w:t>Tolub</w:t>
      </w:r>
      <w:proofErr w:type="spellEnd"/>
      <w:r>
        <w:t xml:space="preserve">, </w:t>
      </w:r>
      <w:r>
        <w:rPr>
          <w:i/>
        </w:rPr>
        <w:t>supra</w:t>
      </w:r>
      <w:r>
        <w:t xml:space="preserve"> note </w:t>
      </w:r>
      <w:r>
        <w:fldChar w:fldCharType="begin"/>
      </w:r>
      <w:r>
        <w:instrText xml:space="preserve"> NOTEREF _Ref15298534 \h </w:instrText>
      </w:r>
      <w:r>
        <w:fldChar w:fldCharType="separate"/>
      </w:r>
      <w:r>
        <w:t>108</w:t>
      </w:r>
      <w:r>
        <w:fldChar w:fldCharType="end"/>
      </w:r>
      <w:r>
        <w:t xml:space="preserve"> at 596.</w:t>
      </w:r>
    </w:p>
  </w:footnote>
  <w:footnote w:id="786">
    <w:p w14:paraId="3421BB93" w14:textId="527EAB12" w:rsidR="002774A4" w:rsidRPr="001E5551" w:rsidRDefault="002774A4" w:rsidP="0080242F">
      <w:pPr>
        <w:pStyle w:val="FootnoteText"/>
      </w:pPr>
      <w:r>
        <w:rPr>
          <w:rStyle w:val="FootnoteReference"/>
        </w:rPr>
        <w:footnoteRef/>
      </w:r>
      <w:r>
        <w:t xml:space="preserve"> Nidus Personal Planning Resource Centre and Registry, “About Us,” online: &lt;</w:t>
      </w:r>
      <w:r w:rsidRPr="00670FBB">
        <w:t xml:space="preserve"> </w:t>
      </w:r>
      <w:r w:rsidRPr="001E5551">
        <w:t>http://www.nidus.ca/?page_id=240</w:t>
      </w:r>
      <w:r>
        <w:t xml:space="preserve">&gt;. </w:t>
      </w:r>
    </w:p>
  </w:footnote>
  <w:footnote w:id="787">
    <w:p w14:paraId="26181B06" w14:textId="11539BE8" w:rsidR="002774A4" w:rsidRPr="00196202" w:rsidRDefault="002774A4">
      <w:pPr>
        <w:pStyle w:val="FootnoteText"/>
      </w:pPr>
      <w:r>
        <w:rPr>
          <w:rStyle w:val="FootnoteReference"/>
        </w:rPr>
        <w:footnoteRef/>
      </w:r>
      <w:r>
        <w:t xml:space="preserve"> Kanter &amp; </w:t>
      </w:r>
      <w:proofErr w:type="spellStart"/>
      <w:r>
        <w:t>Tolub</w:t>
      </w:r>
      <w:proofErr w:type="spellEnd"/>
      <w:r>
        <w:t xml:space="preserve">, </w:t>
      </w:r>
      <w:r>
        <w:rPr>
          <w:i/>
        </w:rPr>
        <w:t>supra</w:t>
      </w:r>
      <w:r>
        <w:t xml:space="preserve"> note </w:t>
      </w:r>
      <w:r>
        <w:fldChar w:fldCharType="begin"/>
      </w:r>
      <w:r>
        <w:instrText xml:space="preserve"> NOTEREF _Ref15298534 \h </w:instrText>
      </w:r>
      <w:r>
        <w:fldChar w:fldCharType="separate"/>
      </w:r>
      <w:r>
        <w:t>108</w:t>
      </w:r>
      <w:r>
        <w:fldChar w:fldCharType="end"/>
      </w:r>
      <w:r>
        <w:t xml:space="preserve"> at 596.</w:t>
      </w:r>
    </w:p>
  </w:footnote>
  <w:footnote w:id="788">
    <w:p w14:paraId="23B2820B" w14:textId="7AC11D60" w:rsidR="002774A4" w:rsidRPr="00490EA0" w:rsidRDefault="002774A4" w:rsidP="00490EA0">
      <w:pPr>
        <w:rPr>
          <w:sz w:val="20"/>
          <w:szCs w:val="20"/>
        </w:rPr>
      </w:pPr>
      <w:r w:rsidRPr="00490EA0">
        <w:rPr>
          <w:rStyle w:val="FootnoteReference"/>
          <w:sz w:val="20"/>
          <w:szCs w:val="20"/>
        </w:rPr>
        <w:footnoteRef/>
      </w:r>
      <w:r w:rsidRPr="00490EA0">
        <w:rPr>
          <w:sz w:val="20"/>
          <w:szCs w:val="20"/>
        </w:rPr>
        <w:t xml:space="preserve"> “End of Mission Statement by the United Nations Special Rapporteur on the rights of persons with disabilities, Ms. Catalina </w:t>
      </w:r>
      <w:proofErr w:type="spellStart"/>
      <w:r w:rsidRPr="00490EA0">
        <w:rPr>
          <w:sz w:val="20"/>
          <w:szCs w:val="20"/>
        </w:rPr>
        <w:t>Devandas</w:t>
      </w:r>
      <w:proofErr w:type="spellEnd"/>
      <w:r w:rsidRPr="00490EA0">
        <w:rPr>
          <w:sz w:val="20"/>
          <w:szCs w:val="20"/>
        </w:rPr>
        <w:t xml:space="preserve">-Aguilar, on her visit to Canada” (12 April 2019), online: </w:t>
      </w:r>
      <w:r w:rsidRPr="00490EA0">
        <w:rPr>
          <w:i/>
          <w:sz w:val="20"/>
          <w:szCs w:val="20"/>
        </w:rPr>
        <w:t xml:space="preserve">United Nations Human Rights Office of the High Commissioner </w:t>
      </w:r>
      <w:r w:rsidRPr="00490EA0">
        <w:rPr>
          <w:sz w:val="20"/>
          <w:szCs w:val="20"/>
        </w:rPr>
        <w:t>&lt;</w:t>
      </w:r>
      <w:hyperlink r:id="rId33" w:history="1">
        <w:r w:rsidRPr="00490EA0">
          <w:rPr>
            <w:rStyle w:val="Hyperlink"/>
            <w:sz w:val="20"/>
            <w:szCs w:val="20"/>
          </w:rPr>
          <w:t>https://www.ohchr.org/EN/NewsEvents/Pages/DisplayNews.aspx?NewsID=24481&amp;LangID=E</w:t>
        </w:r>
      </w:hyperlink>
    </w:p>
    <w:p w14:paraId="24A12BF0" w14:textId="634CC5EF" w:rsidR="002774A4" w:rsidRPr="00490EA0" w:rsidRDefault="002774A4" w:rsidP="00490EA0">
      <w:pPr>
        <w:rPr>
          <w:sz w:val="20"/>
          <w:szCs w:val="20"/>
        </w:rPr>
      </w:pPr>
      <w:r w:rsidRPr="00490EA0">
        <w:rPr>
          <w:sz w:val="20"/>
          <w:szCs w:val="20"/>
        </w:rPr>
        <w:t xml:space="preserve">&gt;.  </w:t>
      </w:r>
    </w:p>
  </w:footnote>
  <w:footnote w:id="789">
    <w:p w14:paraId="77CDA82A" w14:textId="16EF6B21" w:rsidR="002774A4" w:rsidRPr="00015804" w:rsidRDefault="002774A4">
      <w:pPr>
        <w:pStyle w:val="FootnoteText"/>
      </w:pPr>
      <w:r>
        <w:rPr>
          <w:rStyle w:val="FootnoteReference"/>
        </w:rPr>
        <w:footnoteRef/>
      </w:r>
      <w:r>
        <w:t xml:space="preserve"> United Nations Department of Economic and Social Affairs: Disability, “Chapter Six: From provisions to practice: implementing the Convention – Legal Capacity and supported decision-making,” </w:t>
      </w:r>
      <w:r w:rsidRPr="00F918BD">
        <w:rPr>
          <w:i/>
        </w:rPr>
        <w:t>Handbook for Parliamentarians on the Convention on the Rights of Persons with Disabilities</w:t>
      </w:r>
      <w:r>
        <w:t>, online: &lt;</w:t>
      </w:r>
      <w:r w:rsidRPr="00015804">
        <w:t>https://www.un.org/development/desa/disabilities/resources/handbook-for-parliamentarians-on-the-convention-on-the-rights-of-persons-with-disabilities/chapter-six-from-provisions-to-practice-implementing-the-convention-5.html</w:t>
      </w:r>
      <w:r>
        <w:t xml:space="preserve">&gt;. </w:t>
      </w:r>
    </w:p>
  </w:footnote>
  <w:footnote w:id="790">
    <w:p w14:paraId="4A31F1DD" w14:textId="5D90E389" w:rsidR="002774A4" w:rsidRPr="001044B1" w:rsidRDefault="002774A4">
      <w:pPr>
        <w:pStyle w:val="FootnoteText"/>
      </w:pPr>
      <w:r>
        <w:rPr>
          <w:rStyle w:val="FootnoteReference"/>
        </w:rPr>
        <w:footnoteRef/>
      </w:r>
      <w:r>
        <w:t xml:space="preserve"> </w:t>
      </w:r>
      <w:r>
        <w:rPr>
          <w:i/>
        </w:rPr>
        <w:t xml:space="preserve">Representation Agreement Act, </w:t>
      </w:r>
      <w:r>
        <w:t>RSCBC 1996, c 405, online: &lt;</w:t>
      </w:r>
      <w:r w:rsidRPr="001044B1">
        <w:t xml:space="preserve"> </w:t>
      </w:r>
      <w:hyperlink r:id="rId34" w:history="1">
        <w:r w:rsidRPr="00CA63FA">
          <w:rPr>
            <w:rStyle w:val="Hyperlink"/>
          </w:rPr>
          <w:t>http://www.bclaws.ca/civix/document/id/complete/statreg/96405_01</w:t>
        </w:r>
      </w:hyperlink>
      <w:r>
        <w:t xml:space="preserve">&gt;. </w:t>
      </w:r>
    </w:p>
  </w:footnote>
  <w:footnote w:id="791">
    <w:p w14:paraId="2F000D91" w14:textId="028C67EE" w:rsidR="002774A4" w:rsidRPr="00675601" w:rsidRDefault="002774A4">
      <w:pPr>
        <w:pStyle w:val="FootnoteText"/>
      </w:pPr>
      <w:r>
        <w:rPr>
          <w:rStyle w:val="FootnoteReference"/>
        </w:rPr>
        <w:footnoteRef/>
      </w:r>
      <w:r>
        <w:t xml:space="preserve"> Krista James &amp; Laura Watts, </w:t>
      </w:r>
      <w:r>
        <w:rPr>
          <w:i/>
        </w:rPr>
        <w:t xml:space="preserve">Understanding the Lived Experiences of Supported Decision-Making in Canada: Legal Capacity, Decision-Making and Guardianship </w:t>
      </w:r>
      <w:r>
        <w:t xml:space="preserve">(Law Commission of Ontario, March 2014) at </w:t>
      </w:r>
      <w:proofErr w:type="gramStart"/>
      <w:r>
        <w:t>3</w:t>
      </w:r>
      <w:proofErr w:type="gramEnd"/>
      <w:r>
        <w:t>, online: &lt;</w:t>
      </w:r>
      <w:r w:rsidRPr="00493881">
        <w:t>https://www.lco-cdo.org/wp-content/uploads/2014/03/capacity-guardianship-commissioned-paper-ccel.pdf</w:t>
      </w:r>
      <w:r>
        <w:t>&gt;.</w:t>
      </w:r>
    </w:p>
  </w:footnote>
  <w:footnote w:id="792">
    <w:p w14:paraId="44BA1EC9" w14:textId="5074D6E8" w:rsidR="002774A4" w:rsidRDefault="002774A4">
      <w:pPr>
        <w:pStyle w:val="FootnoteText"/>
      </w:pPr>
      <w:r>
        <w:rPr>
          <w:rStyle w:val="FootnoteReference"/>
        </w:rPr>
        <w:footnoteRef/>
      </w:r>
      <w:r>
        <w:t xml:space="preserve"> </w:t>
      </w:r>
      <w:proofErr w:type="gramStart"/>
      <w:r w:rsidRPr="00421A91">
        <w:rPr>
          <w:iCs/>
        </w:rPr>
        <w:t>Presentation by Christine Gordon</w:t>
      </w:r>
      <w:r>
        <w:t xml:space="preserve"> (</w:t>
      </w:r>
      <w:r w:rsidRPr="00421A91">
        <w:rPr>
          <w:iCs/>
        </w:rPr>
        <w:t>Board President, Nidus</w:t>
      </w:r>
      <w:r>
        <w:rPr>
          <w:iCs/>
        </w:rPr>
        <w:t>)</w:t>
      </w:r>
      <w:r w:rsidRPr="00421A91">
        <w:rPr>
          <w:iCs/>
        </w:rPr>
        <w:t xml:space="preserve"> at the International Conference on Good Policies for Persons with Disabilities</w:t>
      </w:r>
      <w:r>
        <w:rPr>
          <w:iCs/>
        </w:rPr>
        <w:t>,</w:t>
      </w:r>
      <w:r w:rsidRPr="00421A91">
        <w:t xml:space="preserve"> </w:t>
      </w:r>
      <w:r w:rsidRPr="00421A91">
        <w:rPr>
          <w:iCs/>
        </w:rPr>
        <w:t>22-23 January 2012</w:t>
      </w:r>
      <w:r>
        <w:rPr>
          <w:iCs/>
        </w:rPr>
        <w:t>,</w:t>
      </w:r>
      <w:r w:rsidRPr="00421A91">
        <w:rPr>
          <w:iCs/>
        </w:rPr>
        <w:t xml:space="preserve"> Vienna, Austria: </w:t>
      </w:r>
      <w:r>
        <w:rPr>
          <w:iCs/>
        </w:rPr>
        <w:t>“</w:t>
      </w:r>
      <w:r w:rsidRPr="00421A91">
        <w:rPr>
          <w:iCs/>
        </w:rPr>
        <w:t xml:space="preserve">The Representation Agreement Act British Columbia- </w:t>
      </w:r>
      <w:r w:rsidRPr="0023753C">
        <w:rPr>
          <w:bCs/>
          <w:iCs/>
        </w:rPr>
        <w:t>The Right to Supported Decision Making in Canada</w:t>
      </w:r>
      <w:r>
        <w:rPr>
          <w:bCs/>
          <w:iCs/>
        </w:rPr>
        <w:t>,” online: &lt;</w:t>
      </w:r>
      <w:r w:rsidRPr="00F06BA5">
        <w:t xml:space="preserve"> </w:t>
      </w:r>
      <w:r w:rsidRPr="00F06BA5">
        <w:rPr>
          <w:bCs/>
          <w:iCs/>
        </w:rPr>
        <w:t>https://www.google.com/url?sa=t&amp;rct=j&amp;q=&amp;esrc=s&amp;source=web&amp;cd=1&amp;ved=2ahUKEwjw0vnuj8vjAhUNEcAKHeTzCZcQFjAAegQIAhAC&amp;url=http%3A%2F%2Fwww.nidus.ca%2FPDFs%2FNidus_Presentation_Right_to_Supported_Dec-Making_in_Canada.ppsx&amp;usg=AOvVaw0Z6O1Gua4TKW0mvfwVQH9m&gt;.</w:t>
      </w:r>
      <w:proofErr w:type="gramEnd"/>
    </w:p>
  </w:footnote>
  <w:footnote w:id="793">
    <w:p w14:paraId="2210231E" w14:textId="043C7895" w:rsidR="002774A4" w:rsidRPr="0050270F" w:rsidRDefault="002774A4" w:rsidP="00B4083E">
      <w:pPr>
        <w:pStyle w:val="FootnoteText"/>
        <w:rPr>
          <w:i/>
        </w:rPr>
      </w:pPr>
      <w:r w:rsidRPr="00421A91">
        <w:rPr>
          <w:rStyle w:val="FootnoteReference"/>
        </w:rPr>
        <w:footnoteRef/>
      </w:r>
      <w:r w:rsidRPr="00421A91">
        <w:t xml:space="preserve"> </w:t>
      </w:r>
      <w:r>
        <w:rPr>
          <w:i/>
        </w:rPr>
        <w:t>Ibid.</w:t>
      </w:r>
    </w:p>
  </w:footnote>
  <w:footnote w:id="794">
    <w:p w14:paraId="0B42284E" w14:textId="09DBCF35" w:rsidR="002774A4" w:rsidRPr="00421A91" w:rsidRDefault="002774A4" w:rsidP="00C746A8">
      <w:pPr>
        <w:pStyle w:val="Heading1"/>
        <w:spacing w:before="0" w:beforeAutospacing="0" w:after="0" w:afterAutospacing="0"/>
        <w:rPr>
          <w:sz w:val="20"/>
          <w:szCs w:val="20"/>
        </w:rPr>
      </w:pPr>
      <w:r w:rsidRPr="00F06BA5">
        <w:rPr>
          <w:rStyle w:val="FootnoteReference"/>
          <w:b w:val="0"/>
          <w:sz w:val="20"/>
          <w:szCs w:val="20"/>
        </w:rPr>
        <w:footnoteRef/>
      </w:r>
      <w:r w:rsidRPr="00F06BA5">
        <w:rPr>
          <w:b w:val="0"/>
          <w:sz w:val="20"/>
          <w:szCs w:val="20"/>
        </w:rPr>
        <w:t xml:space="preserve"> </w:t>
      </w:r>
      <w:r w:rsidRPr="00F06BA5">
        <w:rPr>
          <w:b w:val="0"/>
          <w:i/>
          <w:color w:val="000000" w:themeColor="text1"/>
          <w:sz w:val="20"/>
          <w:szCs w:val="20"/>
        </w:rPr>
        <w:t>Ibid</w:t>
      </w:r>
      <w:r w:rsidRPr="00F06BA5">
        <w:rPr>
          <w:b w:val="0"/>
          <w:color w:val="333333"/>
          <w:sz w:val="20"/>
          <w:szCs w:val="20"/>
        </w:rPr>
        <w:t>.</w:t>
      </w:r>
    </w:p>
  </w:footnote>
  <w:footnote w:id="795">
    <w:p w14:paraId="5A0E8BDD" w14:textId="62044855" w:rsidR="002774A4" w:rsidRPr="0079289D" w:rsidRDefault="002774A4">
      <w:pPr>
        <w:pStyle w:val="FootnoteText"/>
        <w:rPr>
          <w:i/>
        </w:rPr>
      </w:pPr>
      <w:r>
        <w:rPr>
          <w:rStyle w:val="FootnoteReference"/>
        </w:rPr>
        <w:footnoteRef/>
      </w:r>
      <w:r>
        <w:t xml:space="preserve"> </w:t>
      </w:r>
      <w:r>
        <w:rPr>
          <w:i/>
        </w:rPr>
        <w:t>Ibid.</w:t>
      </w:r>
    </w:p>
  </w:footnote>
  <w:footnote w:id="796">
    <w:p w14:paraId="2658FF0D" w14:textId="283F71A7" w:rsidR="002774A4" w:rsidRPr="00421A91" w:rsidRDefault="002774A4">
      <w:pPr>
        <w:pStyle w:val="FootnoteText"/>
      </w:pPr>
      <w:r w:rsidRPr="00421A91">
        <w:rPr>
          <w:rStyle w:val="FootnoteReference"/>
        </w:rPr>
        <w:footnoteRef/>
      </w:r>
      <w:r w:rsidRPr="00421A91">
        <w:t xml:space="preserve"> </w:t>
      </w:r>
      <w:r>
        <w:rPr>
          <w:i/>
        </w:rPr>
        <w:t>Representation Agreement Act</w:t>
      </w:r>
      <w:r>
        <w:t xml:space="preserve">, </w:t>
      </w:r>
      <w:r>
        <w:rPr>
          <w:i/>
        </w:rPr>
        <w:t xml:space="preserve">supra </w:t>
      </w:r>
      <w:r>
        <w:t xml:space="preserve">note </w:t>
      </w:r>
      <w:r>
        <w:fldChar w:fldCharType="begin"/>
      </w:r>
      <w:r>
        <w:instrText xml:space="preserve"> NOTEREF _Ref15305952 \h </w:instrText>
      </w:r>
      <w:r>
        <w:fldChar w:fldCharType="separate"/>
      </w:r>
      <w:r>
        <w:t>790</w:t>
      </w:r>
      <w:r>
        <w:fldChar w:fldCharType="end"/>
      </w:r>
      <w:r>
        <w:t xml:space="preserve">, s </w:t>
      </w:r>
      <w:r w:rsidRPr="00421A91">
        <w:t>7(1)</w:t>
      </w:r>
      <w:r>
        <w:t>.</w:t>
      </w:r>
    </w:p>
  </w:footnote>
  <w:footnote w:id="797">
    <w:p w14:paraId="28D2C952" w14:textId="59418431" w:rsidR="002774A4" w:rsidRPr="00421A91" w:rsidRDefault="002774A4">
      <w:pPr>
        <w:pStyle w:val="FootnoteText"/>
      </w:pPr>
      <w:r w:rsidRPr="00421A91">
        <w:rPr>
          <w:rStyle w:val="FootnoteReference"/>
        </w:rPr>
        <w:footnoteRef/>
      </w:r>
      <w:r w:rsidRPr="00421A91">
        <w:t xml:space="preserve"> </w:t>
      </w:r>
      <w:r>
        <w:rPr>
          <w:i/>
        </w:rPr>
        <w:t>Ibid</w:t>
      </w:r>
      <w:r>
        <w:t>.</w:t>
      </w:r>
    </w:p>
  </w:footnote>
  <w:footnote w:id="798">
    <w:p w14:paraId="17FC4866" w14:textId="3C7AB4B6" w:rsidR="002774A4" w:rsidRPr="00421A91" w:rsidRDefault="002774A4">
      <w:pPr>
        <w:pStyle w:val="FootnoteText"/>
      </w:pPr>
      <w:r w:rsidRPr="00421A91">
        <w:rPr>
          <w:rStyle w:val="FootnoteReference"/>
        </w:rPr>
        <w:footnoteRef/>
      </w:r>
      <w:r w:rsidRPr="00421A91">
        <w:t xml:space="preserve"> </w:t>
      </w:r>
      <w:r>
        <w:rPr>
          <w:i/>
        </w:rPr>
        <w:t xml:space="preserve">Ibid, </w:t>
      </w:r>
      <w:r>
        <w:t xml:space="preserve">s </w:t>
      </w:r>
      <w:r w:rsidRPr="00421A91">
        <w:t>7(2)</w:t>
      </w:r>
      <w:r>
        <w:t>.</w:t>
      </w:r>
    </w:p>
  </w:footnote>
  <w:footnote w:id="799">
    <w:p w14:paraId="0CB622C6" w14:textId="1F7DE131" w:rsidR="002774A4" w:rsidRPr="00421A91" w:rsidRDefault="002774A4">
      <w:pPr>
        <w:pStyle w:val="FootnoteText"/>
      </w:pPr>
      <w:r w:rsidRPr="00421A91">
        <w:rPr>
          <w:rStyle w:val="FootnoteReference"/>
        </w:rPr>
        <w:footnoteRef/>
      </w:r>
      <w:r w:rsidRPr="00421A91">
        <w:t xml:space="preserve"> </w:t>
      </w:r>
      <w:r>
        <w:rPr>
          <w:i/>
        </w:rPr>
        <w:t xml:space="preserve">Ibid, </w:t>
      </w:r>
      <w:r>
        <w:t xml:space="preserve">s </w:t>
      </w:r>
      <w:r w:rsidRPr="00421A91">
        <w:t>7(2.1</w:t>
      </w:r>
      <w:proofErr w:type="gramStart"/>
      <w:r w:rsidRPr="00421A91">
        <w:t>)(</w:t>
      </w:r>
      <w:proofErr w:type="gramEnd"/>
      <w:r w:rsidRPr="00421A91">
        <w:t>a)</w:t>
      </w:r>
      <w:r>
        <w:t>.</w:t>
      </w:r>
    </w:p>
  </w:footnote>
  <w:footnote w:id="800">
    <w:p w14:paraId="1D6D3F4E" w14:textId="493F6120" w:rsidR="002774A4" w:rsidRPr="00421A91" w:rsidRDefault="002774A4">
      <w:pPr>
        <w:pStyle w:val="FootnoteText"/>
      </w:pPr>
      <w:r w:rsidRPr="00421A91">
        <w:rPr>
          <w:rStyle w:val="FootnoteReference"/>
        </w:rPr>
        <w:footnoteRef/>
      </w:r>
      <w:r w:rsidRPr="00421A91">
        <w:t xml:space="preserve"> </w:t>
      </w:r>
      <w:r>
        <w:rPr>
          <w:i/>
        </w:rPr>
        <w:t xml:space="preserve">Ibid, </w:t>
      </w:r>
      <w:r>
        <w:t xml:space="preserve">s </w:t>
      </w:r>
      <w:r w:rsidRPr="00421A91">
        <w:t>7(2.1</w:t>
      </w:r>
      <w:proofErr w:type="gramStart"/>
      <w:r w:rsidRPr="00421A91">
        <w:t>)(</w:t>
      </w:r>
      <w:proofErr w:type="gramEnd"/>
      <w:r w:rsidRPr="00421A91">
        <w:t>b)</w:t>
      </w:r>
      <w:r>
        <w:t>.</w:t>
      </w:r>
    </w:p>
  </w:footnote>
  <w:footnote w:id="801">
    <w:p w14:paraId="10FB2B3B" w14:textId="47373F9B" w:rsidR="002774A4" w:rsidRPr="00421A91" w:rsidRDefault="002774A4">
      <w:pPr>
        <w:pStyle w:val="FootnoteText"/>
      </w:pPr>
      <w:r w:rsidRPr="00421A91">
        <w:rPr>
          <w:rStyle w:val="FootnoteReference"/>
        </w:rPr>
        <w:footnoteRef/>
      </w:r>
      <w:r w:rsidRPr="00421A91">
        <w:t xml:space="preserve"> </w:t>
      </w:r>
      <w:r>
        <w:rPr>
          <w:i/>
        </w:rPr>
        <w:t xml:space="preserve">Ibid, </w:t>
      </w:r>
      <w:r>
        <w:t xml:space="preserve">s </w:t>
      </w:r>
      <w:r w:rsidRPr="00421A91">
        <w:t>16(1)</w:t>
      </w:r>
      <w:r>
        <w:t>.</w:t>
      </w:r>
    </w:p>
  </w:footnote>
  <w:footnote w:id="802">
    <w:p w14:paraId="22C7E0A8" w14:textId="47E9C043" w:rsidR="002774A4" w:rsidRPr="00421A91" w:rsidRDefault="002774A4">
      <w:pPr>
        <w:pStyle w:val="FootnoteText"/>
      </w:pPr>
      <w:r w:rsidRPr="00421A91">
        <w:rPr>
          <w:rStyle w:val="FootnoteReference"/>
        </w:rPr>
        <w:footnoteRef/>
      </w:r>
      <w:r w:rsidRPr="00421A91">
        <w:t xml:space="preserve"> </w:t>
      </w:r>
      <w:r>
        <w:rPr>
          <w:i/>
        </w:rPr>
        <w:t xml:space="preserve">Ibid, </w:t>
      </w:r>
      <w:r>
        <w:t xml:space="preserve">s </w:t>
      </w:r>
      <w:r w:rsidRPr="00421A91">
        <w:t>16(2)</w:t>
      </w:r>
      <w:r>
        <w:t>.</w:t>
      </w:r>
    </w:p>
  </w:footnote>
  <w:footnote w:id="803">
    <w:p w14:paraId="6851F70B" w14:textId="729C36AE" w:rsidR="002774A4" w:rsidRPr="002A0991" w:rsidRDefault="002774A4">
      <w:pPr>
        <w:pStyle w:val="FootnoteText"/>
      </w:pPr>
      <w:r w:rsidRPr="00421A91">
        <w:rPr>
          <w:rStyle w:val="FootnoteReference"/>
        </w:rPr>
        <w:footnoteRef/>
      </w:r>
      <w:r w:rsidRPr="00421A91">
        <w:t xml:space="preserve"> </w:t>
      </w:r>
      <w:r>
        <w:rPr>
          <w:i/>
        </w:rPr>
        <w:t xml:space="preserve">Ibid, </w:t>
      </w:r>
      <w:r>
        <w:t xml:space="preserve">s </w:t>
      </w:r>
      <w:r w:rsidRPr="00421A91">
        <w:t>5(1</w:t>
      </w:r>
      <w:proofErr w:type="gramStart"/>
      <w:r w:rsidRPr="00421A91">
        <w:t>)</w:t>
      </w:r>
      <w:r>
        <w:t>(</w:t>
      </w:r>
      <w:proofErr w:type="gramEnd"/>
      <w:r w:rsidRPr="00421A91">
        <w:t>a</w:t>
      </w:r>
      <w:r>
        <w:t>).</w:t>
      </w:r>
    </w:p>
  </w:footnote>
  <w:footnote w:id="804">
    <w:p w14:paraId="419ACA65" w14:textId="1AA77215" w:rsidR="002774A4" w:rsidRPr="005D1109" w:rsidRDefault="002774A4">
      <w:pPr>
        <w:pStyle w:val="FootnoteText"/>
      </w:pPr>
      <w:r>
        <w:rPr>
          <w:rStyle w:val="FootnoteReference"/>
        </w:rPr>
        <w:footnoteRef/>
      </w:r>
      <w:r>
        <w:t xml:space="preserve"> </w:t>
      </w:r>
      <w:r>
        <w:rPr>
          <w:i/>
        </w:rPr>
        <w:t xml:space="preserve">Ibid, </w:t>
      </w:r>
      <w:proofErr w:type="spellStart"/>
      <w:r>
        <w:t>ss</w:t>
      </w:r>
      <w:proofErr w:type="spellEnd"/>
      <w:r>
        <w:t xml:space="preserve"> 5(1</w:t>
      </w:r>
      <w:proofErr w:type="gramStart"/>
      <w:r>
        <w:t>)(</w:t>
      </w:r>
      <w:proofErr w:type="gramEnd"/>
      <w:r>
        <w:t>b)-(c).</w:t>
      </w:r>
    </w:p>
  </w:footnote>
  <w:footnote w:id="805">
    <w:p w14:paraId="5734F18F" w14:textId="161D2CAD" w:rsidR="002774A4" w:rsidRPr="00AB675F" w:rsidRDefault="002774A4">
      <w:pPr>
        <w:pStyle w:val="FootnoteText"/>
      </w:pPr>
      <w:r>
        <w:rPr>
          <w:rStyle w:val="FootnoteReference"/>
        </w:rPr>
        <w:footnoteRef/>
      </w:r>
      <w:r>
        <w:t xml:space="preserve"> </w:t>
      </w:r>
      <w:r>
        <w:rPr>
          <w:i/>
        </w:rPr>
        <w:t xml:space="preserve">Ibid, </w:t>
      </w:r>
      <w:r>
        <w:t>s 12.</w:t>
      </w:r>
    </w:p>
  </w:footnote>
  <w:footnote w:id="806">
    <w:p w14:paraId="3BD5341F" w14:textId="67232B2F" w:rsidR="002774A4" w:rsidRPr="00316529" w:rsidRDefault="002774A4">
      <w:pPr>
        <w:pStyle w:val="FootnoteText"/>
      </w:pPr>
      <w:r>
        <w:rPr>
          <w:rStyle w:val="FootnoteReference"/>
        </w:rPr>
        <w:footnoteRef/>
      </w:r>
      <w:r>
        <w:t xml:space="preserve"> </w:t>
      </w:r>
      <w:r>
        <w:rPr>
          <w:i/>
        </w:rPr>
        <w:t xml:space="preserve">Ibid, </w:t>
      </w:r>
      <w:r>
        <w:t>s 34(2).</w:t>
      </w:r>
    </w:p>
  </w:footnote>
  <w:footnote w:id="807">
    <w:p w14:paraId="74DAF8B7" w14:textId="41003D22" w:rsidR="002774A4" w:rsidRPr="00CD523B" w:rsidRDefault="002774A4">
      <w:pPr>
        <w:pStyle w:val="FootnoteText"/>
      </w:pPr>
      <w:r>
        <w:rPr>
          <w:rStyle w:val="FootnoteReference"/>
        </w:rPr>
        <w:footnoteRef/>
      </w:r>
      <w:r>
        <w:t xml:space="preserve"> </w:t>
      </w:r>
      <w:r>
        <w:rPr>
          <w:i/>
        </w:rPr>
        <w:t xml:space="preserve">Ibid, </w:t>
      </w:r>
      <w:r>
        <w:t>s 30</w:t>
      </w:r>
      <w:proofErr w:type="gramStart"/>
      <w:r>
        <w:t>;</w:t>
      </w:r>
      <w:proofErr w:type="gramEnd"/>
      <w:r>
        <w:t xml:space="preserve"> James &amp; Watts, </w:t>
      </w:r>
      <w:r>
        <w:rPr>
          <w:i/>
        </w:rPr>
        <w:t xml:space="preserve">supra </w:t>
      </w:r>
      <w:r>
        <w:t xml:space="preserve">note </w:t>
      </w:r>
      <w:r>
        <w:fldChar w:fldCharType="begin"/>
      </w:r>
      <w:r>
        <w:instrText xml:space="preserve"> NOTEREF _Ref15306005 \h </w:instrText>
      </w:r>
      <w:r>
        <w:fldChar w:fldCharType="separate"/>
      </w:r>
      <w:r>
        <w:t>791</w:t>
      </w:r>
      <w:r>
        <w:fldChar w:fldCharType="end"/>
      </w:r>
      <w:r>
        <w:t xml:space="preserve"> at 24-25.</w:t>
      </w:r>
    </w:p>
  </w:footnote>
  <w:footnote w:id="808">
    <w:p w14:paraId="25518EDC" w14:textId="12A8DA7B" w:rsidR="002774A4" w:rsidRPr="00DD2B48" w:rsidRDefault="002774A4">
      <w:pPr>
        <w:pStyle w:val="FootnoteText"/>
      </w:pPr>
      <w:r>
        <w:rPr>
          <w:rStyle w:val="FootnoteReference"/>
        </w:rPr>
        <w:footnoteRef/>
      </w:r>
      <w:r>
        <w:t xml:space="preserve"> </w:t>
      </w:r>
      <w:r>
        <w:rPr>
          <w:i/>
        </w:rPr>
        <w:t>Representation Agreement Act</w:t>
      </w:r>
      <w:r>
        <w:t xml:space="preserve">, </w:t>
      </w:r>
      <w:r>
        <w:rPr>
          <w:i/>
        </w:rPr>
        <w:t xml:space="preserve">supra </w:t>
      </w:r>
      <w:r>
        <w:t xml:space="preserve">note </w:t>
      </w:r>
      <w:r>
        <w:fldChar w:fldCharType="begin"/>
      </w:r>
      <w:r>
        <w:instrText xml:space="preserve"> NOTEREF _Ref15305952 \h </w:instrText>
      </w:r>
      <w:r>
        <w:fldChar w:fldCharType="separate"/>
      </w:r>
      <w:r>
        <w:t>790</w:t>
      </w:r>
      <w:r>
        <w:fldChar w:fldCharType="end"/>
      </w:r>
      <w:r>
        <w:t>, s 3(1).</w:t>
      </w:r>
    </w:p>
  </w:footnote>
  <w:footnote w:id="809">
    <w:p w14:paraId="6F287F3A" w14:textId="5FA3B1FF" w:rsidR="002774A4" w:rsidRPr="008B3E7D" w:rsidRDefault="002774A4">
      <w:pPr>
        <w:pStyle w:val="FootnoteText"/>
      </w:pPr>
      <w:r>
        <w:rPr>
          <w:rStyle w:val="FootnoteReference"/>
        </w:rPr>
        <w:footnoteRef/>
      </w:r>
      <w:r>
        <w:t xml:space="preserve"> </w:t>
      </w:r>
      <w:r>
        <w:rPr>
          <w:i/>
        </w:rPr>
        <w:t xml:space="preserve">Ibid, s </w:t>
      </w:r>
      <w:r>
        <w:t>8(2).</w:t>
      </w:r>
    </w:p>
  </w:footnote>
  <w:footnote w:id="810">
    <w:p w14:paraId="00DF233F" w14:textId="3E8792FF" w:rsidR="002774A4" w:rsidRPr="00435931" w:rsidRDefault="002774A4">
      <w:pPr>
        <w:pStyle w:val="FootnoteText"/>
      </w:pPr>
      <w:r>
        <w:rPr>
          <w:rStyle w:val="FootnoteReference"/>
        </w:rPr>
        <w:footnoteRef/>
      </w:r>
      <w:r>
        <w:t xml:space="preserve"> United Nations Department of Economic and Social Affairs: Disability, </w:t>
      </w:r>
      <w:r>
        <w:rPr>
          <w:i/>
        </w:rPr>
        <w:t xml:space="preserve">supra </w:t>
      </w:r>
      <w:r>
        <w:t xml:space="preserve">note </w:t>
      </w:r>
      <w:r>
        <w:fldChar w:fldCharType="begin"/>
      </w:r>
      <w:r>
        <w:instrText xml:space="preserve"> NOTEREF _Ref15306545 \h </w:instrText>
      </w:r>
      <w:r>
        <w:fldChar w:fldCharType="separate"/>
      </w:r>
      <w:r>
        <w:t>789</w:t>
      </w:r>
      <w:r>
        <w:fldChar w:fldCharType="end"/>
      </w:r>
      <w:r>
        <w:t>.</w:t>
      </w:r>
    </w:p>
  </w:footnote>
  <w:footnote w:id="811">
    <w:p w14:paraId="2091B532" w14:textId="064ABB2C" w:rsidR="002774A4" w:rsidRPr="00510F21" w:rsidRDefault="002774A4">
      <w:pPr>
        <w:pStyle w:val="FootnoteText"/>
      </w:pPr>
      <w:r>
        <w:rPr>
          <w:rStyle w:val="FootnoteReference"/>
        </w:rPr>
        <w:footnoteRef/>
      </w:r>
      <w:r>
        <w:t xml:space="preserve"> Malcolm Parker, “Getting the Balance Right: Conceptual Considerations Concerning Legal Capacity and Supported Decision Making” (2016) 13 Bioethical Inquiry 381 at 388. </w:t>
      </w:r>
    </w:p>
  </w:footnote>
  <w:footnote w:id="812">
    <w:p w14:paraId="099452BB" w14:textId="1A0DD2CA" w:rsidR="002774A4" w:rsidRPr="00DC6181" w:rsidRDefault="002774A4">
      <w:pPr>
        <w:pStyle w:val="FootnoteText"/>
        <w:rPr>
          <w:i/>
        </w:rPr>
      </w:pPr>
      <w:r>
        <w:rPr>
          <w:rStyle w:val="FootnoteReference"/>
        </w:rPr>
        <w:footnoteRef/>
      </w:r>
      <w:r>
        <w:t xml:space="preserve"> </w:t>
      </w:r>
      <w:r>
        <w:rPr>
          <w:i/>
        </w:rPr>
        <w:t xml:space="preserve">Ibid. </w:t>
      </w:r>
    </w:p>
  </w:footnote>
  <w:footnote w:id="813">
    <w:p w14:paraId="1B8A02AB" w14:textId="43FC974B" w:rsidR="002774A4" w:rsidRPr="00DF1FDB" w:rsidRDefault="002774A4">
      <w:pPr>
        <w:pStyle w:val="FootnoteText"/>
      </w:pPr>
      <w:r>
        <w:rPr>
          <w:rStyle w:val="FootnoteReference"/>
        </w:rPr>
        <w:footnoteRef/>
      </w:r>
      <w:r>
        <w:t xml:space="preserve"> Nidus Personal Planning Resource Centre and Registry, “Representation Agreement,” online: &lt;</w:t>
      </w:r>
      <w:r w:rsidRPr="00DF1FDB">
        <w:t>http://www.nidus.ca/?page_id=54</w:t>
      </w:r>
      <w:r>
        <w:t>&gt;.</w:t>
      </w:r>
    </w:p>
  </w:footnote>
  <w:footnote w:id="814">
    <w:p w14:paraId="1740EC22" w14:textId="1F8C2D0F" w:rsidR="002774A4" w:rsidRPr="000E11AF" w:rsidRDefault="002774A4">
      <w:pPr>
        <w:pStyle w:val="FootnoteText"/>
      </w:pPr>
      <w:r>
        <w:rPr>
          <w:rStyle w:val="FootnoteReference"/>
        </w:rPr>
        <w:footnoteRef/>
      </w:r>
      <w:r>
        <w:t xml:space="preserve"> See </w:t>
      </w:r>
      <w:r>
        <w:rPr>
          <w:i/>
        </w:rPr>
        <w:t xml:space="preserve">Representation Agreement </w:t>
      </w:r>
      <w:proofErr w:type="gramStart"/>
      <w:r>
        <w:rPr>
          <w:i/>
        </w:rPr>
        <w:t>Act,</w:t>
      </w:r>
      <w:proofErr w:type="gramEnd"/>
      <w:r>
        <w:rPr>
          <w:i/>
        </w:rPr>
        <w:t xml:space="preserve"> supra </w:t>
      </w:r>
      <w:r>
        <w:t xml:space="preserve">note </w:t>
      </w:r>
      <w:r>
        <w:fldChar w:fldCharType="begin"/>
      </w:r>
      <w:r>
        <w:instrText xml:space="preserve"> NOTEREF _Ref15305952 \h </w:instrText>
      </w:r>
      <w:r>
        <w:fldChar w:fldCharType="separate"/>
      </w:r>
      <w:r>
        <w:t>790</w:t>
      </w:r>
      <w:r>
        <w:fldChar w:fldCharType="end"/>
      </w:r>
      <w:r>
        <w:t>, s 12.</w:t>
      </w:r>
    </w:p>
  </w:footnote>
  <w:footnote w:id="815">
    <w:p w14:paraId="3FE0620E" w14:textId="122FF806" w:rsidR="002774A4" w:rsidRPr="007B6EBA" w:rsidRDefault="002774A4">
      <w:pPr>
        <w:pStyle w:val="FootnoteText"/>
      </w:pPr>
      <w:r>
        <w:rPr>
          <w:rStyle w:val="FootnoteReference"/>
        </w:rPr>
        <w:footnoteRef/>
      </w:r>
      <w:r>
        <w:t xml:space="preserve"> </w:t>
      </w:r>
      <w:r>
        <w:rPr>
          <w:i/>
        </w:rPr>
        <w:t>Ibid</w:t>
      </w:r>
      <w:r>
        <w:t>, s 20.</w:t>
      </w:r>
    </w:p>
  </w:footnote>
  <w:footnote w:id="816">
    <w:p w14:paraId="264009F3" w14:textId="02D3AB2C" w:rsidR="002774A4" w:rsidRPr="00F71ED0" w:rsidRDefault="002774A4">
      <w:pPr>
        <w:pStyle w:val="FootnoteText"/>
      </w:pPr>
      <w:r>
        <w:rPr>
          <w:rStyle w:val="FootnoteReference"/>
        </w:rPr>
        <w:footnoteRef/>
      </w:r>
      <w:r>
        <w:t xml:space="preserve"> </w:t>
      </w:r>
      <w:r>
        <w:rPr>
          <w:i/>
        </w:rPr>
        <w:t xml:space="preserve">Ibid, </w:t>
      </w:r>
      <w:proofErr w:type="spellStart"/>
      <w:r>
        <w:t>ss</w:t>
      </w:r>
      <w:proofErr w:type="spellEnd"/>
      <w:r>
        <w:t xml:space="preserve"> 20(4)-(5).</w:t>
      </w:r>
    </w:p>
  </w:footnote>
  <w:footnote w:id="817">
    <w:p w14:paraId="253C6524" w14:textId="1676D3F6" w:rsidR="002774A4" w:rsidRPr="00610AEF" w:rsidRDefault="002774A4">
      <w:pPr>
        <w:pStyle w:val="FootnoteText"/>
      </w:pPr>
      <w:r>
        <w:rPr>
          <w:rStyle w:val="FootnoteReference"/>
        </w:rPr>
        <w:footnoteRef/>
      </w:r>
      <w:r>
        <w:t xml:space="preserve"> </w:t>
      </w:r>
      <w:r>
        <w:rPr>
          <w:i/>
        </w:rPr>
        <w:t xml:space="preserve">Ibid, </w:t>
      </w:r>
      <w:r>
        <w:t>s 7(1).</w:t>
      </w:r>
    </w:p>
  </w:footnote>
  <w:footnote w:id="818">
    <w:p w14:paraId="148132EA" w14:textId="18C7186D" w:rsidR="002774A4" w:rsidRPr="00165E13" w:rsidRDefault="002774A4">
      <w:pPr>
        <w:pStyle w:val="FootnoteText"/>
      </w:pPr>
      <w:r>
        <w:rPr>
          <w:rStyle w:val="FootnoteReference"/>
        </w:rPr>
        <w:footnoteRef/>
      </w:r>
      <w:r>
        <w:t xml:space="preserve"> </w:t>
      </w:r>
      <w:r>
        <w:rPr>
          <w:i/>
        </w:rPr>
        <w:t xml:space="preserve">Ibid, </w:t>
      </w:r>
      <w:r>
        <w:t>s 16(2</w:t>
      </w:r>
      <w:proofErr w:type="gramStart"/>
      <w:r>
        <w:t>)(</w:t>
      </w:r>
      <w:proofErr w:type="gramEnd"/>
      <w:r>
        <w:t>a).</w:t>
      </w:r>
    </w:p>
  </w:footnote>
  <w:footnote w:id="819">
    <w:p w14:paraId="209949F5" w14:textId="6D1927BB" w:rsidR="002774A4" w:rsidRPr="00354D39" w:rsidRDefault="002774A4" w:rsidP="00A2351A">
      <w:pPr>
        <w:pStyle w:val="FootnoteText"/>
      </w:pPr>
      <w:r>
        <w:rPr>
          <w:rStyle w:val="FootnoteReference"/>
        </w:rPr>
        <w:footnoteRef/>
      </w:r>
      <w:r>
        <w:t xml:space="preserve"> </w:t>
      </w:r>
      <w:r>
        <w:rPr>
          <w:i/>
        </w:rPr>
        <w:t xml:space="preserve">Ibid, </w:t>
      </w:r>
      <w:r>
        <w:t>s 16(2</w:t>
      </w:r>
      <w:proofErr w:type="gramStart"/>
      <w:r>
        <w:t>)(</w:t>
      </w:r>
      <w:proofErr w:type="gramEnd"/>
      <w:r>
        <w:t>b).</w:t>
      </w:r>
    </w:p>
  </w:footnote>
  <w:footnote w:id="820">
    <w:p w14:paraId="0803ABF5" w14:textId="18761CE6" w:rsidR="002774A4" w:rsidRPr="00697249" w:rsidRDefault="002774A4">
      <w:pPr>
        <w:pStyle w:val="FootnoteText"/>
      </w:pPr>
      <w:r>
        <w:rPr>
          <w:rStyle w:val="FootnoteReference"/>
        </w:rPr>
        <w:footnoteRef/>
      </w:r>
      <w:r>
        <w:t xml:space="preserve"> </w:t>
      </w:r>
      <w:r>
        <w:rPr>
          <w:i/>
        </w:rPr>
        <w:t xml:space="preserve">Patients Property Act, </w:t>
      </w:r>
      <w:r>
        <w:t>RSBC 1996, c 405, online: &lt;</w:t>
      </w:r>
      <w:r w:rsidRPr="00697249">
        <w:t>http://www.bclaws.ca/civix/document/id/complete/statreg/96349_01</w:t>
      </w:r>
      <w:r>
        <w:t xml:space="preserve">&gt;. </w:t>
      </w:r>
    </w:p>
  </w:footnote>
  <w:footnote w:id="821">
    <w:p w14:paraId="010191F4" w14:textId="18CE0043" w:rsidR="002774A4" w:rsidRPr="00697249" w:rsidRDefault="002774A4">
      <w:pPr>
        <w:pStyle w:val="FootnoteText"/>
      </w:pPr>
      <w:r>
        <w:rPr>
          <w:rStyle w:val="FootnoteReference"/>
        </w:rPr>
        <w:footnoteRef/>
      </w:r>
      <w:r>
        <w:t xml:space="preserve"> </w:t>
      </w:r>
      <w:r>
        <w:rPr>
          <w:i/>
        </w:rPr>
        <w:t xml:space="preserve">Ibid </w:t>
      </w:r>
      <w:proofErr w:type="spellStart"/>
      <w:r>
        <w:t>ss</w:t>
      </w:r>
      <w:proofErr w:type="spellEnd"/>
      <w:r>
        <w:t xml:space="preserve"> 3 &amp; 6</w:t>
      </w:r>
      <w:proofErr w:type="gramStart"/>
      <w:r>
        <w:t>;</w:t>
      </w:r>
      <w:proofErr w:type="gramEnd"/>
      <w:r>
        <w:t xml:space="preserve"> see also Nidus Personal Planning Resource Centre and Registry, “Adult Guardianship in BC,” online: &lt;</w:t>
      </w:r>
      <w:r w:rsidRPr="00697249">
        <w:t>http://www.nidus.ca/PDFs/Nidus_Info_AdultGuardianship.pdf</w:t>
      </w:r>
      <w:r>
        <w:t>&gt;.</w:t>
      </w:r>
    </w:p>
  </w:footnote>
  <w:footnote w:id="822">
    <w:p w14:paraId="1642606E" w14:textId="0D7B8EBE" w:rsidR="002774A4" w:rsidRPr="00A969BC" w:rsidRDefault="002774A4">
      <w:pPr>
        <w:pStyle w:val="FootnoteText"/>
      </w:pPr>
      <w:r>
        <w:rPr>
          <w:rStyle w:val="FootnoteReference"/>
        </w:rPr>
        <w:footnoteRef/>
      </w:r>
      <w:r>
        <w:t xml:space="preserve"> </w:t>
      </w:r>
      <w:r>
        <w:rPr>
          <w:i/>
        </w:rPr>
        <w:t>Patients Property Act</w:t>
      </w:r>
      <w:r>
        <w:t xml:space="preserve">, </w:t>
      </w:r>
      <w:r>
        <w:rPr>
          <w:i/>
        </w:rPr>
        <w:t xml:space="preserve">supra </w:t>
      </w:r>
      <w:r>
        <w:t xml:space="preserve">note </w:t>
      </w:r>
      <w:r>
        <w:fldChar w:fldCharType="begin"/>
      </w:r>
      <w:r>
        <w:instrText xml:space="preserve"> NOTEREF _Ref15306621 \h </w:instrText>
      </w:r>
      <w:r>
        <w:fldChar w:fldCharType="separate"/>
      </w:r>
      <w:r>
        <w:t>820</w:t>
      </w:r>
      <w:r>
        <w:fldChar w:fldCharType="end"/>
      </w:r>
      <w:r>
        <w:t xml:space="preserve">, </w:t>
      </w:r>
      <w:proofErr w:type="spellStart"/>
      <w:r>
        <w:t>ss</w:t>
      </w:r>
      <w:proofErr w:type="spellEnd"/>
      <w:r>
        <w:t xml:space="preserve"> 3(1</w:t>
      </w:r>
      <w:proofErr w:type="gramStart"/>
      <w:r>
        <w:t>)(</w:t>
      </w:r>
      <w:proofErr w:type="gramEnd"/>
      <w:r>
        <w:t>b) &amp; 3(2)(d)(ii).</w:t>
      </w:r>
    </w:p>
  </w:footnote>
  <w:footnote w:id="823">
    <w:p w14:paraId="760662D9" w14:textId="4FB25A1A" w:rsidR="002774A4" w:rsidRPr="00A678C3" w:rsidRDefault="002774A4">
      <w:pPr>
        <w:pStyle w:val="FootnoteText"/>
      </w:pPr>
      <w:r>
        <w:rPr>
          <w:rStyle w:val="FootnoteReference"/>
        </w:rPr>
        <w:footnoteRef/>
      </w:r>
      <w:r>
        <w:t xml:space="preserve"> </w:t>
      </w:r>
      <w:r>
        <w:rPr>
          <w:i/>
        </w:rPr>
        <w:t xml:space="preserve">Ibid, </w:t>
      </w:r>
      <w:r>
        <w:t>s 6.</w:t>
      </w:r>
    </w:p>
  </w:footnote>
  <w:footnote w:id="824">
    <w:p w14:paraId="3A3CF0EA" w14:textId="11CA5940" w:rsidR="002774A4" w:rsidRPr="00C81E5C" w:rsidRDefault="002774A4">
      <w:pPr>
        <w:pStyle w:val="FootnoteText"/>
      </w:pPr>
      <w:r>
        <w:rPr>
          <w:rStyle w:val="FootnoteReference"/>
        </w:rPr>
        <w:footnoteRef/>
      </w:r>
      <w:r>
        <w:t xml:space="preserve"> </w:t>
      </w:r>
      <w:r>
        <w:rPr>
          <w:i/>
        </w:rPr>
        <w:t xml:space="preserve">Ibid, </w:t>
      </w:r>
      <w:r>
        <w:t>s 18(1).</w:t>
      </w:r>
    </w:p>
  </w:footnote>
  <w:footnote w:id="825">
    <w:p w14:paraId="43742F0B" w14:textId="2D347650" w:rsidR="002774A4" w:rsidRPr="006460CF" w:rsidRDefault="002774A4">
      <w:pPr>
        <w:pStyle w:val="FootnoteText"/>
      </w:pPr>
      <w:r>
        <w:rPr>
          <w:rStyle w:val="FootnoteReference"/>
        </w:rPr>
        <w:footnoteRef/>
      </w:r>
      <w:r>
        <w:t xml:space="preserve"> </w:t>
      </w:r>
      <w:r>
        <w:rPr>
          <w:i/>
        </w:rPr>
        <w:t xml:space="preserve">Adult Guardianship Act, </w:t>
      </w:r>
      <w:r>
        <w:t>RSBC 1996, c6, online: &lt;</w:t>
      </w:r>
      <w:r>
        <w:rPr>
          <w:i/>
        </w:rPr>
        <w:t xml:space="preserve"> </w:t>
      </w:r>
      <w:r w:rsidRPr="001D1E66">
        <w:t>http://www.bclaws.ca/civix/document/id/complete/statreg/96006_01</w:t>
      </w:r>
      <w:r>
        <w:t>&gt;.</w:t>
      </w:r>
    </w:p>
  </w:footnote>
  <w:footnote w:id="826">
    <w:p w14:paraId="7965DF6D" w14:textId="2F841FE8" w:rsidR="002774A4" w:rsidRPr="00E06F72" w:rsidRDefault="002774A4">
      <w:pPr>
        <w:pStyle w:val="FootnoteText"/>
      </w:pPr>
      <w:r>
        <w:rPr>
          <w:rStyle w:val="FootnoteReference"/>
        </w:rPr>
        <w:footnoteRef/>
      </w:r>
      <w:r>
        <w:t xml:space="preserve"> See Nidus, “Adult Guardianship in BC,” </w:t>
      </w:r>
      <w:r>
        <w:rPr>
          <w:i/>
        </w:rPr>
        <w:t xml:space="preserve">supra </w:t>
      </w:r>
      <w:r>
        <w:t xml:space="preserve">note </w:t>
      </w:r>
      <w:r>
        <w:fldChar w:fldCharType="begin"/>
      </w:r>
      <w:r>
        <w:instrText xml:space="preserve"> NOTEREF _Ref15306702 \h </w:instrText>
      </w:r>
      <w:r>
        <w:fldChar w:fldCharType="separate"/>
      </w:r>
      <w:r>
        <w:t>821</w:t>
      </w:r>
      <w:r>
        <w:fldChar w:fldCharType="end"/>
      </w:r>
      <w:r>
        <w:t>.</w:t>
      </w:r>
    </w:p>
  </w:footnote>
  <w:footnote w:id="827">
    <w:p w14:paraId="1A0C8876" w14:textId="492E340F" w:rsidR="002774A4" w:rsidRPr="009D0258" w:rsidRDefault="002774A4">
      <w:pPr>
        <w:pStyle w:val="FootnoteText"/>
      </w:pPr>
      <w:r>
        <w:rPr>
          <w:rStyle w:val="FootnoteReference"/>
        </w:rPr>
        <w:footnoteRef/>
      </w:r>
      <w:r>
        <w:t xml:space="preserve"> </w:t>
      </w:r>
      <w:r>
        <w:rPr>
          <w:i/>
        </w:rPr>
        <w:t xml:space="preserve">Adult Guardianship Act, supra </w:t>
      </w:r>
      <w:r>
        <w:t xml:space="preserve">note </w:t>
      </w:r>
      <w:r>
        <w:fldChar w:fldCharType="begin"/>
      </w:r>
      <w:r>
        <w:instrText xml:space="preserve"> NOTEREF _Ref15306643 \h </w:instrText>
      </w:r>
      <w:r>
        <w:fldChar w:fldCharType="separate"/>
      </w:r>
      <w:r>
        <w:t>825</w:t>
      </w:r>
      <w:r>
        <w:fldChar w:fldCharType="end"/>
      </w:r>
      <w:r>
        <w:t>, s 32.</w:t>
      </w:r>
    </w:p>
  </w:footnote>
  <w:footnote w:id="828">
    <w:p w14:paraId="1CC5AA8E" w14:textId="69A00025" w:rsidR="002774A4" w:rsidRPr="009B604B" w:rsidRDefault="002774A4">
      <w:pPr>
        <w:pStyle w:val="FootnoteText"/>
      </w:pPr>
      <w:r>
        <w:rPr>
          <w:rStyle w:val="FootnoteReference"/>
        </w:rPr>
        <w:footnoteRef/>
      </w:r>
      <w:r>
        <w:t xml:space="preserve"> See Nidus, “Adult Guardianship in BC,” </w:t>
      </w:r>
      <w:r>
        <w:rPr>
          <w:i/>
        </w:rPr>
        <w:t xml:space="preserve">supra </w:t>
      </w:r>
      <w:r>
        <w:t xml:space="preserve">note </w:t>
      </w:r>
      <w:r>
        <w:fldChar w:fldCharType="begin"/>
      </w:r>
      <w:r>
        <w:instrText xml:space="preserve"> NOTEREF _Ref15306702 \h </w:instrText>
      </w:r>
      <w:r>
        <w:fldChar w:fldCharType="separate"/>
      </w:r>
      <w:r>
        <w:t>821</w:t>
      </w:r>
      <w:r>
        <w:fldChar w:fldCharType="end"/>
      </w:r>
      <w:r>
        <w:t>.</w:t>
      </w:r>
    </w:p>
  </w:footnote>
  <w:footnote w:id="829">
    <w:p w14:paraId="52465B4A" w14:textId="737E1E5C" w:rsidR="002774A4" w:rsidRPr="00704D9D" w:rsidRDefault="002774A4">
      <w:pPr>
        <w:pStyle w:val="FootnoteText"/>
      </w:pPr>
      <w:r>
        <w:rPr>
          <w:rStyle w:val="FootnoteReference"/>
        </w:rPr>
        <w:footnoteRef/>
      </w:r>
      <w:r>
        <w:t xml:space="preserve"> See Nidus, “Adult Guardianship,” online: &lt;</w:t>
      </w:r>
      <w:r w:rsidRPr="00704D9D">
        <w:t>http://www.nidus.ca/?page_id=293</w:t>
      </w:r>
      <w:r>
        <w:t>&gt;.</w:t>
      </w:r>
    </w:p>
  </w:footnote>
  <w:footnote w:id="830">
    <w:p w14:paraId="37D26090" w14:textId="113EC09E" w:rsidR="002774A4" w:rsidRPr="009260C5" w:rsidRDefault="002774A4">
      <w:pPr>
        <w:pStyle w:val="FootnoteText"/>
      </w:pPr>
      <w:r>
        <w:rPr>
          <w:rStyle w:val="FootnoteReference"/>
        </w:rPr>
        <w:footnoteRef/>
      </w:r>
      <w:r>
        <w:t xml:space="preserve"> </w:t>
      </w:r>
      <w:r>
        <w:rPr>
          <w:i/>
        </w:rPr>
        <w:t xml:space="preserve">Power of Attorney Act, </w:t>
      </w:r>
      <w:r>
        <w:t>RSBC 1996, c 370,</w:t>
      </w:r>
      <w:r>
        <w:rPr>
          <w:i/>
        </w:rPr>
        <w:t xml:space="preserve"> </w:t>
      </w:r>
      <w:r>
        <w:t>s 12, online: &lt;</w:t>
      </w:r>
      <w:r w:rsidRPr="00AB6B70">
        <w:t xml:space="preserve"> http://www.bclaws.ca/civix/document/id/complete/statreg/96370_01</w:t>
      </w:r>
      <w:r>
        <w:t>&gt;.</w:t>
      </w:r>
    </w:p>
  </w:footnote>
  <w:footnote w:id="831">
    <w:p w14:paraId="75305123" w14:textId="424DF209" w:rsidR="002774A4" w:rsidRPr="000C2C60" w:rsidRDefault="002774A4">
      <w:pPr>
        <w:pStyle w:val="FootnoteText"/>
      </w:pPr>
      <w:r>
        <w:rPr>
          <w:rStyle w:val="FootnoteReference"/>
        </w:rPr>
        <w:footnoteRef/>
      </w:r>
      <w:r>
        <w:t xml:space="preserve"> </w:t>
      </w:r>
      <w:r>
        <w:rPr>
          <w:i/>
        </w:rPr>
        <w:t xml:space="preserve">Ibid, </w:t>
      </w:r>
      <w:r>
        <w:t>s 19(2).</w:t>
      </w:r>
    </w:p>
  </w:footnote>
  <w:footnote w:id="832">
    <w:p w14:paraId="09C977E9" w14:textId="580EC036" w:rsidR="002774A4" w:rsidRPr="007207CC" w:rsidRDefault="002774A4">
      <w:pPr>
        <w:pStyle w:val="FootnoteText"/>
      </w:pPr>
      <w:r>
        <w:rPr>
          <w:rStyle w:val="FootnoteReference"/>
        </w:rPr>
        <w:footnoteRef/>
      </w:r>
      <w:r>
        <w:t xml:space="preserve"> </w:t>
      </w:r>
      <w:r>
        <w:rPr>
          <w:i/>
        </w:rPr>
        <w:t>Ibid</w:t>
      </w:r>
      <w:r>
        <w:t xml:space="preserve">. </w:t>
      </w:r>
    </w:p>
  </w:footnote>
  <w:footnote w:id="833">
    <w:p w14:paraId="77DAF077" w14:textId="2DB75AA7" w:rsidR="002774A4" w:rsidRPr="00137D1F" w:rsidRDefault="002774A4">
      <w:pPr>
        <w:pStyle w:val="FootnoteText"/>
      </w:pPr>
      <w:r>
        <w:rPr>
          <w:rStyle w:val="FootnoteReference"/>
        </w:rPr>
        <w:footnoteRef/>
      </w:r>
      <w:r>
        <w:t xml:space="preserve"> </w:t>
      </w:r>
      <w:r>
        <w:rPr>
          <w:i/>
        </w:rPr>
        <w:t xml:space="preserve">Ibid, </w:t>
      </w:r>
      <w:r>
        <w:t>s 26.</w:t>
      </w:r>
    </w:p>
  </w:footnote>
  <w:footnote w:id="834">
    <w:p w14:paraId="08F450CB" w14:textId="1371B11D" w:rsidR="002774A4" w:rsidRPr="001C0CC4" w:rsidRDefault="002774A4">
      <w:pPr>
        <w:pStyle w:val="FootnoteText"/>
      </w:pPr>
      <w:r>
        <w:rPr>
          <w:rStyle w:val="FootnoteReference"/>
        </w:rPr>
        <w:footnoteRef/>
      </w:r>
      <w:r>
        <w:t xml:space="preserve"> </w:t>
      </w:r>
      <w:r>
        <w:rPr>
          <w:i/>
        </w:rPr>
        <w:t xml:space="preserve">Health Care (Consent) and Care Facility (Admission) Act, </w:t>
      </w:r>
      <w:r>
        <w:t>RSBC 1996, c 181, s 19.1, online: &lt;</w:t>
      </w:r>
      <w:r w:rsidRPr="0074311E">
        <w:t xml:space="preserve"> </w:t>
      </w:r>
      <w:hyperlink r:id="rId35" w:history="1">
        <w:r w:rsidRPr="00CA63FA">
          <w:rPr>
            <w:rStyle w:val="Hyperlink"/>
          </w:rPr>
          <w:t>http://www.bclaws.ca/civix/document/id/consol31/consol31/00_96181_01</w:t>
        </w:r>
      </w:hyperlink>
      <w:r>
        <w:t xml:space="preserve">&gt;. </w:t>
      </w:r>
    </w:p>
  </w:footnote>
  <w:footnote w:id="835">
    <w:p w14:paraId="7494EB16" w14:textId="7CFEAD6D" w:rsidR="002774A4" w:rsidRPr="00B44D38" w:rsidRDefault="002774A4">
      <w:pPr>
        <w:pStyle w:val="FootnoteText"/>
      </w:pPr>
      <w:r>
        <w:rPr>
          <w:rStyle w:val="FootnoteReference"/>
        </w:rPr>
        <w:footnoteRef/>
      </w:r>
      <w:r>
        <w:t xml:space="preserve"> </w:t>
      </w:r>
      <w:r>
        <w:rPr>
          <w:i/>
        </w:rPr>
        <w:t xml:space="preserve">Ibid, </w:t>
      </w:r>
      <w:r>
        <w:t>s 19.2.</w:t>
      </w:r>
    </w:p>
  </w:footnote>
  <w:footnote w:id="836">
    <w:p w14:paraId="71857720" w14:textId="767CEC60" w:rsidR="002774A4" w:rsidRPr="00C054F6" w:rsidRDefault="002774A4">
      <w:pPr>
        <w:pStyle w:val="FootnoteText"/>
      </w:pPr>
      <w:r>
        <w:rPr>
          <w:rStyle w:val="FootnoteReference"/>
        </w:rPr>
        <w:footnoteRef/>
      </w:r>
      <w:r>
        <w:t xml:space="preserve"> </w:t>
      </w:r>
      <w:r>
        <w:rPr>
          <w:i/>
        </w:rPr>
        <w:t xml:space="preserve">Ibid, </w:t>
      </w:r>
      <w:r>
        <w:t>s 19.7(2).</w:t>
      </w:r>
    </w:p>
  </w:footnote>
  <w:footnote w:id="837">
    <w:p w14:paraId="13D7B04A" w14:textId="3A3269C7" w:rsidR="002774A4" w:rsidRPr="00656A56" w:rsidRDefault="002774A4">
      <w:pPr>
        <w:pStyle w:val="FootnoteText"/>
      </w:pPr>
      <w:r>
        <w:rPr>
          <w:rStyle w:val="FootnoteReference"/>
        </w:rPr>
        <w:footnoteRef/>
      </w:r>
      <w:r>
        <w:t xml:space="preserve"> </w:t>
      </w:r>
      <w:r>
        <w:rPr>
          <w:i/>
        </w:rPr>
        <w:t xml:space="preserve">Ibid, </w:t>
      </w:r>
      <w:r>
        <w:t xml:space="preserve">s </w:t>
      </w:r>
      <w:r w:rsidRPr="00656A56">
        <w:t>19.7(1</w:t>
      </w:r>
      <w:proofErr w:type="gramStart"/>
      <w:r w:rsidRPr="00656A56">
        <w:t>)(</w:t>
      </w:r>
      <w:proofErr w:type="gramEnd"/>
      <w:r w:rsidRPr="00656A56">
        <w:t xml:space="preserve">b), see </w:t>
      </w:r>
      <w:r w:rsidRPr="00656A56">
        <w:rPr>
          <w:color w:val="000000" w:themeColor="text1"/>
        </w:rPr>
        <w:t xml:space="preserve">Committee on the Rights of Persons with Disabilities, </w:t>
      </w:r>
      <w:r w:rsidRPr="00656A56">
        <w:t xml:space="preserve">“General comment No.1,” </w:t>
      </w:r>
      <w:r w:rsidRPr="00656A56">
        <w:rPr>
          <w:i/>
          <w:color w:val="000000" w:themeColor="text1"/>
        </w:rPr>
        <w:t xml:space="preserve">supra </w:t>
      </w:r>
      <w:r w:rsidRPr="00656A56">
        <w:rPr>
          <w:color w:val="000000" w:themeColor="text1"/>
        </w:rPr>
        <w:t xml:space="preserve">note </w:t>
      </w:r>
      <w:r w:rsidRPr="00656A56">
        <w:rPr>
          <w:color w:val="000000" w:themeColor="text1"/>
        </w:rPr>
        <w:fldChar w:fldCharType="begin"/>
      </w:r>
      <w:r w:rsidRPr="00656A56">
        <w:rPr>
          <w:color w:val="000000" w:themeColor="text1"/>
        </w:rPr>
        <w:instrText xml:space="preserve"> NOTEREF _Ref15295251 \h </w:instrText>
      </w:r>
      <w:r>
        <w:rPr>
          <w:color w:val="000000" w:themeColor="text1"/>
        </w:rPr>
        <w:instrText xml:space="preserve"> \* MERGEFORMAT </w:instrText>
      </w:r>
      <w:r w:rsidRPr="00656A56">
        <w:rPr>
          <w:color w:val="000000" w:themeColor="text1"/>
        </w:rPr>
      </w:r>
      <w:r w:rsidRPr="00656A56">
        <w:rPr>
          <w:color w:val="000000" w:themeColor="text1"/>
        </w:rPr>
        <w:fldChar w:fldCharType="separate"/>
      </w:r>
      <w:r w:rsidRPr="00656A56">
        <w:rPr>
          <w:color w:val="000000" w:themeColor="text1"/>
        </w:rPr>
        <w:t>7</w:t>
      </w:r>
      <w:r w:rsidRPr="00656A56">
        <w:rPr>
          <w:color w:val="000000" w:themeColor="text1"/>
        </w:rPr>
        <w:fldChar w:fldCharType="end"/>
      </w:r>
      <w:r w:rsidRPr="00656A56">
        <w:rPr>
          <w:color w:val="000000" w:themeColor="text1"/>
        </w:rPr>
        <w:t xml:space="preserve"> at </w:t>
      </w:r>
      <w:r w:rsidRPr="00656A56">
        <w:t>para 17.</w:t>
      </w:r>
    </w:p>
  </w:footnote>
  <w:footnote w:id="838">
    <w:p w14:paraId="43A82C70" w14:textId="5B061DF2" w:rsidR="002774A4" w:rsidRPr="00656A56" w:rsidRDefault="002774A4">
      <w:pPr>
        <w:pStyle w:val="FootnoteText"/>
      </w:pPr>
      <w:r w:rsidRPr="00656A56">
        <w:rPr>
          <w:rStyle w:val="FootnoteReference"/>
        </w:rPr>
        <w:footnoteRef/>
      </w:r>
      <w:r w:rsidRPr="00656A56">
        <w:t xml:space="preserve"> James &amp; Watts, </w:t>
      </w:r>
      <w:r w:rsidRPr="00656A56">
        <w:rPr>
          <w:i/>
        </w:rPr>
        <w:t xml:space="preserve">supra </w:t>
      </w:r>
      <w:r w:rsidRPr="00656A56">
        <w:t xml:space="preserve">note </w:t>
      </w:r>
      <w:r>
        <w:fldChar w:fldCharType="begin"/>
      </w:r>
      <w:r>
        <w:instrText xml:space="preserve"> NOTEREF _Ref15306005 \h </w:instrText>
      </w:r>
      <w:r>
        <w:fldChar w:fldCharType="separate"/>
      </w:r>
      <w:r>
        <w:t>791</w:t>
      </w:r>
      <w:r>
        <w:fldChar w:fldCharType="end"/>
      </w:r>
      <w:r w:rsidRPr="00656A56">
        <w:t xml:space="preserve"> at 15.</w:t>
      </w:r>
    </w:p>
  </w:footnote>
  <w:footnote w:id="839">
    <w:p w14:paraId="21889EF3" w14:textId="61C2502F" w:rsidR="002774A4" w:rsidRPr="00656A56" w:rsidRDefault="002774A4" w:rsidP="007F4E0B">
      <w:pPr>
        <w:pStyle w:val="FootnoteText"/>
      </w:pPr>
      <w:r w:rsidRPr="00656A56">
        <w:rPr>
          <w:rStyle w:val="FootnoteReference"/>
        </w:rPr>
        <w:footnoteRef/>
      </w:r>
      <w:r w:rsidRPr="00656A56">
        <w:t xml:space="preserve"> “End of Mission Statement by the United Nations Special Rapporteur on the rights of persons with disabilities, Ms. Catalina </w:t>
      </w:r>
      <w:proofErr w:type="spellStart"/>
      <w:r w:rsidRPr="00656A56">
        <w:t>Devandas</w:t>
      </w:r>
      <w:proofErr w:type="spellEnd"/>
      <w:r w:rsidRPr="00656A56">
        <w:t xml:space="preserve">-Aguilar, on her visit to Canada,” </w:t>
      </w:r>
      <w:r w:rsidRPr="00656A56">
        <w:rPr>
          <w:i/>
        </w:rPr>
        <w:t xml:space="preserve">supra </w:t>
      </w:r>
      <w:r w:rsidRPr="00656A56">
        <w:t xml:space="preserve">note </w:t>
      </w:r>
      <w:r>
        <w:fldChar w:fldCharType="begin"/>
      </w:r>
      <w:r>
        <w:instrText xml:space="preserve"> NOTEREF _Ref15306783 \h </w:instrText>
      </w:r>
      <w:r>
        <w:fldChar w:fldCharType="separate"/>
      </w:r>
      <w:r>
        <w:t>788</w:t>
      </w:r>
      <w:r>
        <w:fldChar w:fldCharType="end"/>
      </w:r>
      <w:r w:rsidRPr="00656A56">
        <w:t>.</w:t>
      </w:r>
    </w:p>
  </w:footnote>
  <w:footnote w:id="840">
    <w:p w14:paraId="5B1AB89D" w14:textId="2D2FD0AE" w:rsidR="002774A4" w:rsidRDefault="002774A4">
      <w:pPr>
        <w:pStyle w:val="FootnoteText"/>
      </w:pPr>
      <w:r w:rsidRPr="00656A56">
        <w:rPr>
          <w:rStyle w:val="FootnoteReference"/>
        </w:rPr>
        <w:footnoteRef/>
      </w:r>
      <w:r w:rsidRPr="00656A56">
        <w:t xml:space="preserve"> </w:t>
      </w:r>
      <w:proofErr w:type="gramStart"/>
      <w:r w:rsidRPr="00656A56">
        <w:t>McGill Centre for Human Rights and</w:t>
      </w:r>
      <w:r w:rsidRPr="00AE381E">
        <w:t xml:space="preserve"> Legal Pluralism, </w:t>
      </w:r>
      <w:r w:rsidRPr="00AE381E">
        <w:rPr>
          <w:i/>
        </w:rPr>
        <w:t>Submission to the United Nations Committee on the Rights of Persons with Disabilities: Canada’s compliance</w:t>
      </w:r>
      <w:r w:rsidRPr="00AE381E">
        <w:t xml:space="preserve"> </w:t>
      </w:r>
      <w:r w:rsidRPr="00AE381E">
        <w:rPr>
          <w:i/>
        </w:rPr>
        <w:t>with Article 12 of the Convention on the Rights of Persons with Disabilities</w:t>
      </w:r>
      <w:r w:rsidRPr="00AE381E">
        <w:t xml:space="preserve"> (2017)</w:t>
      </w:r>
      <w:r w:rsidRPr="00AE381E">
        <w:rPr>
          <w:i/>
        </w:rPr>
        <w:t xml:space="preserve"> </w:t>
      </w:r>
      <w:r w:rsidRPr="00AE381E">
        <w:t>at 12, online: &lt;https://www.google.com/url?sa=t&amp;rct=j&amp;q=&amp;esrc=s&amp;source=web&amp;cd=1&amp;ved=2ahUKEwi63InXlsvjAhUHV8AKHUAkC0sQFjAAegQIABAC&amp;url=https%3A%2F%2Fwww.mcgill.ca%2Fhumanrights%2Ffiles%2Fhumanrights%2F2017-chrlp_shadow-report_canada_compliance_with_crpd.docx&amp;usg=AOvVaw0Rnjp2G6Znp_VoxyRKzDqk&gt;.</w:t>
      </w:r>
      <w:proofErr w:type="gramEnd"/>
      <w:r>
        <w:t xml:space="preserve">  </w:t>
      </w:r>
    </w:p>
  </w:footnote>
  <w:footnote w:id="841">
    <w:p w14:paraId="39A30A77" w14:textId="7C349617" w:rsidR="002774A4" w:rsidRPr="00485702" w:rsidRDefault="002774A4">
      <w:pPr>
        <w:pStyle w:val="FootnoteText"/>
        <w:rPr>
          <w:i/>
        </w:rPr>
      </w:pPr>
      <w:r>
        <w:rPr>
          <w:rStyle w:val="FootnoteReference"/>
        </w:rPr>
        <w:footnoteRef/>
      </w:r>
      <w:r>
        <w:t xml:space="preserve"> </w:t>
      </w:r>
      <w:r>
        <w:rPr>
          <w:i/>
        </w:rPr>
        <w:t>Ibid.</w:t>
      </w:r>
    </w:p>
  </w:footnote>
  <w:footnote w:id="842">
    <w:p w14:paraId="43A5F8CF" w14:textId="1FEEEC95" w:rsidR="002774A4" w:rsidRPr="00485702" w:rsidRDefault="002774A4" w:rsidP="007F4E0B">
      <w:pPr>
        <w:rPr>
          <w:rFonts w:asciiTheme="majorBidi" w:hAnsiTheme="majorBidi"/>
          <w:i/>
          <w:sz w:val="28"/>
          <w:szCs w:val="28"/>
        </w:rPr>
      </w:pPr>
      <w:r w:rsidRPr="00AE381E">
        <w:rPr>
          <w:rStyle w:val="FootnoteReference"/>
          <w:sz w:val="20"/>
          <w:szCs w:val="20"/>
        </w:rPr>
        <w:footnoteRef/>
      </w:r>
      <w:r w:rsidRPr="00AE381E">
        <w:rPr>
          <w:sz w:val="20"/>
          <w:szCs w:val="20"/>
        </w:rPr>
        <w:t xml:space="preserve"> </w:t>
      </w:r>
      <w:r>
        <w:rPr>
          <w:i/>
          <w:sz w:val="20"/>
          <w:szCs w:val="20"/>
        </w:rPr>
        <w:t>Ibid.</w:t>
      </w:r>
    </w:p>
  </w:footnote>
  <w:footnote w:id="843">
    <w:p w14:paraId="4650B141" w14:textId="732EABA8" w:rsidR="002774A4" w:rsidRPr="00AD432B" w:rsidRDefault="002774A4">
      <w:pPr>
        <w:pStyle w:val="FootnoteText"/>
      </w:pPr>
      <w:r>
        <w:rPr>
          <w:rStyle w:val="FootnoteReference"/>
        </w:rPr>
        <w:footnoteRef/>
      </w:r>
      <w:r>
        <w:t xml:space="preserve"> Committee on the Rights of Persons with Disabilities, </w:t>
      </w:r>
      <w:r>
        <w:rPr>
          <w:i/>
        </w:rPr>
        <w:t xml:space="preserve">Concluding observations on the initial report of Canada </w:t>
      </w:r>
      <w:r>
        <w:t>(8 May 2017) at para 28, online: &lt;</w:t>
      </w:r>
      <w:r w:rsidRPr="00AD432B">
        <w:t xml:space="preserve"> http://docstore.ohchr.org/SelfServices/FilesHandler.ashx?enc=6QkG1d%2fPPRiCAqhKb7yhshFUYvCoX405cFaiGbrIbL87R7e4hNB%2fgZKnTAU8BqK7FKCyFSQGUzS4dKwSRSD%2fCPUoSzW7oP9OI5lweGr%2br%2b5I1xgowYx54qNOaVIdlRSY</w:t>
      </w:r>
      <w:r>
        <w:t xml:space="preserve">&gt;. </w:t>
      </w:r>
    </w:p>
  </w:footnote>
  <w:footnote w:id="844">
    <w:p w14:paraId="551586DB" w14:textId="16C0AB45" w:rsidR="002774A4" w:rsidRPr="004920D1" w:rsidRDefault="002774A4">
      <w:pPr>
        <w:pStyle w:val="FootnoteText"/>
      </w:pPr>
      <w:r>
        <w:rPr>
          <w:rStyle w:val="FootnoteReference"/>
        </w:rPr>
        <w:footnoteRef/>
      </w:r>
      <w:r>
        <w:t xml:space="preserve"> “Convention on the Rights of Persons with Disabilities,” </w:t>
      </w:r>
      <w:r>
        <w:rPr>
          <w:i/>
        </w:rPr>
        <w:t xml:space="preserve">supra </w:t>
      </w:r>
      <w:r>
        <w:t xml:space="preserve">note </w:t>
      </w:r>
      <w:r>
        <w:fldChar w:fldCharType="begin"/>
      </w:r>
      <w:r>
        <w:instrText xml:space="preserve"> NOTEREF _Ref15297432 \h </w:instrText>
      </w:r>
      <w:r>
        <w:fldChar w:fldCharType="separate"/>
      </w:r>
      <w:r>
        <w:t>20</w:t>
      </w:r>
      <w:r>
        <w:fldChar w:fldCharType="end"/>
      </w:r>
      <w:r>
        <w:t>.</w:t>
      </w:r>
    </w:p>
  </w:footnote>
  <w:footnote w:id="845">
    <w:p w14:paraId="1F0205CE" w14:textId="44536FBA" w:rsidR="002774A4" w:rsidRPr="003D18DF" w:rsidRDefault="002774A4">
      <w:pPr>
        <w:pStyle w:val="FootnoteText"/>
      </w:pPr>
      <w:r>
        <w:rPr>
          <w:rStyle w:val="FootnoteReference"/>
        </w:rPr>
        <w:footnoteRef/>
      </w:r>
      <w:r>
        <w:t xml:space="preserve"> Eliana J Theodorou, “Supported Decision-Making in the Lone-Star State,” 93 New York University Law Review 973 at 978, online: &lt;</w:t>
      </w:r>
      <w:r w:rsidRPr="006E3D43">
        <w:t xml:space="preserve"> </w:t>
      </w:r>
      <w:hyperlink r:id="rId36" w:history="1">
        <w:r w:rsidRPr="00CA63FA">
          <w:rPr>
            <w:rStyle w:val="Hyperlink"/>
          </w:rPr>
          <w:t>https://www.nyulawreview.org/wp-content/uploads/2018/10/NYULawReview-93-4-Theodorou_0.pdf</w:t>
        </w:r>
      </w:hyperlink>
      <w:r>
        <w:t xml:space="preserve">&gt;. </w:t>
      </w:r>
    </w:p>
  </w:footnote>
  <w:footnote w:id="846">
    <w:p w14:paraId="3DFC4D36" w14:textId="046D09EB" w:rsidR="002774A4" w:rsidRPr="008F667F" w:rsidRDefault="002774A4">
      <w:pPr>
        <w:pStyle w:val="FootnoteText"/>
      </w:pPr>
      <w:r>
        <w:rPr>
          <w:rStyle w:val="FootnoteReference"/>
        </w:rPr>
        <w:footnoteRef/>
      </w:r>
      <w:r>
        <w:t xml:space="preserve"> </w:t>
      </w:r>
      <w:r>
        <w:rPr>
          <w:i/>
        </w:rPr>
        <w:t xml:space="preserve">Ibid </w:t>
      </w:r>
      <w:r>
        <w:t xml:space="preserve">at 977. </w:t>
      </w:r>
    </w:p>
  </w:footnote>
  <w:footnote w:id="847">
    <w:p w14:paraId="4B135C86" w14:textId="71B2EC27" w:rsidR="002774A4" w:rsidRPr="002407BC" w:rsidRDefault="002774A4">
      <w:pPr>
        <w:pStyle w:val="FootnoteText"/>
      </w:pPr>
      <w:r>
        <w:rPr>
          <w:rStyle w:val="FootnoteReference"/>
        </w:rPr>
        <w:footnoteRef/>
      </w:r>
      <w:r>
        <w:t xml:space="preserve"> </w:t>
      </w:r>
      <w:r>
        <w:rPr>
          <w:i/>
        </w:rPr>
        <w:t xml:space="preserve">Ibid </w:t>
      </w:r>
      <w:r>
        <w:t>at 978.</w:t>
      </w:r>
    </w:p>
  </w:footnote>
  <w:footnote w:id="848">
    <w:p w14:paraId="39506B5D" w14:textId="42D00705" w:rsidR="002774A4" w:rsidRPr="00F80321" w:rsidRDefault="002774A4">
      <w:pPr>
        <w:pStyle w:val="FootnoteText"/>
      </w:pPr>
      <w:r>
        <w:rPr>
          <w:rStyle w:val="FootnoteReference"/>
        </w:rPr>
        <w:footnoteRef/>
      </w:r>
      <w:r>
        <w:t xml:space="preserve"> </w:t>
      </w:r>
      <w:r>
        <w:rPr>
          <w:i/>
        </w:rPr>
        <w:t xml:space="preserve">Ibid </w:t>
      </w:r>
      <w:r>
        <w:t>at 977.</w:t>
      </w:r>
    </w:p>
  </w:footnote>
  <w:footnote w:id="849">
    <w:p w14:paraId="064C2CB9" w14:textId="4CE21AB1" w:rsidR="002774A4" w:rsidRPr="006C365B" w:rsidRDefault="002774A4">
      <w:pPr>
        <w:pStyle w:val="FootnoteText"/>
      </w:pPr>
      <w:r>
        <w:rPr>
          <w:rStyle w:val="FootnoteReference"/>
        </w:rPr>
        <w:footnoteRef/>
      </w:r>
      <w:r>
        <w:t xml:space="preserve"> </w:t>
      </w:r>
      <w:r>
        <w:rPr>
          <w:i/>
        </w:rPr>
        <w:t xml:space="preserve">Ibid </w:t>
      </w:r>
      <w:r>
        <w:t>at 978.</w:t>
      </w:r>
    </w:p>
  </w:footnote>
  <w:footnote w:id="850">
    <w:p w14:paraId="605F0505" w14:textId="3A10F8F7" w:rsidR="002774A4" w:rsidRPr="002920D9" w:rsidRDefault="002774A4">
      <w:pPr>
        <w:pStyle w:val="FootnoteText"/>
      </w:pPr>
      <w:r>
        <w:rPr>
          <w:rStyle w:val="FootnoteReference"/>
        </w:rPr>
        <w:footnoteRef/>
      </w:r>
      <w:r>
        <w:t xml:space="preserve"> </w:t>
      </w:r>
      <w:r>
        <w:rPr>
          <w:i/>
        </w:rPr>
        <w:t>Ibid.</w:t>
      </w:r>
    </w:p>
  </w:footnote>
  <w:footnote w:id="851">
    <w:p w14:paraId="567766C2" w14:textId="75343C6C" w:rsidR="002774A4" w:rsidRPr="002920D9" w:rsidRDefault="002774A4">
      <w:pPr>
        <w:pStyle w:val="FootnoteText"/>
      </w:pPr>
      <w:r>
        <w:rPr>
          <w:rStyle w:val="FootnoteReference"/>
        </w:rPr>
        <w:footnoteRef/>
      </w:r>
      <w:r>
        <w:t xml:space="preserve"> </w:t>
      </w:r>
      <w:r>
        <w:rPr>
          <w:i/>
        </w:rPr>
        <w:t xml:space="preserve">Ibid </w:t>
      </w:r>
      <w:r>
        <w:t>at 979.</w:t>
      </w:r>
    </w:p>
  </w:footnote>
  <w:footnote w:id="852">
    <w:p w14:paraId="5F69B273" w14:textId="4FF2078A" w:rsidR="002774A4" w:rsidRPr="00905EC9" w:rsidRDefault="002774A4">
      <w:pPr>
        <w:pStyle w:val="FootnoteText"/>
      </w:pPr>
      <w:r>
        <w:rPr>
          <w:rStyle w:val="FootnoteReference"/>
        </w:rPr>
        <w:footnoteRef/>
      </w:r>
      <w:r>
        <w:t xml:space="preserve"> </w:t>
      </w:r>
      <w:r>
        <w:rPr>
          <w:i/>
        </w:rPr>
        <w:t xml:space="preserve">Supported Decision-Making Agreement Act, </w:t>
      </w:r>
      <w:r>
        <w:t xml:space="preserve">Texas, </w:t>
      </w:r>
      <w:proofErr w:type="gramStart"/>
      <w:r>
        <w:t>27</w:t>
      </w:r>
      <w:proofErr w:type="gramEnd"/>
      <w:r>
        <w:t xml:space="preserve"> May 2015, online: &lt;</w:t>
      </w:r>
      <w:r w:rsidRPr="00771E1F">
        <w:t xml:space="preserve"> </w:t>
      </w:r>
      <w:hyperlink r:id="rId37" w:anchor="navpanes=0" w:history="1">
        <w:r w:rsidRPr="00CA63FA">
          <w:rPr>
            <w:rStyle w:val="Hyperlink"/>
          </w:rPr>
          <w:t>https://capitol.texas.gov/tlodocs/84R/billtext/pdf/SB01881F.pdf#navpanes=0</w:t>
        </w:r>
      </w:hyperlink>
      <w:r>
        <w:t xml:space="preserve">&gt;. </w:t>
      </w:r>
    </w:p>
  </w:footnote>
  <w:footnote w:id="853">
    <w:p w14:paraId="3EFE019A" w14:textId="02457DEC" w:rsidR="002774A4" w:rsidRPr="00E4334A" w:rsidRDefault="002774A4">
      <w:pPr>
        <w:pStyle w:val="FootnoteText"/>
      </w:pPr>
      <w:r>
        <w:rPr>
          <w:rStyle w:val="FootnoteReference"/>
        </w:rPr>
        <w:footnoteRef/>
      </w:r>
      <w:r>
        <w:t xml:space="preserve"> Theodorou</w:t>
      </w:r>
      <w:r>
        <w:rPr>
          <w:i/>
        </w:rPr>
        <w:t xml:space="preserve">, supra </w:t>
      </w:r>
      <w:r>
        <w:t xml:space="preserve">note </w:t>
      </w:r>
      <w:r>
        <w:fldChar w:fldCharType="begin"/>
      </w:r>
      <w:r>
        <w:instrText xml:space="preserve"> NOTEREF _Ref15308444 \h </w:instrText>
      </w:r>
      <w:r>
        <w:fldChar w:fldCharType="separate"/>
      </w:r>
      <w:r>
        <w:t>845</w:t>
      </w:r>
      <w:r>
        <w:fldChar w:fldCharType="end"/>
      </w:r>
      <w:r>
        <w:t xml:space="preserve"> at 979</w:t>
      </w:r>
      <w:r>
        <w:rPr>
          <w:i/>
        </w:rPr>
        <w:t xml:space="preserve">. </w:t>
      </w:r>
    </w:p>
  </w:footnote>
  <w:footnote w:id="854">
    <w:p w14:paraId="0D7FDF4C" w14:textId="4234D136" w:rsidR="002774A4" w:rsidRPr="00D43AD1" w:rsidRDefault="002774A4">
      <w:pPr>
        <w:pStyle w:val="FootnoteText"/>
      </w:pPr>
      <w:r>
        <w:rPr>
          <w:rStyle w:val="FootnoteReference"/>
        </w:rPr>
        <w:footnoteRef/>
      </w:r>
      <w:r>
        <w:t xml:space="preserve"> </w:t>
      </w:r>
      <w:r>
        <w:rPr>
          <w:i/>
        </w:rPr>
        <w:t>Ibid.</w:t>
      </w:r>
    </w:p>
  </w:footnote>
  <w:footnote w:id="855">
    <w:p w14:paraId="76C18BDB" w14:textId="1EBB661F" w:rsidR="002774A4" w:rsidRPr="00E579AB" w:rsidRDefault="002774A4">
      <w:pPr>
        <w:pStyle w:val="FootnoteText"/>
        <w:rPr>
          <w:i/>
        </w:rPr>
      </w:pPr>
      <w:r>
        <w:rPr>
          <w:rStyle w:val="FootnoteReference"/>
        </w:rPr>
        <w:footnoteRef/>
      </w:r>
      <w:r>
        <w:t xml:space="preserve"> </w:t>
      </w:r>
      <w:r>
        <w:rPr>
          <w:i/>
        </w:rPr>
        <w:t>Ibid.</w:t>
      </w:r>
    </w:p>
  </w:footnote>
  <w:footnote w:id="856">
    <w:p w14:paraId="100D27FC" w14:textId="6E90E6E2" w:rsidR="002774A4" w:rsidRPr="00970351" w:rsidRDefault="002774A4">
      <w:pPr>
        <w:pStyle w:val="FootnoteText"/>
      </w:pPr>
      <w:r>
        <w:rPr>
          <w:rStyle w:val="FootnoteReference"/>
        </w:rPr>
        <w:footnoteRef/>
      </w:r>
      <w:r>
        <w:t xml:space="preserve"> Disability Rights Texas, “Texas First State to Pass Supported Decision-Making Law” (9 March 2016), online: &lt;</w:t>
      </w:r>
      <w:r w:rsidRPr="00970351">
        <w:t>https://www.disabilityrightstx.org/en/press_release/texas-first-state-to-pass-supported-decision-making-law/</w:t>
      </w:r>
      <w:r>
        <w:t>&gt;.</w:t>
      </w:r>
    </w:p>
  </w:footnote>
  <w:footnote w:id="857">
    <w:p w14:paraId="1BE2EA1B" w14:textId="264C77CA" w:rsidR="002774A4" w:rsidRPr="005D3379" w:rsidRDefault="002774A4">
      <w:pPr>
        <w:pStyle w:val="FootnoteText"/>
      </w:pPr>
      <w:r>
        <w:rPr>
          <w:rStyle w:val="FootnoteReference"/>
        </w:rPr>
        <w:footnoteRef/>
      </w:r>
      <w:r>
        <w:t xml:space="preserve"> Theodorou, </w:t>
      </w:r>
      <w:r>
        <w:rPr>
          <w:i/>
        </w:rPr>
        <w:t xml:space="preserve">supra </w:t>
      </w:r>
      <w:r>
        <w:t xml:space="preserve">note </w:t>
      </w:r>
      <w:r>
        <w:fldChar w:fldCharType="begin"/>
      </w:r>
      <w:r>
        <w:instrText xml:space="preserve"> NOTEREF _Ref15308444 \h </w:instrText>
      </w:r>
      <w:r>
        <w:fldChar w:fldCharType="separate"/>
      </w:r>
      <w:r>
        <w:t>845</w:t>
      </w:r>
      <w:r>
        <w:fldChar w:fldCharType="end"/>
      </w:r>
      <w:r>
        <w:t xml:space="preserve"> at 987.</w:t>
      </w:r>
    </w:p>
  </w:footnote>
  <w:footnote w:id="858">
    <w:p w14:paraId="7BDDDF8D" w14:textId="3B57A94E" w:rsidR="002774A4" w:rsidRPr="00D85AE7" w:rsidRDefault="002774A4">
      <w:pPr>
        <w:pStyle w:val="FootnoteText"/>
      </w:pPr>
      <w:r>
        <w:rPr>
          <w:rStyle w:val="FootnoteReference"/>
        </w:rPr>
        <w:footnoteRef/>
      </w:r>
      <w:r>
        <w:t xml:space="preserve"> </w:t>
      </w:r>
      <w:r>
        <w:rPr>
          <w:i/>
        </w:rPr>
        <w:t xml:space="preserve">Ibid </w:t>
      </w:r>
      <w:r>
        <w:t>at 988.</w:t>
      </w:r>
    </w:p>
  </w:footnote>
  <w:footnote w:id="859">
    <w:p w14:paraId="1540BDC4" w14:textId="3F0B8341" w:rsidR="002774A4" w:rsidRPr="009C6CBD" w:rsidRDefault="002774A4">
      <w:pPr>
        <w:pStyle w:val="FootnoteText"/>
      </w:pPr>
      <w:r>
        <w:rPr>
          <w:rStyle w:val="FootnoteReference"/>
        </w:rPr>
        <w:footnoteRef/>
      </w:r>
      <w:r>
        <w:t xml:space="preserve"> </w:t>
      </w:r>
      <w:r w:rsidRPr="00C659A3">
        <w:rPr>
          <w:i/>
        </w:rPr>
        <w:t>Ibid</w:t>
      </w:r>
      <w:r>
        <w:t>.</w:t>
      </w:r>
    </w:p>
  </w:footnote>
  <w:footnote w:id="860">
    <w:p w14:paraId="68502B52" w14:textId="37A71DDF" w:rsidR="002774A4" w:rsidRPr="0076741F" w:rsidRDefault="002774A4">
      <w:pPr>
        <w:pStyle w:val="FootnoteText"/>
      </w:pPr>
      <w:r>
        <w:rPr>
          <w:rStyle w:val="FootnoteReference"/>
        </w:rPr>
        <w:footnoteRef/>
      </w:r>
      <w:r>
        <w:t xml:space="preserve"> </w:t>
      </w:r>
      <w:r>
        <w:rPr>
          <w:i/>
        </w:rPr>
        <w:t xml:space="preserve">Ibid </w:t>
      </w:r>
      <w:r>
        <w:t>at 991.</w:t>
      </w:r>
    </w:p>
  </w:footnote>
  <w:footnote w:id="861">
    <w:p w14:paraId="1493161D" w14:textId="2F275AAA" w:rsidR="002774A4" w:rsidRPr="00807C59" w:rsidRDefault="002774A4">
      <w:pPr>
        <w:pStyle w:val="FootnoteText"/>
      </w:pPr>
      <w:r>
        <w:rPr>
          <w:rStyle w:val="FootnoteReference"/>
        </w:rPr>
        <w:footnoteRef/>
      </w:r>
      <w:r>
        <w:t xml:space="preserve"> </w:t>
      </w:r>
      <w:r>
        <w:rPr>
          <w:i/>
        </w:rPr>
        <w:t xml:space="preserve">Ibid. </w:t>
      </w:r>
    </w:p>
  </w:footnote>
  <w:footnote w:id="862">
    <w:p w14:paraId="4B92C7B5" w14:textId="4691E952" w:rsidR="002774A4" w:rsidRPr="00A22873" w:rsidRDefault="002774A4">
      <w:pPr>
        <w:pStyle w:val="FootnoteText"/>
      </w:pPr>
      <w:r>
        <w:rPr>
          <w:rStyle w:val="FootnoteReference"/>
        </w:rPr>
        <w:footnoteRef/>
      </w:r>
      <w:r>
        <w:t xml:space="preserve"> </w:t>
      </w:r>
      <w:r>
        <w:rPr>
          <w:i/>
        </w:rPr>
        <w:t xml:space="preserve">Ibid </w:t>
      </w:r>
      <w:r>
        <w:t>at 999.</w:t>
      </w:r>
    </w:p>
  </w:footnote>
  <w:footnote w:id="863">
    <w:p w14:paraId="2E0C63E7" w14:textId="186AF6B1" w:rsidR="002774A4" w:rsidRPr="007A2AFF" w:rsidRDefault="002774A4">
      <w:pPr>
        <w:pStyle w:val="FootnoteText"/>
      </w:pPr>
      <w:r>
        <w:rPr>
          <w:rStyle w:val="FootnoteReference"/>
        </w:rPr>
        <w:footnoteRef/>
      </w:r>
      <w:r>
        <w:t xml:space="preserve"> </w:t>
      </w:r>
      <w:r>
        <w:rPr>
          <w:i/>
        </w:rPr>
        <w:t xml:space="preserve">Ibid </w:t>
      </w:r>
      <w:r>
        <w:t>at 995-996.</w:t>
      </w:r>
    </w:p>
  </w:footnote>
  <w:footnote w:id="864">
    <w:p w14:paraId="43979F7F" w14:textId="2CB5F3F4" w:rsidR="002774A4" w:rsidRPr="000C651F" w:rsidRDefault="002774A4">
      <w:pPr>
        <w:pStyle w:val="FootnoteText"/>
      </w:pPr>
      <w:r>
        <w:rPr>
          <w:rStyle w:val="FootnoteReference"/>
        </w:rPr>
        <w:footnoteRef/>
      </w:r>
      <w:r>
        <w:t xml:space="preserve"> </w:t>
      </w:r>
      <w:r>
        <w:rPr>
          <w:i/>
        </w:rPr>
        <w:t xml:space="preserve">Supported Decision-Making Agreement Act, supra </w:t>
      </w:r>
      <w:r>
        <w:t xml:space="preserve">note </w:t>
      </w:r>
      <w:r>
        <w:fldChar w:fldCharType="begin"/>
      </w:r>
      <w:r>
        <w:instrText xml:space="preserve"> NOTEREF _Ref15308503 \h </w:instrText>
      </w:r>
      <w:r>
        <w:fldChar w:fldCharType="separate"/>
      </w:r>
      <w:r>
        <w:t>852</w:t>
      </w:r>
      <w:r>
        <w:fldChar w:fldCharType="end"/>
      </w:r>
      <w:r>
        <w:t>, s 1357.002(3).</w:t>
      </w:r>
    </w:p>
  </w:footnote>
  <w:footnote w:id="865">
    <w:p w14:paraId="2B880A53" w14:textId="21917D85" w:rsidR="002774A4" w:rsidRPr="00E753FE" w:rsidRDefault="002774A4">
      <w:pPr>
        <w:pStyle w:val="FootnoteText"/>
      </w:pPr>
      <w:r>
        <w:rPr>
          <w:rStyle w:val="FootnoteReference"/>
        </w:rPr>
        <w:footnoteRef/>
      </w:r>
      <w:r>
        <w:t xml:space="preserve"> </w:t>
      </w:r>
      <w:r>
        <w:rPr>
          <w:i/>
        </w:rPr>
        <w:t xml:space="preserve">Ibid, </w:t>
      </w:r>
      <w:r>
        <w:t>s 1357.003.</w:t>
      </w:r>
    </w:p>
  </w:footnote>
  <w:footnote w:id="866">
    <w:p w14:paraId="6705E92C" w14:textId="66C0C25A" w:rsidR="002774A4" w:rsidRPr="00525DCA" w:rsidRDefault="002774A4">
      <w:pPr>
        <w:pStyle w:val="FootnoteText"/>
      </w:pPr>
      <w:r>
        <w:rPr>
          <w:rStyle w:val="FootnoteReference"/>
        </w:rPr>
        <w:footnoteRef/>
      </w:r>
      <w:r>
        <w:t xml:space="preserve"> </w:t>
      </w:r>
      <w:r>
        <w:rPr>
          <w:i/>
        </w:rPr>
        <w:t xml:space="preserve">Ibid, </w:t>
      </w:r>
      <w:r>
        <w:t>s 1357.051(1)</w:t>
      </w:r>
    </w:p>
  </w:footnote>
  <w:footnote w:id="867">
    <w:p w14:paraId="275F8730" w14:textId="2A0CA365" w:rsidR="002774A4" w:rsidRPr="00525DCA" w:rsidRDefault="002774A4">
      <w:pPr>
        <w:pStyle w:val="FootnoteText"/>
      </w:pPr>
      <w:r>
        <w:rPr>
          <w:rStyle w:val="FootnoteReference"/>
        </w:rPr>
        <w:footnoteRef/>
      </w:r>
      <w:r>
        <w:t xml:space="preserve"> </w:t>
      </w:r>
      <w:r>
        <w:rPr>
          <w:i/>
        </w:rPr>
        <w:t xml:space="preserve">Ibid, </w:t>
      </w:r>
      <w:proofErr w:type="spellStart"/>
      <w:r>
        <w:t>ss</w:t>
      </w:r>
      <w:proofErr w:type="spellEnd"/>
      <w:r>
        <w:t xml:space="preserve"> 1357.051(2)-(4).</w:t>
      </w:r>
    </w:p>
  </w:footnote>
  <w:footnote w:id="868">
    <w:p w14:paraId="1BF45A92" w14:textId="016EB541" w:rsidR="002774A4" w:rsidRPr="00CE7D03" w:rsidRDefault="002774A4">
      <w:pPr>
        <w:pStyle w:val="FootnoteText"/>
      </w:pPr>
      <w:r>
        <w:rPr>
          <w:rStyle w:val="FootnoteReference"/>
        </w:rPr>
        <w:footnoteRef/>
      </w:r>
      <w:r>
        <w:t xml:space="preserve"> </w:t>
      </w:r>
      <w:r>
        <w:rPr>
          <w:i/>
        </w:rPr>
        <w:t xml:space="preserve">Ibid, </w:t>
      </w:r>
      <w:r>
        <w:t>s 1357.055 (a).</w:t>
      </w:r>
    </w:p>
  </w:footnote>
  <w:footnote w:id="869">
    <w:p w14:paraId="26F90517" w14:textId="5BF68476" w:rsidR="002774A4" w:rsidRPr="00351F7B" w:rsidRDefault="002774A4">
      <w:pPr>
        <w:pStyle w:val="FootnoteText"/>
      </w:pPr>
      <w:r>
        <w:rPr>
          <w:rStyle w:val="FootnoteReference"/>
        </w:rPr>
        <w:footnoteRef/>
      </w:r>
      <w:r>
        <w:t xml:space="preserve"> </w:t>
      </w:r>
      <w:r>
        <w:rPr>
          <w:i/>
        </w:rPr>
        <w:t xml:space="preserve">Ibid, </w:t>
      </w:r>
      <w:proofErr w:type="spellStart"/>
      <w:r>
        <w:t>ss</w:t>
      </w:r>
      <w:proofErr w:type="spellEnd"/>
      <w:r>
        <w:t xml:space="preserve"> 1357.053(a)-(b</w:t>
      </w:r>
      <w:proofErr w:type="gramStart"/>
      <w:r>
        <w:t>)(</w:t>
      </w:r>
      <w:proofErr w:type="gramEnd"/>
      <w:r>
        <w:t>1).</w:t>
      </w:r>
    </w:p>
  </w:footnote>
  <w:footnote w:id="870">
    <w:p w14:paraId="7F7BB023" w14:textId="4F15424B" w:rsidR="002774A4" w:rsidRPr="0044265F" w:rsidRDefault="002774A4">
      <w:pPr>
        <w:pStyle w:val="FootnoteText"/>
      </w:pPr>
      <w:r>
        <w:rPr>
          <w:rStyle w:val="FootnoteReference"/>
        </w:rPr>
        <w:footnoteRef/>
      </w:r>
      <w:r>
        <w:t xml:space="preserve"> </w:t>
      </w:r>
      <w:r>
        <w:rPr>
          <w:i/>
        </w:rPr>
        <w:t xml:space="preserve">Ibid, </w:t>
      </w:r>
      <w:r>
        <w:t>s 1357.056.</w:t>
      </w:r>
    </w:p>
  </w:footnote>
  <w:footnote w:id="871">
    <w:p w14:paraId="2216B616" w14:textId="39FE14B0" w:rsidR="002774A4" w:rsidRPr="00615994" w:rsidRDefault="002774A4" w:rsidP="00F4699F">
      <w:pPr>
        <w:pStyle w:val="FootnoteText"/>
      </w:pPr>
      <w:r>
        <w:rPr>
          <w:rStyle w:val="FootnoteReference"/>
        </w:rPr>
        <w:footnoteRef/>
      </w:r>
      <w:r>
        <w:t xml:space="preserve"> </w:t>
      </w:r>
      <w:r w:rsidRPr="00C66B1D">
        <w:rPr>
          <w:i/>
        </w:rPr>
        <w:t>Texas Judicial Council Guardianship Reforms</w:t>
      </w:r>
      <w:r>
        <w:t xml:space="preserve">, Texas, 11 May 2015, </w:t>
      </w:r>
      <w:proofErr w:type="spellStart"/>
      <w:r>
        <w:t>ss</w:t>
      </w:r>
      <w:proofErr w:type="spellEnd"/>
      <w:r>
        <w:t xml:space="preserve"> 1101.101(a</w:t>
      </w:r>
      <w:proofErr w:type="gramStart"/>
      <w:r>
        <w:t>)(</w:t>
      </w:r>
      <w:proofErr w:type="gramEnd"/>
      <w:r>
        <w:t>D)-(E), online: &lt;</w:t>
      </w:r>
      <w:r w:rsidRPr="0098782E">
        <w:t>https://capitol.texas.gov/tlodocs/84R/billtext/pdf/HB00039F.pdf</w:t>
      </w:r>
      <w:r>
        <w:t>&gt;.</w:t>
      </w:r>
      <w:r w:rsidRPr="0098782E">
        <w:t xml:space="preserve"> </w:t>
      </w:r>
    </w:p>
  </w:footnote>
  <w:footnote w:id="872">
    <w:p w14:paraId="1CF524AE" w14:textId="28F6AEFD" w:rsidR="002774A4" w:rsidRPr="00B653E2" w:rsidRDefault="002774A4">
      <w:pPr>
        <w:pStyle w:val="FootnoteText"/>
      </w:pPr>
      <w:r>
        <w:rPr>
          <w:rStyle w:val="FootnoteReference"/>
        </w:rPr>
        <w:footnoteRef/>
      </w:r>
      <w:r>
        <w:t xml:space="preserve"> </w:t>
      </w:r>
      <w:r>
        <w:rPr>
          <w:i/>
        </w:rPr>
        <w:t xml:space="preserve">Ibid, </w:t>
      </w:r>
      <w:r>
        <w:t>s 1002.0015.</w:t>
      </w:r>
    </w:p>
  </w:footnote>
  <w:footnote w:id="873">
    <w:p w14:paraId="50CFFB3E" w14:textId="3B475864" w:rsidR="002774A4" w:rsidRPr="003C1068" w:rsidRDefault="002774A4" w:rsidP="003C1068">
      <w:pPr>
        <w:pStyle w:val="NormalWeb"/>
        <w:spacing w:before="0" w:beforeAutospacing="0" w:after="0" w:afterAutospacing="0"/>
        <w:rPr>
          <w:sz w:val="20"/>
          <w:szCs w:val="20"/>
        </w:rPr>
      </w:pPr>
      <w:r w:rsidRPr="003C1068">
        <w:rPr>
          <w:rStyle w:val="FootnoteReference"/>
          <w:sz w:val="20"/>
          <w:szCs w:val="20"/>
        </w:rPr>
        <w:footnoteRef/>
      </w:r>
      <w:r w:rsidRPr="003C1068">
        <w:rPr>
          <w:sz w:val="20"/>
          <w:szCs w:val="20"/>
        </w:rPr>
        <w:t xml:space="preserve"> </w:t>
      </w:r>
      <w:r>
        <w:rPr>
          <w:i/>
          <w:sz w:val="20"/>
          <w:szCs w:val="20"/>
        </w:rPr>
        <w:t xml:space="preserve">Ibid, </w:t>
      </w:r>
      <w:r>
        <w:rPr>
          <w:sz w:val="20"/>
          <w:szCs w:val="20"/>
        </w:rPr>
        <w:t xml:space="preserve">s </w:t>
      </w:r>
      <w:r w:rsidRPr="003C1068">
        <w:rPr>
          <w:sz w:val="20"/>
          <w:szCs w:val="20"/>
        </w:rPr>
        <w:t>1054.201</w:t>
      </w:r>
      <w:r>
        <w:rPr>
          <w:sz w:val="20"/>
          <w:szCs w:val="20"/>
        </w:rPr>
        <w:t>.</w:t>
      </w:r>
    </w:p>
  </w:footnote>
  <w:footnote w:id="874">
    <w:p w14:paraId="016D38BF" w14:textId="4E123008" w:rsidR="002774A4" w:rsidRPr="00D2386B" w:rsidRDefault="002774A4">
      <w:pPr>
        <w:pStyle w:val="FootnoteText"/>
      </w:pPr>
      <w:r>
        <w:rPr>
          <w:rStyle w:val="FootnoteReference"/>
        </w:rPr>
        <w:footnoteRef/>
      </w:r>
      <w:r>
        <w:t xml:space="preserve"> </w:t>
      </w:r>
      <w:r w:rsidRPr="003C30CD">
        <w:rPr>
          <w:i/>
        </w:rPr>
        <w:t>Bill of Rights for Wards</w:t>
      </w:r>
      <w:r>
        <w:t>, Texas, 29 May 2015, s 1151.351(a), online: &lt;</w:t>
      </w:r>
      <w:r w:rsidRPr="00B061C4">
        <w:t>https://capitol.texas.gov/tlodocs/84R/billtext/pdf/SB01882F.pdf#navpanes=0</w:t>
      </w:r>
      <w:r>
        <w:t>&gt;.</w:t>
      </w:r>
    </w:p>
  </w:footnote>
  <w:footnote w:id="875">
    <w:p w14:paraId="63F1C3D9" w14:textId="79610CC2" w:rsidR="002774A4" w:rsidRPr="0087107E" w:rsidRDefault="002774A4">
      <w:pPr>
        <w:pStyle w:val="FootnoteText"/>
      </w:pPr>
      <w:r>
        <w:rPr>
          <w:rStyle w:val="FootnoteReference"/>
        </w:rPr>
        <w:footnoteRef/>
      </w:r>
      <w:r>
        <w:t xml:space="preserve"> </w:t>
      </w:r>
      <w:r>
        <w:rPr>
          <w:i/>
        </w:rPr>
        <w:t xml:space="preserve">Ibid, </w:t>
      </w:r>
      <w:r>
        <w:t>s 1151.351(b</w:t>
      </w:r>
      <w:proofErr w:type="gramStart"/>
      <w:r>
        <w:t>)(</w:t>
      </w:r>
      <w:proofErr w:type="gramEnd"/>
      <w:r>
        <w:t>5).</w:t>
      </w:r>
    </w:p>
  </w:footnote>
  <w:footnote w:id="876">
    <w:p w14:paraId="08D9D56F" w14:textId="17AC8BBA" w:rsidR="002774A4" w:rsidRPr="005C55E1" w:rsidRDefault="002774A4" w:rsidP="00307288">
      <w:pPr>
        <w:pStyle w:val="FootnoteText"/>
      </w:pPr>
      <w:r>
        <w:rPr>
          <w:rStyle w:val="FootnoteReference"/>
        </w:rPr>
        <w:footnoteRef/>
      </w:r>
      <w:r>
        <w:t xml:space="preserve"> </w:t>
      </w:r>
      <w:r>
        <w:rPr>
          <w:i/>
        </w:rPr>
        <w:t xml:space="preserve">Ibid, </w:t>
      </w:r>
      <w:r>
        <w:t>s 1357.051(1).</w:t>
      </w:r>
    </w:p>
  </w:footnote>
  <w:footnote w:id="877">
    <w:p w14:paraId="44818584" w14:textId="307A1C79" w:rsidR="002774A4" w:rsidRPr="002E55CF" w:rsidRDefault="002774A4" w:rsidP="00BA75BC">
      <w:pPr>
        <w:pStyle w:val="FootnoteText"/>
      </w:pPr>
      <w:r>
        <w:rPr>
          <w:rStyle w:val="FootnoteReference"/>
        </w:rPr>
        <w:footnoteRef/>
      </w:r>
      <w:r>
        <w:t xml:space="preserve"> </w:t>
      </w:r>
      <w:r>
        <w:rPr>
          <w:i/>
        </w:rPr>
        <w:t xml:space="preserve">Ibid, </w:t>
      </w:r>
      <w:r>
        <w:t>s 1357.003.</w:t>
      </w:r>
    </w:p>
  </w:footnote>
  <w:footnote w:id="878">
    <w:p w14:paraId="37EBE4DB" w14:textId="095D2F66" w:rsidR="002774A4" w:rsidRPr="00762D82" w:rsidRDefault="002774A4" w:rsidP="00BA75BC">
      <w:pPr>
        <w:pStyle w:val="FootnoteText"/>
      </w:pPr>
      <w:r>
        <w:rPr>
          <w:rStyle w:val="FootnoteReference"/>
        </w:rPr>
        <w:footnoteRef/>
      </w:r>
      <w:r>
        <w:t xml:space="preserve"> </w:t>
      </w:r>
      <w:r w:rsidRPr="00A550A1">
        <w:rPr>
          <w:color w:val="000000" w:themeColor="text1"/>
        </w:rPr>
        <w:t xml:space="preserve">Committee on the Rights of Persons with Disabilities, </w:t>
      </w:r>
      <w:r>
        <w:t xml:space="preserve">“General comment No.1,” </w:t>
      </w:r>
      <w:r w:rsidRPr="00A550A1">
        <w:rPr>
          <w:i/>
          <w:color w:val="000000" w:themeColor="text1"/>
        </w:rPr>
        <w:t xml:space="preserve">supra </w:t>
      </w:r>
      <w:r w:rsidRPr="00A550A1">
        <w:rPr>
          <w:color w:val="000000" w:themeColor="text1"/>
        </w:rPr>
        <w:t xml:space="preserve">note </w:t>
      </w:r>
      <w:r>
        <w:rPr>
          <w:color w:val="000000" w:themeColor="text1"/>
        </w:rPr>
        <w:fldChar w:fldCharType="begin"/>
      </w:r>
      <w:r>
        <w:rPr>
          <w:color w:val="000000" w:themeColor="text1"/>
        </w:rPr>
        <w:instrText xml:space="preserve"> NOTEREF _Ref15295251 \h </w:instrText>
      </w:r>
      <w:r>
        <w:rPr>
          <w:color w:val="000000" w:themeColor="text1"/>
        </w:rPr>
      </w:r>
      <w:r>
        <w:rPr>
          <w:color w:val="000000" w:themeColor="text1"/>
        </w:rPr>
        <w:fldChar w:fldCharType="separate"/>
      </w:r>
      <w:proofErr w:type="gramStart"/>
      <w:r>
        <w:rPr>
          <w:color w:val="000000" w:themeColor="text1"/>
        </w:rPr>
        <w:t>7</w:t>
      </w:r>
      <w:proofErr w:type="gramEnd"/>
      <w:r>
        <w:rPr>
          <w:color w:val="000000" w:themeColor="text1"/>
        </w:rPr>
        <w:fldChar w:fldCharType="end"/>
      </w:r>
      <w:r>
        <w:rPr>
          <w:color w:val="000000" w:themeColor="text1"/>
        </w:rPr>
        <w:t xml:space="preserve"> at para </w:t>
      </w:r>
      <w:r>
        <w:t>29(i).</w:t>
      </w:r>
    </w:p>
  </w:footnote>
  <w:footnote w:id="879">
    <w:p w14:paraId="1865F9CA" w14:textId="7607A83A" w:rsidR="002774A4" w:rsidRPr="005A51D9" w:rsidRDefault="002774A4">
      <w:pPr>
        <w:pStyle w:val="FootnoteText"/>
      </w:pPr>
      <w:r>
        <w:rPr>
          <w:rStyle w:val="FootnoteReference"/>
        </w:rPr>
        <w:footnoteRef/>
      </w:r>
      <w:r>
        <w:t xml:space="preserve"> See </w:t>
      </w:r>
      <w:r>
        <w:rPr>
          <w:i/>
        </w:rPr>
        <w:t xml:space="preserve">Supported Decision-Making Agreement Act, supra </w:t>
      </w:r>
      <w:r>
        <w:t xml:space="preserve">note </w:t>
      </w:r>
      <w:r>
        <w:fldChar w:fldCharType="begin"/>
      </w:r>
      <w:r>
        <w:instrText xml:space="preserve"> NOTEREF _Ref15308503 \h </w:instrText>
      </w:r>
      <w:r>
        <w:fldChar w:fldCharType="separate"/>
      </w:r>
      <w:r>
        <w:t>852</w:t>
      </w:r>
      <w:r>
        <w:fldChar w:fldCharType="end"/>
      </w:r>
      <w:r>
        <w:fldChar w:fldCharType="begin"/>
      </w:r>
      <w:r>
        <w:instrText xml:space="preserve"> NOTEREF _Ref15308503 \h </w:instrText>
      </w:r>
      <w:r>
        <w:fldChar w:fldCharType="end"/>
      </w:r>
      <w:r>
        <w:t xml:space="preserve">, </w:t>
      </w:r>
      <w:proofErr w:type="spellStart"/>
      <w:r>
        <w:t>ss</w:t>
      </w:r>
      <w:proofErr w:type="spellEnd"/>
      <w:r>
        <w:t xml:space="preserve"> 1357.053(a)-(b</w:t>
      </w:r>
      <w:proofErr w:type="gramStart"/>
      <w:r>
        <w:t>)(</w:t>
      </w:r>
      <w:proofErr w:type="gramEnd"/>
      <w:r>
        <w:t xml:space="preserve">1). </w:t>
      </w:r>
    </w:p>
  </w:footnote>
  <w:footnote w:id="880">
    <w:p w14:paraId="0643302D" w14:textId="23AA7153" w:rsidR="002774A4" w:rsidRPr="00437E0C" w:rsidRDefault="002774A4">
      <w:pPr>
        <w:pStyle w:val="FootnoteText"/>
      </w:pPr>
      <w:r>
        <w:rPr>
          <w:rStyle w:val="FootnoteReference"/>
        </w:rPr>
        <w:footnoteRef/>
      </w:r>
      <w:r>
        <w:t xml:space="preserve"> </w:t>
      </w:r>
      <w:r>
        <w:rPr>
          <w:i/>
        </w:rPr>
        <w:t>Ibid,</w:t>
      </w:r>
      <w:r>
        <w:t xml:space="preserve"> s 1357.102.</w:t>
      </w:r>
    </w:p>
  </w:footnote>
  <w:footnote w:id="881">
    <w:p w14:paraId="080D1FB0" w14:textId="7722726B" w:rsidR="002774A4" w:rsidRPr="002D5F90" w:rsidRDefault="002774A4" w:rsidP="002D5F90">
      <w:pPr>
        <w:pStyle w:val="Heading1"/>
        <w:spacing w:before="0" w:beforeAutospacing="0" w:after="0" w:afterAutospacing="0"/>
        <w:rPr>
          <w:b w:val="0"/>
          <w:bCs w:val="0"/>
          <w:color w:val="4D4D4D"/>
          <w:sz w:val="20"/>
          <w:szCs w:val="20"/>
        </w:rPr>
      </w:pPr>
      <w:r w:rsidRPr="006306CD">
        <w:rPr>
          <w:rStyle w:val="FootnoteReference"/>
          <w:b w:val="0"/>
          <w:color w:val="000000" w:themeColor="text1"/>
          <w:sz w:val="20"/>
          <w:szCs w:val="20"/>
        </w:rPr>
        <w:footnoteRef/>
      </w:r>
      <w:r w:rsidRPr="006306CD">
        <w:rPr>
          <w:b w:val="0"/>
          <w:color w:val="000000" w:themeColor="text1"/>
          <w:sz w:val="20"/>
          <w:szCs w:val="20"/>
        </w:rPr>
        <w:t xml:space="preserve"> </w:t>
      </w:r>
      <w:r w:rsidRPr="006306CD">
        <w:rPr>
          <w:b w:val="0"/>
          <w:bCs w:val="0"/>
          <w:color w:val="000000" w:themeColor="text1"/>
          <w:sz w:val="20"/>
          <w:szCs w:val="20"/>
        </w:rPr>
        <w:t xml:space="preserve">Texas Estates Code - EST </w:t>
      </w:r>
      <w:r>
        <w:rPr>
          <w:b w:val="0"/>
          <w:bCs w:val="0"/>
          <w:color w:val="000000" w:themeColor="text1"/>
          <w:sz w:val="20"/>
          <w:szCs w:val="20"/>
        </w:rPr>
        <w:t>s</w:t>
      </w:r>
      <w:r w:rsidRPr="006306CD">
        <w:rPr>
          <w:b w:val="0"/>
          <w:bCs w:val="0"/>
          <w:color w:val="000000" w:themeColor="text1"/>
          <w:sz w:val="20"/>
          <w:szCs w:val="20"/>
        </w:rPr>
        <w:t xml:space="preserve"> 1101.101, </w:t>
      </w:r>
      <w:r>
        <w:rPr>
          <w:b w:val="0"/>
          <w:bCs w:val="0"/>
          <w:color w:val="000000" w:themeColor="text1"/>
          <w:sz w:val="20"/>
          <w:szCs w:val="20"/>
        </w:rPr>
        <w:t>online: &lt;</w:t>
      </w:r>
      <w:r w:rsidRPr="006306CD">
        <w:rPr>
          <w:b w:val="0"/>
          <w:color w:val="000000" w:themeColor="text1"/>
          <w:sz w:val="20"/>
          <w:szCs w:val="20"/>
        </w:rPr>
        <w:t>https://codes.findlaw.com/tx/estates-code/est-sect-1101-101.html</w:t>
      </w:r>
      <w:r>
        <w:rPr>
          <w:b w:val="0"/>
          <w:color w:val="000000" w:themeColor="text1"/>
          <w:sz w:val="20"/>
          <w:szCs w:val="20"/>
        </w:rPr>
        <w:t>&gt;.</w:t>
      </w:r>
    </w:p>
  </w:footnote>
  <w:footnote w:id="882">
    <w:p w14:paraId="2948EB32" w14:textId="72628D10" w:rsidR="002774A4" w:rsidRPr="00613A60" w:rsidRDefault="002774A4">
      <w:pPr>
        <w:pStyle w:val="FootnoteText"/>
        <w:rPr>
          <w:i/>
        </w:rPr>
      </w:pPr>
      <w:r>
        <w:rPr>
          <w:rStyle w:val="FootnoteReference"/>
        </w:rPr>
        <w:footnoteRef/>
      </w:r>
      <w:r>
        <w:t xml:space="preserve"> </w:t>
      </w:r>
      <w:r>
        <w:rPr>
          <w:i/>
        </w:rPr>
        <w:t>Ibid.</w:t>
      </w:r>
    </w:p>
  </w:footnote>
  <w:footnote w:id="883">
    <w:p w14:paraId="345A5C76" w14:textId="06727022" w:rsidR="002774A4" w:rsidRPr="007B6D70" w:rsidRDefault="002774A4">
      <w:pPr>
        <w:pStyle w:val="FootnoteText"/>
      </w:pPr>
      <w:r w:rsidRPr="007B6D70">
        <w:rPr>
          <w:rStyle w:val="FootnoteReference"/>
        </w:rPr>
        <w:footnoteRef/>
      </w:r>
      <w:r w:rsidRPr="007B6D70">
        <w:t xml:space="preserve"> </w:t>
      </w:r>
      <w:r w:rsidRPr="007B6D70">
        <w:rPr>
          <w:i/>
        </w:rPr>
        <w:t xml:space="preserve">Ibid, </w:t>
      </w:r>
      <w:proofErr w:type="spellStart"/>
      <w:r>
        <w:rPr>
          <w:bCs/>
          <w:color w:val="000000" w:themeColor="text1"/>
        </w:rPr>
        <w:t>ss</w:t>
      </w:r>
      <w:proofErr w:type="spellEnd"/>
      <w:r w:rsidRPr="007B6D70">
        <w:rPr>
          <w:bCs/>
          <w:color w:val="000000" w:themeColor="text1"/>
        </w:rPr>
        <w:t xml:space="preserve"> 1101.101 &amp; 1002.001.</w:t>
      </w:r>
    </w:p>
  </w:footnote>
  <w:footnote w:id="884">
    <w:p w14:paraId="0C3E7B76" w14:textId="3F6BB0F6" w:rsidR="002774A4" w:rsidRPr="00D57787" w:rsidRDefault="002774A4">
      <w:pPr>
        <w:pStyle w:val="FootnoteText"/>
      </w:pPr>
      <w:r>
        <w:rPr>
          <w:rStyle w:val="FootnoteReference"/>
        </w:rPr>
        <w:footnoteRef/>
      </w:r>
      <w:r>
        <w:t xml:space="preserve"> See Committee on the Rights of Persons with Disabilities, “General Comment No.1,” </w:t>
      </w:r>
      <w:r>
        <w:rPr>
          <w:i/>
        </w:rPr>
        <w:t xml:space="preserve">supra </w:t>
      </w:r>
      <w:r>
        <w:t xml:space="preserve">note </w:t>
      </w:r>
      <w:r>
        <w:fldChar w:fldCharType="begin"/>
      </w:r>
      <w:r>
        <w:instrText xml:space="preserve"> NOTEREF _Ref15295251 \h </w:instrText>
      </w:r>
      <w:r>
        <w:fldChar w:fldCharType="separate"/>
      </w:r>
      <w:proofErr w:type="gramStart"/>
      <w:r>
        <w:t>7</w:t>
      </w:r>
      <w:proofErr w:type="gramEnd"/>
      <w:r>
        <w:fldChar w:fldCharType="end"/>
      </w:r>
      <w:r>
        <w:t xml:space="preserve"> at para 15.</w:t>
      </w:r>
    </w:p>
  </w:footnote>
  <w:footnote w:id="885">
    <w:p w14:paraId="42B4C920" w14:textId="121B62D4" w:rsidR="002774A4" w:rsidRPr="00E12395" w:rsidRDefault="002774A4">
      <w:pPr>
        <w:pStyle w:val="FootnoteText"/>
      </w:pPr>
      <w:r>
        <w:rPr>
          <w:rStyle w:val="FootnoteReference"/>
        </w:rPr>
        <w:footnoteRef/>
      </w:r>
      <w:r>
        <w:t xml:space="preserve"> Theodorou, </w:t>
      </w:r>
      <w:r>
        <w:rPr>
          <w:i/>
        </w:rPr>
        <w:t xml:space="preserve">supra </w:t>
      </w:r>
      <w:r>
        <w:t xml:space="preserve">note </w:t>
      </w:r>
      <w:r>
        <w:fldChar w:fldCharType="begin"/>
      </w:r>
      <w:r>
        <w:instrText xml:space="preserve"> NOTEREF _Ref15308444 \h </w:instrText>
      </w:r>
      <w:r>
        <w:fldChar w:fldCharType="separate"/>
      </w:r>
      <w:r>
        <w:t>845</w:t>
      </w:r>
      <w:r>
        <w:fldChar w:fldCharType="end"/>
      </w:r>
      <w:r>
        <w:t xml:space="preserve"> at 1007.</w:t>
      </w:r>
    </w:p>
  </w:footnote>
  <w:footnote w:id="886">
    <w:p w14:paraId="1ECD718C" w14:textId="4758B71F" w:rsidR="002774A4" w:rsidRPr="00397DB2" w:rsidRDefault="002774A4">
      <w:pPr>
        <w:pStyle w:val="FootnoteText"/>
      </w:pPr>
      <w:r>
        <w:rPr>
          <w:rStyle w:val="FootnoteReference"/>
        </w:rPr>
        <w:footnoteRef/>
      </w:r>
      <w:r>
        <w:t xml:space="preserve"> “Convention on the Rights of Persons with Disabilities,” </w:t>
      </w:r>
      <w:r>
        <w:rPr>
          <w:i/>
        </w:rPr>
        <w:t xml:space="preserve">supra </w:t>
      </w:r>
      <w:r>
        <w:t xml:space="preserve">note </w:t>
      </w:r>
      <w:r>
        <w:fldChar w:fldCharType="begin"/>
      </w:r>
      <w:r>
        <w:instrText xml:space="preserve"> NOTEREF _Ref15297432 \h </w:instrText>
      </w:r>
      <w:r>
        <w:fldChar w:fldCharType="separate"/>
      </w:r>
      <w:r>
        <w:t>20</w:t>
      </w:r>
      <w:r>
        <w:fldChar w:fldCharType="end"/>
      </w:r>
      <w:r>
        <w:t>.</w:t>
      </w:r>
    </w:p>
  </w:footnote>
  <w:footnote w:id="887">
    <w:p w14:paraId="19395B69" w14:textId="0669D721" w:rsidR="002774A4" w:rsidRPr="000B27E8" w:rsidRDefault="002774A4">
      <w:pPr>
        <w:pStyle w:val="FootnoteText"/>
      </w:pPr>
      <w:r>
        <w:rPr>
          <w:rStyle w:val="FootnoteReference"/>
        </w:rPr>
        <w:footnoteRef/>
      </w:r>
      <w:r>
        <w:t xml:space="preserve"> Australian Law Reform Commission, </w:t>
      </w:r>
      <w:r>
        <w:rPr>
          <w:i/>
        </w:rPr>
        <w:t xml:space="preserve">Equality, Capacity and Disability in Commonwealth Laws: Final Report </w:t>
      </w:r>
      <w:r>
        <w:t>(Commonwealth of Australia, 21 August 2014), at 24, online: &lt;</w:t>
      </w:r>
      <w:hyperlink r:id="rId38" w:history="1">
        <w:r w:rsidRPr="006D09B4">
          <w:rPr>
            <w:rStyle w:val="Hyperlink"/>
          </w:rPr>
          <w:t>https://www.alrc.gov.au/sites/default/files/pdfs/publications/alrc_124_whole_pdf_file.pdf</w:t>
        </w:r>
      </w:hyperlink>
      <w:r>
        <w:rPr>
          <w:rStyle w:val="Hyperlink"/>
        </w:rPr>
        <w:t xml:space="preserve"> &gt;.</w:t>
      </w:r>
    </w:p>
  </w:footnote>
  <w:footnote w:id="888">
    <w:p w14:paraId="5D0D5F1F" w14:textId="63880A41" w:rsidR="002774A4" w:rsidRPr="00DD0AAE" w:rsidRDefault="002774A4">
      <w:pPr>
        <w:pStyle w:val="FootnoteText"/>
      </w:pPr>
      <w:r>
        <w:rPr>
          <w:rStyle w:val="FootnoteReference"/>
        </w:rPr>
        <w:footnoteRef/>
      </w:r>
      <w:r>
        <w:t xml:space="preserve"> </w:t>
      </w:r>
      <w:r>
        <w:rPr>
          <w:i/>
        </w:rPr>
        <w:t xml:space="preserve">Ibid </w:t>
      </w:r>
      <w:r>
        <w:t>at 11.</w:t>
      </w:r>
    </w:p>
  </w:footnote>
  <w:footnote w:id="889">
    <w:p w14:paraId="36A42310" w14:textId="01FCEA92" w:rsidR="002774A4" w:rsidRPr="005B033A" w:rsidRDefault="002774A4">
      <w:pPr>
        <w:pStyle w:val="FootnoteText"/>
      </w:pPr>
      <w:r>
        <w:rPr>
          <w:rStyle w:val="FootnoteReference"/>
        </w:rPr>
        <w:footnoteRef/>
      </w:r>
      <w:r>
        <w:t xml:space="preserve"> Bruce Alston, “Towards Supported Decision-Making: Article 12 of the Convention on the Rights of Persons with Disabilities and Guardianship Law Reform” (2017) 35:2 Law in Context 21 at 29.</w:t>
      </w:r>
    </w:p>
  </w:footnote>
  <w:footnote w:id="890">
    <w:p w14:paraId="5383F97E" w14:textId="256EC0EA" w:rsidR="002774A4" w:rsidRDefault="002774A4">
      <w:pPr>
        <w:pStyle w:val="FootnoteText"/>
      </w:pPr>
      <w:r>
        <w:rPr>
          <w:rStyle w:val="FootnoteReference"/>
        </w:rPr>
        <w:footnoteRef/>
      </w:r>
      <w:r>
        <w:t xml:space="preserve"> See Victoria Law Reform Commission, </w:t>
      </w:r>
      <w:r w:rsidRPr="008F0D57">
        <w:rPr>
          <w:i/>
        </w:rPr>
        <w:t>Guardianship: Final Report</w:t>
      </w:r>
      <w:r>
        <w:t xml:space="preserve"> (18 April 2012), online: &lt;</w:t>
      </w:r>
      <w:hyperlink r:id="rId39" w:history="1">
        <w:r w:rsidRPr="00CA63FA">
          <w:rPr>
            <w:rStyle w:val="Hyperlink"/>
          </w:rPr>
          <w:t>https://www.lawreform.vic.gov.au/sites/default/files/Guardianship_FinalReport_Full%20text.pdf</w:t>
        </w:r>
      </w:hyperlink>
      <w:r>
        <w:t>&gt;.</w:t>
      </w:r>
    </w:p>
  </w:footnote>
  <w:footnote w:id="891">
    <w:p w14:paraId="3EF5E926" w14:textId="4EE765E6" w:rsidR="002774A4" w:rsidRPr="00850150" w:rsidRDefault="002774A4">
      <w:pPr>
        <w:pStyle w:val="FootnoteText"/>
      </w:pPr>
      <w:r>
        <w:rPr>
          <w:rStyle w:val="FootnoteReference"/>
        </w:rPr>
        <w:footnoteRef/>
      </w:r>
      <w:r>
        <w:t xml:space="preserve"> </w:t>
      </w:r>
      <w:r>
        <w:rPr>
          <w:i/>
        </w:rPr>
        <w:t xml:space="preserve">Ibid </w:t>
      </w:r>
      <w:r>
        <w:t>at 114-115.</w:t>
      </w:r>
    </w:p>
  </w:footnote>
  <w:footnote w:id="892">
    <w:p w14:paraId="65B2706D" w14:textId="3A47AC3F" w:rsidR="002774A4" w:rsidRPr="00F94D4B" w:rsidRDefault="002774A4">
      <w:pPr>
        <w:pStyle w:val="FootnoteText"/>
      </w:pPr>
      <w:r>
        <w:rPr>
          <w:rStyle w:val="FootnoteReference"/>
        </w:rPr>
        <w:footnoteRef/>
      </w:r>
      <w:r>
        <w:rPr>
          <w:i/>
        </w:rPr>
        <w:t xml:space="preserve"> Ibid </w:t>
      </w:r>
      <w:r>
        <w:t>at xi.</w:t>
      </w:r>
    </w:p>
  </w:footnote>
  <w:footnote w:id="893">
    <w:p w14:paraId="4EF8E486" w14:textId="1EC9B294" w:rsidR="002774A4" w:rsidRPr="00B71E71" w:rsidRDefault="002774A4">
      <w:pPr>
        <w:pStyle w:val="FootnoteText"/>
      </w:pPr>
      <w:r>
        <w:rPr>
          <w:rStyle w:val="FootnoteReference"/>
        </w:rPr>
        <w:footnoteRef/>
      </w:r>
      <w:r>
        <w:t xml:space="preserve"> </w:t>
      </w:r>
      <w:r>
        <w:rPr>
          <w:i/>
        </w:rPr>
        <w:t xml:space="preserve">Ibid, </w:t>
      </w:r>
      <w:proofErr w:type="spellStart"/>
      <w:r>
        <w:t>Ch</w:t>
      </w:r>
      <w:proofErr w:type="spellEnd"/>
      <w:r>
        <w:t xml:space="preserve"> 8-9.</w:t>
      </w:r>
    </w:p>
  </w:footnote>
  <w:footnote w:id="894">
    <w:p w14:paraId="6E331FD8" w14:textId="24EBA621" w:rsidR="002774A4" w:rsidRPr="00D7568C" w:rsidRDefault="002774A4" w:rsidP="00D7568C">
      <w:pPr>
        <w:rPr>
          <w:sz w:val="20"/>
          <w:szCs w:val="20"/>
        </w:rPr>
      </w:pPr>
      <w:r w:rsidRPr="00D7568C">
        <w:rPr>
          <w:rStyle w:val="FootnoteReference"/>
          <w:sz w:val="20"/>
          <w:szCs w:val="20"/>
        </w:rPr>
        <w:footnoteRef/>
      </w:r>
      <w:r w:rsidRPr="00D7568C">
        <w:rPr>
          <w:sz w:val="20"/>
          <w:szCs w:val="20"/>
        </w:rPr>
        <w:t xml:space="preserve"> </w:t>
      </w:r>
      <w:r w:rsidRPr="00D7568C">
        <w:rPr>
          <w:i/>
          <w:sz w:val="20"/>
          <w:szCs w:val="20"/>
        </w:rPr>
        <w:t>Powers</w:t>
      </w:r>
      <w:r w:rsidRPr="00D7568C">
        <w:rPr>
          <w:sz w:val="20"/>
          <w:szCs w:val="20"/>
        </w:rPr>
        <w:t xml:space="preserve"> </w:t>
      </w:r>
      <w:r w:rsidRPr="00D7568C">
        <w:rPr>
          <w:i/>
          <w:sz w:val="20"/>
          <w:szCs w:val="20"/>
        </w:rPr>
        <w:t xml:space="preserve">of Attorney Act 2014, </w:t>
      </w:r>
      <w:r w:rsidRPr="00D7568C">
        <w:rPr>
          <w:sz w:val="20"/>
          <w:szCs w:val="20"/>
        </w:rPr>
        <w:t xml:space="preserve">No 56 of 2014, Victoria, 26 August 2014, Part 7, online: &lt; </w:t>
      </w:r>
      <w:hyperlink r:id="rId40" w:history="1">
        <w:r w:rsidRPr="00D7568C">
          <w:rPr>
            <w:rStyle w:val="Hyperlink"/>
            <w:sz w:val="20"/>
            <w:szCs w:val="20"/>
          </w:rPr>
          <w:t>http://www.legislation.vic.gov.au/Domino/Web_Notes/LDMS/PubStatbook.nsf/f932b66241ecf1b7ca256e92000e23be/AF123F4F49B8FA2BCA257D40000EE0B2/$FILE/14-057abookmarked.pdf</w:t>
        </w:r>
      </w:hyperlink>
      <w:r w:rsidRPr="00D7568C">
        <w:rPr>
          <w:sz w:val="20"/>
          <w:szCs w:val="20"/>
        </w:rPr>
        <w:t>&gt;.</w:t>
      </w:r>
    </w:p>
  </w:footnote>
  <w:footnote w:id="895">
    <w:p w14:paraId="0C415ADF" w14:textId="3D86B7C6" w:rsidR="002774A4" w:rsidRPr="007359AC" w:rsidRDefault="002774A4">
      <w:pPr>
        <w:pStyle w:val="FootnoteText"/>
      </w:pPr>
      <w:r>
        <w:rPr>
          <w:rStyle w:val="FootnoteReference"/>
        </w:rPr>
        <w:footnoteRef/>
      </w:r>
      <w:r>
        <w:t xml:space="preserve"> </w:t>
      </w:r>
      <w:r>
        <w:rPr>
          <w:i/>
        </w:rPr>
        <w:t xml:space="preserve">Ibid, </w:t>
      </w:r>
      <w:r>
        <w:t>s 85(1).</w:t>
      </w:r>
    </w:p>
  </w:footnote>
  <w:footnote w:id="896">
    <w:p w14:paraId="7FF1DC70" w14:textId="2DC48F64" w:rsidR="002774A4" w:rsidRPr="00140418" w:rsidRDefault="002774A4">
      <w:pPr>
        <w:pStyle w:val="FootnoteText"/>
      </w:pPr>
      <w:r>
        <w:rPr>
          <w:rStyle w:val="FootnoteReference"/>
        </w:rPr>
        <w:footnoteRef/>
      </w:r>
      <w:r>
        <w:t xml:space="preserve"> </w:t>
      </w:r>
      <w:r>
        <w:rPr>
          <w:i/>
        </w:rPr>
        <w:t>Ibid.</w:t>
      </w:r>
    </w:p>
  </w:footnote>
  <w:footnote w:id="897">
    <w:p w14:paraId="253358AD" w14:textId="6B1B0199" w:rsidR="002774A4" w:rsidRPr="00FA50AB" w:rsidRDefault="002774A4">
      <w:pPr>
        <w:pStyle w:val="FootnoteText"/>
      </w:pPr>
      <w:r>
        <w:rPr>
          <w:rStyle w:val="FootnoteReference"/>
        </w:rPr>
        <w:footnoteRef/>
      </w:r>
      <w:r>
        <w:t xml:space="preserve"> </w:t>
      </w:r>
      <w:r>
        <w:rPr>
          <w:i/>
        </w:rPr>
        <w:t xml:space="preserve">Ibid, </w:t>
      </w:r>
      <w:r>
        <w:t>s 86, See Victoria State Government Justice and Community Safety, “Powers of Attorney Act 2014,” online: &lt;</w:t>
      </w:r>
      <w:r w:rsidRPr="00FA50AB">
        <w:t>https://www.justice.vic.gov.au/justice-system/laws-and-regulation/civil-law/powers-of-attorney-act-2014</w:t>
      </w:r>
      <w:r>
        <w:t>&gt;.</w:t>
      </w:r>
    </w:p>
  </w:footnote>
  <w:footnote w:id="898">
    <w:p w14:paraId="784EFAAD" w14:textId="111768A4" w:rsidR="002774A4" w:rsidRPr="00551204" w:rsidRDefault="002774A4">
      <w:pPr>
        <w:pStyle w:val="FootnoteText"/>
      </w:pPr>
      <w:r>
        <w:rPr>
          <w:rStyle w:val="FootnoteReference"/>
        </w:rPr>
        <w:footnoteRef/>
      </w:r>
      <w:r>
        <w:t xml:space="preserve"> </w:t>
      </w:r>
      <w:r w:rsidRPr="00D7568C">
        <w:rPr>
          <w:i/>
        </w:rPr>
        <w:t>Powers</w:t>
      </w:r>
      <w:r w:rsidRPr="00D7568C">
        <w:t xml:space="preserve"> </w:t>
      </w:r>
      <w:r w:rsidRPr="00D7568C">
        <w:rPr>
          <w:i/>
        </w:rPr>
        <w:t>of Attorney Act 2014</w:t>
      </w:r>
      <w:r>
        <w:rPr>
          <w:i/>
        </w:rPr>
        <w:t xml:space="preserve">, supra </w:t>
      </w:r>
      <w:r>
        <w:t xml:space="preserve">note </w:t>
      </w:r>
      <w:r>
        <w:fldChar w:fldCharType="begin"/>
      </w:r>
      <w:r>
        <w:instrText xml:space="preserve"> NOTEREF _Ref15310166 \h </w:instrText>
      </w:r>
      <w:r>
        <w:fldChar w:fldCharType="separate"/>
      </w:r>
      <w:r>
        <w:t>894</w:t>
      </w:r>
      <w:r>
        <w:fldChar w:fldCharType="end"/>
      </w:r>
      <w:r>
        <w:t>, s 87.</w:t>
      </w:r>
    </w:p>
  </w:footnote>
  <w:footnote w:id="899">
    <w:p w14:paraId="71B8C022" w14:textId="07155C58" w:rsidR="002774A4" w:rsidRPr="00547515" w:rsidRDefault="002774A4">
      <w:pPr>
        <w:pStyle w:val="FootnoteText"/>
      </w:pPr>
      <w:r>
        <w:rPr>
          <w:rStyle w:val="FootnoteReference"/>
        </w:rPr>
        <w:footnoteRef/>
      </w:r>
      <w:r>
        <w:t xml:space="preserve"> </w:t>
      </w:r>
      <w:r>
        <w:rPr>
          <w:i/>
        </w:rPr>
        <w:t xml:space="preserve">Ibid, </w:t>
      </w:r>
      <w:r>
        <w:t>s 88.</w:t>
      </w:r>
    </w:p>
  </w:footnote>
  <w:footnote w:id="900">
    <w:p w14:paraId="21B3C656" w14:textId="6D4D28FA" w:rsidR="002774A4" w:rsidRPr="00C46D46" w:rsidRDefault="002774A4">
      <w:pPr>
        <w:pStyle w:val="FootnoteText"/>
      </w:pPr>
      <w:r>
        <w:rPr>
          <w:rStyle w:val="FootnoteReference"/>
        </w:rPr>
        <w:footnoteRef/>
      </w:r>
      <w:r>
        <w:t xml:space="preserve"> </w:t>
      </w:r>
      <w:r>
        <w:rPr>
          <w:i/>
        </w:rPr>
        <w:t xml:space="preserve">Ibid, </w:t>
      </w:r>
      <w:r>
        <w:t>s 89.</w:t>
      </w:r>
    </w:p>
  </w:footnote>
  <w:footnote w:id="901">
    <w:p w14:paraId="7799297D" w14:textId="1C376563" w:rsidR="002774A4" w:rsidRPr="00B06108" w:rsidRDefault="002774A4">
      <w:pPr>
        <w:pStyle w:val="FootnoteText"/>
        <w:rPr>
          <w:strike/>
        </w:rPr>
      </w:pPr>
      <w:r>
        <w:rPr>
          <w:rStyle w:val="FootnoteReference"/>
        </w:rPr>
        <w:footnoteRef/>
      </w:r>
      <w:r>
        <w:t xml:space="preserve"> </w:t>
      </w:r>
      <w:r>
        <w:rPr>
          <w:i/>
        </w:rPr>
        <w:t xml:space="preserve">Ibid, </w:t>
      </w:r>
      <w:proofErr w:type="spellStart"/>
      <w:r>
        <w:t>ss</w:t>
      </w:r>
      <w:proofErr w:type="spellEnd"/>
      <w:r>
        <w:t xml:space="preserve"> 86(1</w:t>
      </w:r>
      <w:proofErr w:type="gramStart"/>
      <w:r>
        <w:t>)(</w:t>
      </w:r>
      <w:proofErr w:type="gramEnd"/>
      <w:r>
        <w:t>b) &amp; 86(2).</w:t>
      </w:r>
    </w:p>
  </w:footnote>
  <w:footnote w:id="902">
    <w:p w14:paraId="53BBC934" w14:textId="6C9A2A52" w:rsidR="002774A4" w:rsidRPr="000B24D8" w:rsidRDefault="002774A4">
      <w:pPr>
        <w:pStyle w:val="FootnoteText"/>
      </w:pPr>
      <w:r>
        <w:rPr>
          <w:rStyle w:val="FootnoteReference"/>
        </w:rPr>
        <w:footnoteRef/>
      </w:r>
      <w:r>
        <w:t xml:space="preserve"> </w:t>
      </w:r>
      <w:r>
        <w:rPr>
          <w:i/>
        </w:rPr>
        <w:t xml:space="preserve">Ibid, </w:t>
      </w:r>
      <w:r>
        <w:t>s 102.</w:t>
      </w:r>
    </w:p>
  </w:footnote>
  <w:footnote w:id="903">
    <w:p w14:paraId="0BA3783A" w14:textId="6115EE15" w:rsidR="002774A4" w:rsidRPr="00BE5BBB" w:rsidRDefault="002774A4" w:rsidP="00B06108">
      <w:pPr>
        <w:pStyle w:val="FootnoteText"/>
      </w:pPr>
      <w:r>
        <w:rPr>
          <w:rStyle w:val="FootnoteReference"/>
        </w:rPr>
        <w:footnoteRef/>
      </w:r>
      <w:r>
        <w:t xml:space="preserve"> </w:t>
      </w:r>
      <w:r>
        <w:rPr>
          <w:i/>
        </w:rPr>
        <w:t xml:space="preserve">Ibid, </w:t>
      </w:r>
      <w:r>
        <w:t>s 5.</w:t>
      </w:r>
    </w:p>
  </w:footnote>
  <w:footnote w:id="904">
    <w:p w14:paraId="4EB851AE" w14:textId="25410A12" w:rsidR="002774A4" w:rsidRPr="007E17D6" w:rsidRDefault="002774A4">
      <w:pPr>
        <w:pStyle w:val="FootnoteText"/>
      </w:pPr>
      <w:r>
        <w:rPr>
          <w:rStyle w:val="FootnoteReference"/>
        </w:rPr>
        <w:footnoteRef/>
      </w:r>
      <w:r>
        <w:t xml:space="preserve"> </w:t>
      </w:r>
      <w:r>
        <w:rPr>
          <w:i/>
        </w:rPr>
        <w:t xml:space="preserve">Ibid, </w:t>
      </w:r>
      <w:r>
        <w:t>s 90(1).</w:t>
      </w:r>
    </w:p>
  </w:footnote>
  <w:footnote w:id="905">
    <w:p w14:paraId="5FE7C80F" w14:textId="1D97031B" w:rsidR="002774A4" w:rsidRPr="007F606B" w:rsidRDefault="002774A4">
      <w:pPr>
        <w:pStyle w:val="FootnoteText"/>
      </w:pPr>
      <w:r>
        <w:rPr>
          <w:rStyle w:val="FootnoteReference"/>
        </w:rPr>
        <w:footnoteRef/>
      </w:r>
      <w:r>
        <w:t xml:space="preserve"> </w:t>
      </w:r>
      <w:r>
        <w:rPr>
          <w:i/>
        </w:rPr>
        <w:t xml:space="preserve">Ibid, </w:t>
      </w:r>
      <w:r>
        <w:t>s 91(d).</w:t>
      </w:r>
    </w:p>
  </w:footnote>
  <w:footnote w:id="906">
    <w:p w14:paraId="5D2378D4" w14:textId="754C6DD2" w:rsidR="002774A4" w:rsidRPr="003523B5" w:rsidRDefault="002774A4">
      <w:pPr>
        <w:pStyle w:val="FootnoteText"/>
      </w:pPr>
      <w:r>
        <w:rPr>
          <w:rStyle w:val="FootnoteReference"/>
        </w:rPr>
        <w:footnoteRef/>
      </w:r>
      <w:r>
        <w:t xml:space="preserve"> </w:t>
      </w:r>
      <w:r>
        <w:rPr>
          <w:i/>
        </w:rPr>
        <w:t xml:space="preserve">Ibid, </w:t>
      </w:r>
      <w:r>
        <w:t>s 95.</w:t>
      </w:r>
    </w:p>
  </w:footnote>
  <w:footnote w:id="907">
    <w:p w14:paraId="5A61BFBD" w14:textId="55D48FFA" w:rsidR="002774A4" w:rsidRPr="00283834" w:rsidRDefault="002774A4">
      <w:pPr>
        <w:pStyle w:val="FootnoteText"/>
      </w:pPr>
      <w:r>
        <w:rPr>
          <w:rStyle w:val="FootnoteReference"/>
        </w:rPr>
        <w:footnoteRef/>
      </w:r>
      <w:r>
        <w:t xml:space="preserve"> </w:t>
      </w:r>
      <w:r>
        <w:rPr>
          <w:i/>
        </w:rPr>
        <w:t xml:space="preserve">Ibid, </w:t>
      </w:r>
      <w:r>
        <w:t>s 99.</w:t>
      </w:r>
    </w:p>
  </w:footnote>
  <w:footnote w:id="908">
    <w:p w14:paraId="64F6C442" w14:textId="29A4D3D6" w:rsidR="002774A4" w:rsidRPr="00142B85" w:rsidRDefault="002774A4">
      <w:pPr>
        <w:pStyle w:val="FootnoteText"/>
      </w:pPr>
      <w:r>
        <w:rPr>
          <w:rStyle w:val="FootnoteReference"/>
        </w:rPr>
        <w:footnoteRef/>
      </w:r>
      <w:r>
        <w:t xml:space="preserve"> </w:t>
      </w:r>
      <w:r>
        <w:rPr>
          <w:i/>
        </w:rPr>
        <w:t xml:space="preserve">Ibid, </w:t>
      </w:r>
      <w:r>
        <w:t>s 101.</w:t>
      </w:r>
    </w:p>
  </w:footnote>
  <w:footnote w:id="909">
    <w:p w14:paraId="3E60B8D3" w14:textId="4943C655" w:rsidR="002774A4" w:rsidRPr="009E35F2" w:rsidRDefault="002774A4">
      <w:pPr>
        <w:pStyle w:val="FootnoteText"/>
      </w:pPr>
      <w:r>
        <w:rPr>
          <w:rStyle w:val="FootnoteReference"/>
        </w:rPr>
        <w:footnoteRef/>
      </w:r>
      <w:r>
        <w:t xml:space="preserve"> </w:t>
      </w:r>
      <w:r>
        <w:rPr>
          <w:i/>
        </w:rPr>
        <w:t xml:space="preserve">Ibid, </w:t>
      </w:r>
      <w:r>
        <w:t>s 103.</w:t>
      </w:r>
    </w:p>
  </w:footnote>
  <w:footnote w:id="910">
    <w:p w14:paraId="7D46E642" w14:textId="1F97E026" w:rsidR="002774A4" w:rsidRPr="001B3F9A" w:rsidRDefault="002774A4">
      <w:pPr>
        <w:pStyle w:val="FootnoteText"/>
      </w:pPr>
      <w:r>
        <w:rPr>
          <w:rStyle w:val="FootnoteReference"/>
        </w:rPr>
        <w:footnoteRef/>
      </w:r>
      <w:r>
        <w:t xml:space="preserve"> </w:t>
      </w:r>
      <w:r>
        <w:rPr>
          <w:i/>
        </w:rPr>
        <w:t xml:space="preserve">Ibid, </w:t>
      </w:r>
      <w:r>
        <w:t>s 122.</w:t>
      </w:r>
    </w:p>
  </w:footnote>
  <w:footnote w:id="911">
    <w:p w14:paraId="19F6130E" w14:textId="519573C1" w:rsidR="002774A4" w:rsidRPr="00AA60AD" w:rsidRDefault="002774A4">
      <w:pPr>
        <w:pStyle w:val="FootnoteText"/>
      </w:pPr>
      <w:r>
        <w:rPr>
          <w:rStyle w:val="FootnoteReference"/>
        </w:rPr>
        <w:footnoteRef/>
      </w:r>
      <w:r>
        <w:t xml:space="preserve"> </w:t>
      </w:r>
      <w:r>
        <w:rPr>
          <w:i/>
        </w:rPr>
        <w:t xml:space="preserve">Ibid, </w:t>
      </w:r>
      <w:r>
        <w:t>s 116.</w:t>
      </w:r>
    </w:p>
  </w:footnote>
  <w:footnote w:id="912">
    <w:p w14:paraId="78386A90" w14:textId="7C1BF4EA" w:rsidR="002774A4" w:rsidRPr="00256475" w:rsidRDefault="002774A4">
      <w:pPr>
        <w:pStyle w:val="FootnoteText"/>
      </w:pPr>
      <w:r>
        <w:rPr>
          <w:rStyle w:val="FootnoteReference"/>
        </w:rPr>
        <w:footnoteRef/>
      </w:r>
      <w:r>
        <w:t xml:space="preserve"> </w:t>
      </w:r>
      <w:r>
        <w:rPr>
          <w:i/>
        </w:rPr>
        <w:t xml:space="preserve">Ibid, </w:t>
      </w:r>
      <w:r>
        <w:t>s 120.</w:t>
      </w:r>
    </w:p>
  </w:footnote>
  <w:footnote w:id="913">
    <w:p w14:paraId="673A9A0F" w14:textId="7C68677E" w:rsidR="002774A4" w:rsidRPr="002E6D53" w:rsidRDefault="002774A4">
      <w:pPr>
        <w:pStyle w:val="FootnoteText"/>
      </w:pPr>
      <w:r>
        <w:rPr>
          <w:rStyle w:val="FootnoteReference"/>
        </w:rPr>
        <w:footnoteRef/>
      </w:r>
      <w:r>
        <w:t xml:space="preserve"> </w:t>
      </w:r>
      <w:r>
        <w:rPr>
          <w:i/>
        </w:rPr>
        <w:t xml:space="preserve">Ibid, </w:t>
      </w:r>
      <w:r>
        <w:t>s 136.</w:t>
      </w:r>
    </w:p>
  </w:footnote>
  <w:footnote w:id="914">
    <w:p w14:paraId="2560ED06" w14:textId="6210D859" w:rsidR="002774A4" w:rsidRPr="00B763CB" w:rsidRDefault="002774A4">
      <w:pPr>
        <w:pStyle w:val="FootnoteText"/>
      </w:pPr>
      <w:r>
        <w:rPr>
          <w:rStyle w:val="FootnoteReference"/>
        </w:rPr>
        <w:footnoteRef/>
      </w:r>
      <w:r>
        <w:t xml:space="preserve"> </w:t>
      </w:r>
      <w:r w:rsidRPr="006252B6">
        <w:rPr>
          <w:i/>
        </w:rPr>
        <w:t>Medical</w:t>
      </w:r>
      <w:r>
        <w:t xml:space="preserve"> </w:t>
      </w:r>
      <w:r>
        <w:rPr>
          <w:i/>
        </w:rPr>
        <w:t xml:space="preserve">Treatment Planning and Decisions Act 2016, </w:t>
      </w:r>
      <w:r>
        <w:t>No 69 of 2016, Victoria, 29 November 2016, see Division 3 – Support persons, online: &lt;</w:t>
      </w:r>
      <w:r w:rsidRPr="00B763CB">
        <w:t>http://www.legislation.vic.gov.au/Domino/Web_Notes/LDMS/PubStatbook.nsf/f932b66241ecf1b7ca256e92000e23be/B4D3EBB66E52E98CCA25807A0014F70D/$FILE/16-069aa%20authorised.pdf</w:t>
      </w:r>
      <w:r>
        <w:t xml:space="preserve">&gt;. </w:t>
      </w:r>
    </w:p>
  </w:footnote>
  <w:footnote w:id="915">
    <w:p w14:paraId="0218328D" w14:textId="589846C4" w:rsidR="002774A4" w:rsidRPr="00B763CB" w:rsidRDefault="002774A4">
      <w:pPr>
        <w:pStyle w:val="FootnoteText"/>
      </w:pPr>
      <w:r>
        <w:rPr>
          <w:rStyle w:val="FootnoteReference"/>
        </w:rPr>
        <w:footnoteRef/>
      </w:r>
      <w:r>
        <w:t xml:space="preserve"> </w:t>
      </w:r>
      <w:r>
        <w:rPr>
          <w:i/>
        </w:rPr>
        <w:t xml:space="preserve">Ibid, </w:t>
      </w:r>
      <w:r>
        <w:t>s 31 (same definition of decision-making capacity is employed as in the 2014 Powers of Attorney Act)</w:t>
      </w:r>
    </w:p>
  </w:footnote>
  <w:footnote w:id="916">
    <w:p w14:paraId="1A769A85" w14:textId="3A3573A1" w:rsidR="002774A4" w:rsidRPr="007935FD" w:rsidRDefault="002774A4">
      <w:pPr>
        <w:pStyle w:val="FootnoteText"/>
      </w:pPr>
      <w:r>
        <w:rPr>
          <w:rStyle w:val="FootnoteReference"/>
        </w:rPr>
        <w:footnoteRef/>
      </w:r>
      <w:r>
        <w:t xml:space="preserve"> </w:t>
      </w:r>
      <w:r>
        <w:rPr>
          <w:i/>
        </w:rPr>
        <w:t xml:space="preserve">Ibid, </w:t>
      </w:r>
      <w:r>
        <w:t>s 32(1).</w:t>
      </w:r>
    </w:p>
  </w:footnote>
  <w:footnote w:id="917">
    <w:p w14:paraId="7571995E" w14:textId="3C6BEA12" w:rsidR="002774A4" w:rsidRPr="002C31EC" w:rsidRDefault="002774A4">
      <w:pPr>
        <w:pStyle w:val="FootnoteText"/>
      </w:pPr>
      <w:r>
        <w:rPr>
          <w:rStyle w:val="FootnoteReference"/>
        </w:rPr>
        <w:footnoteRef/>
      </w:r>
      <w:r>
        <w:t xml:space="preserve"> </w:t>
      </w:r>
      <w:r>
        <w:rPr>
          <w:i/>
        </w:rPr>
        <w:t xml:space="preserve">Ibid, </w:t>
      </w:r>
      <w:r>
        <w:t>s 32(2).</w:t>
      </w:r>
    </w:p>
  </w:footnote>
  <w:footnote w:id="918">
    <w:p w14:paraId="2AB5392D" w14:textId="5C9AB62D" w:rsidR="002774A4" w:rsidRPr="00BB7012" w:rsidRDefault="002774A4">
      <w:pPr>
        <w:pStyle w:val="FootnoteText"/>
      </w:pPr>
      <w:r>
        <w:rPr>
          <w:rStyle w:val="FootnoteReference"/>
        </w:rPr>
        <w:footnoteRef/>
      </w:r>
      <w:r>
        <w:t xml:space="preserve"> </w:t>
      </w:r>
      <w:r>
        <w:rPr>
          <w:i/>
        </w:rPr>
        <w:t xml:space="preserve">Ibid, </w:t>
      </w:r>
      <w:r>
        <w:t>s 33.</w:t>
      </w:r>
    </w:p>
  </w:footnote>
  <w:footnote w:id="919">
    <w:p w14:paraId="2D26ED70" w14:textId="70D9D8C4" w:rsidR="002774A4" w:rsidRPr="00B67932" w:rsidRDefault="002774A4">
      <w:pPr>
        <w:pStyle w:val="FootnoteText"/>
      </w:pPr>
      <w:r>
        <w:rPr>
          <w:rStyle w:val="FootnoteReference"/>
        </w:rPr>
        <w:footnoteRef/>
      </w:r>
      <w:r>
        <w:t xml:space="preserve"> </w:t>
      </w:r>
      <w:r>
        <w:rPr>
          <w:i/>
        </w:rPr>
        <w:t xml:space="preserve">Ibid, </w:t>
      </w:r>
      <w:r>
        <w:t>s 38(1).</w:t>
      </w:r>
    </w:p>
  </w:footnote>
  <w:footnote w:id="920">
    <w:p w14:paraId="5B39B676" w14:textId="5131933E" w:rsidR="002774A4" w:rsidRPr="003551DA" w:rsidRDefault="002774A4">
      <w:pPr>
        <w:pStyle w:val="FootnoteText"/>
      </w:pPr>
      <w:r>
        <w:rPr>
          <w:rStyle w:val="FootnoteReference"/>
        </w:rPr>
        <w:footnoteRef/>
      </w:r>
      <w:r>
        <w:t xml:space="preserve"> </w:t>
      </w:r>
      <w:r>
        <w:rPr>
          <w:i/>
        </w:rPr>
        <w:t xml:space="preserve">Ibid, </w:t>
      </w:r>
      <w:r>
        <w:t>s 35.</w:t>
      </w:r>
    </w:p>
  </w:footnote>
  <w:footnote w:id="921">
    <w:p w14:paraId="427AB463" w14:textId="1E4D1EA0" w:rsidR="002774A4" w:rsidRPr="00B809E0" w:rsidRDefault="002774A4">
      <w:pPr>
        <w:pStyle w:val="FootnoteText"/>
      </w:pPr>
      <w:r>
        <w:rPr>
          <w:rStyle w:val="FootnoteReference"/>
        </w:rPr>
        <w:footnoteRef/>
      </w:r>
      <w:r>
        <w:t xml:space="preserve"> </w:t>
      </w:r>
      <w:r>
        <w:rPr>
          <w:i/>
        </w:rPr>
        <w:t xml:space="preserve">Ibid, </w:t>
      </w:r>
      <w:r w:rsidRPr="00B809E0">
        <w:t>s 43.</w:t>
      </w:r>
    </w:p>
  </w:footnote>
  <w:footnote w:id="922">
    <w:p w14:paraId="6A668E78" w14:textId="740E3BD3" w:rsidR="002774A4" w:rsidRPr="00223969" w:rsidRDefault="002774A4">
      <w:pPr>
        <w:pStyle w:val="FootnoteText"/>
      </w:pPr>
      <w:r w:rsidRPr="00B809E0">
        <w:rPr>
          <w:rStyle w:val="FootnoteReference"/>
        </w:rPr>
        <w:footnoteRef/>
      </w:r>
      <w:r w:rsidRPr="00B809E0">
        <w:t xml:space="preserve"> </w:t>
      </w:r>
      <w:r w:rsidRPr="00B809E0">
        <w:rPr>
          <w:i/>
        </w:rPr>
        <w:t xml:space="preserve">Guardianship and Administration Act 2019, </w:t>
      </w:r>
      <w:r w:rsidRPr="00B809E0">
        <w:t>Victoria</w:t>
      </w:r>
      <w:r>
        <w:t>, online: &lt;</w:t>
      </w:r>
      <w:r w:rsidRPr="00223969">
        <w:t>http://www.legislation.vic.gov.au/domino/Web_Notes/LDMS/PubPDocs.nsf/ee665e366dcb6cb0ca256da400837f6b/B2C39B69DFC87923CA25836700830806/$FILE/591004bs1.pdf</w:t>
      </w:r>
      <w:r>
        <w:t>&gt;.</w:t>
      </w:r>
    </w:p>
  </w:footnote>
  <w:footnote w:id="923">
    <w:p w14:paraId="7AE5C3FF" w14:textId="11B6AEC3" w:rsidR="002774A4" w:rsidRPr="00A4667F" w:rsidRDefault="002774A4">
      <w:pPr>
        <w:pStyle w:val="FootnoteText"/>
      </w:pPr>
      <w:r>
        <w:rPr>
          <w:rStyle w:val="FootnoteReference"/>
        </w:rPr>
        <w:footnoteRef/>
      </w:r>
      <w:r>
        <w:t xml:space="preserve"> </w:t>
      </w:r>
      <w:r>
        <w:rPr>
          <w:i/>
        </w:rPr>
        <w:t xml:space="preserve">Ibid, </w:t>
      </w:r>
      <w:proofErr w:type="spellStart"/>
      <w:r>
        <w:t>ss</w:t>
      </w:r>
      <w:proofErr w:type="spellEnd"/>
      <w:r>
        <w:t xml:space="preserve"> 79-80.</w:t>
      </w:r>
    </w:p>
  </w:footnote>
  <w:footnote w:id="924">
    <w:p w14:paraId="5E7A19D5" w14:textId="509FF571" w:rsidR="002774A4" w:rsidRPr="0083772F" w:rsidRDefault="002774A4">
      <w:pPr>
        <w:pStyle w:val="FootnoteText"/>
      </w:pPr>
      <w:r>
        <w:rPr>
          <w:rStyle w:val="FootnoteReference"/>
        </w:rPr>
        <w:footnoteRef/>
      </w:r>
      <w:r>
        <w:t xml:space="preserve"> </w:t>
      </w:r>
      <w:r>
        <w:rPr>
          <w:i/>
        </w:rPr>
        <w:t xml:space="preserve">Ibid, </w:t>
      </w:r>
      <w:r>
        <w:t>s 4.</w:t>
      </w:r>
    </w:p>
  </w:footnote>
  <w:footnote w:id="925">
    <w:p w14:paraId="299AD827" w14:textId="2434BE68" w:rsidR="002774A4" w:rsidRPr="00560BE3" w:rsidRDefault="002774A4">
      <w:pPr>
        <w:pStyle w:val="FootnoteText"/>
      </w:pPr>
      <w:r>
        <w:rPr>
          <w:rStyle w:val="FootnoteReference"/>
        </w:rPr>
        <w:footnoteRef/>
      </w:r>
      <w:r>
        <w:t xml:space="preserve"> </w:t>
      </w:r>
      <w:r>
        <w:rPr>
          <w:i/>
        </w:rPr>
        <w:t xml:space="preserve">Ibid, </w:t>
      </w:r>
      <w:proofErr w:type="spellStart"/>
      <w:r>
        <w:t>ss</w:t>
      </w:r>
      <w:proofErr w:type="spellEnd"/>
      <w:r>
        <w:t xml:space="preserve"> 89(c)-(d). </w:t>
      </w:r>
    </w:p>
  </w:footnote>
  <w:footnote w:id="926">
    <w:p w14:paraId="70D5F1D5" w14:textId="0CF9462C" w:rsidR="002774A4" w:rsidRPr="00EE0054" w:rsidRDefault="002774A4">
      <w:pPr>
        <w:pStyle w:val="FootnoteText"/>
      </w:pPr>
      <w:r>
        <w:rPr>
          <w:rStyle w:val="FootnoteReference"/>
        </w:rPr>
        <w:footnoteRef/>
      </w:r>
      <w:r>
        <w:t xml:space="preserve"> </w:t>
      </w:r>
      <w:r>
        <w:rPr>
          <w:i/>
        </w:rPr>
        <w:t xml:space="preserve">Ibid, </w:t>
      </w:r>
      <w:r>
        <w:t>s 90(1).</w:t>
      </w:r>
    </w:p>
  </w:footnote>
  <w:footnote w:id="927">
    <w:p w14:paraId="2C2240A1" w14:textId="77249266" w:rsidR="002774A4" w:rsidRPr="000D32B5" w:rsidRDefault="002774A4">
      <w:pPr>
        <w:pStyle w:val="FootnoteText"/>
      </w:pPr>
      <w:r>
        <w:rPr>
          <w:rStyle w:val="FootnoteReference"/>
        </w:rPr>
        <w:footnoteRef/>
      </w:r>
      <w:r>
        <w:t xml:space="preserve"> </w:t>
      </w:r>
      <w:r>
        <w:rPr>
          <w:i/>
        </w:rPr>
        <w:t xml:space="preserve">Ibid, </w:t>
      </w:r>
      <w:r>
        <w:t>s 94.</w:t>
      </w:r>
    </w:p>
  </w:footnote>
  <w:footnote w:id="928">
    <w:p w14:paraId="64F7E8B2" w14:textId="5868129B" w:rsidR="002774A4" w:rsidRPr="002D4BF8" w:rsidRDefault="002774A4">
      <w:pPr>
        <w:pStyle w:val="FootnoteText"/>
      </w:pPr>
      <w:r>
        <w:rPr>
          <w:rStyle w:val="FootnoteReference"/>
        </w:rPr>
        <w:footnoteRef/>
      </w:r>
      <w:r>
        <w:t xml:space="preserve"> </w:t>
      </w:r>
      <w:r>
        <w:rPr>
          <w:i/>
        </w:rPr>
        <w:t xml:space="preserve">Ibid, </w:t>
      </w:r>
      <w:r>
        <w:t>s 8(b).</w:t>
      </w:r>
    </w:p>
  </w:footnote>
  <w:footnote w:id="929">
    <w:p w14:paraId="297B0E73" w14:textId="432B344B" w:rsidR="002774A4" w:rsidRPr="004270B5" w:rsidRDefault="002774A4" w:rsidP="00533AD1">
      <w:pPr>
        <w:pStyle w:val="FootnoteText"/>
      </w:pPr>
      <w:r>
        <w:rPr>
          <w:rStyle w:val="FootnoteReference"/>
        </w:rPr>
        <w:footnoteRef/>
      </w:r>
      <w:r>
        <w:t xml:space="preserve"> </w:t>
      </w:r>
      <w:r>
        <w:rPr>
          <w:i/>
        </w:rPr>
        <w:t xml:space="preserve">Ibid, </w:t>
      </w:r>
      <w:r>
        <w:t>s 87(2</w:t>
      </w:r>
      <w:proofErr w:type="gramStart"/>
      <w:r>
        <w:t>)(</w:t>
      </w:r>
      <w:proofErr w:type="gramEnd"/>
      <w:r>
        <w:t>b).</w:t>
      </w:r>
    </w:p>
  </w:footnote>
  <w:footnote w:id="930">
    <w:p w14:paraId="70E628C4" w14:textId="4C4EF272" w:rsidR="002774A4" w:rsidRPr="00BE5BBB" w:rsidRDefault="002774A4" w:rsidP="00533AD1">
      <w:pPr>
        <w:pStyle w:val="FootnoteText"/>
      </w:pPr>
      <w:r>
        <w:rPr>
          <w:rStyle w:val="FootnoteReference"/>
        </w:rPr>
        <w:footnoteRef/>
      </w:r>
      <w:r>
        <w:t xml:space="preserve"> </w:t>
      </w:r>
      <w:r>
        <w:rPr>
          <w:i/>
        </w:rPr>
        <w:t xml:space="preserve">Ibid, </w:t>
      </w:r>
      <w:r>
        <w:t>s 5.</w:t>
      </w:r>
    </w:p>
  </w:footnote>
  <w:footnote w:id="931">
    <w:p w14:paraId="04A1E990" w14:textId="4DCCE5C7" w:rsidR="002774A4" w:rsidRPr="00DC5949" w:rsidRDefault="002774A4">
      <w:pPr>
        <w:pStyle w:val="FootnoteText"/>
      </w:pPr>
      <w:r>
        <w:rPr>
          <w:rStyle w:val="FootnoteReference"/>
        </w:rPr>
        <w:footnoteRef/>
      </w:r>
      <w:r>
        <w:t xml:space="preserve"> </w:t>
      </w:r>
      <w:r>
        <w:rPr>
          <w:i/>
        </w:rPr>
        <w:t xml:space="preserve">Ibid, </w:t>
      </w:r>
      <w:r>
        <w:t>s 88(1</w:t>
      </w:r>
      <w:proofErr w:type="gramStart"/>
      <w:r>
        <w:t>)(</w:t>
      </w:r>
      <w:proofErr w:type="gramEnd"/>
      <w:r>
        <w:t>b).</w:t>
      </w:r>
    </w:p>
  </w:footnote>
  <w:footnote w:id="932">
    <w:p w14:paraId="1B9FB8F8" w14:textId="4D648F2E" w:rsidR="002774A4" w:rsidRPr="00A636FF" w:rsidRDefault="002774A4">
      <w:pPr>
        <w:pStyle w:val="FootnoteText"/>
      </w:pPr>
      <w:r>
        <w:rPr>
          <w:rStyle w:val="FootnoteReference"/>
        </w:rPr>
        <w:footnoteRef/>
      </w:r>
      <w:r>
        <w:t xml:space="preserve"> </w:t>
      </w:r>
      <w:r>
        <w:rPr>
          <w:i/>
        </w:rPr>
        <w:t xml:space="preserve">Ibid, </w:t>
      </w:r>
      <w:r>
        <w:t>s 88(2).</w:t>
      </w:r>
    </w:p>
  </w:footnote>
  <w:footnote w:id="933">
    <w:p w14:paraId="67A0DD69" w14:textId="732516B4" w:rsidR="002774A4" w:rsidRPr="00115A92" w:rsidRDefault="002774A4" w:rsidP="000F4BCC">
      <w:pPr>
        <w:pStyle w:val="FootnoteText"/>
      </w:pPr>
      <w:r>
        <w:rPr>
          <w:rStyle w:val="FootnoteReference"/>
        </w:rPr>
        <w:footnoteRef/>
      </w:r>
      <w:r>
        <w:t xml:space="preserve"> </w:t>
      </w:r>
      <w:r>
        <w:rPr>
          <w:i/>
        </w:rPr>
        <w:t xml:space="preserve">Ibid, </w:t>
      </w:r>
      <w:r>
        <w:t>s 159(2).</w:t>
      </w:r>
    </w:p>
  </w:footnote>
  <w:footnote w:id="934">
    <w:p w14:paraId="4E124F62" w14:textId="0E3A07DE" w:rsidR="002774A4" w:rsidRPr="000F4BCC" w:rsidRDefault="002774A4">
      <w:pPr>
        <w:pStyle w:val="FootnoteText"/>
      </w:pPr>
      <w:r>
        <w:rPr>
          <w:rStyle w:val="FootnoteReference"/>
        </w:rPr>
        <w:footnoteRef/>
      </w:r>
      <w:r>
        <w:t xml:space="preserve"> </w:t>
      </w:r>
      <w:r>
        <w:rPr>
          <w:i/>
        </w:rPr>
        <w:t xml:space="preserve">Ibid, </w:t>
      </w:r>
      <w:proofErr w:type="spellStart"/>
      <w:r>
        <w:t>ss</w:t>
      </w:r>
      <w:proofErr w:type="spellEnd"/>
      <w:r>
        <w:t xml:space="preserve"> 191-192.</w:t>
      </w:r>
    </w:p>
  </w:footnote>
  <w:footnote w:id="935">
    <w:p w14:paraId="38F72E52" w14:textId="3004D9A3" w:rsidR="002774A4" w:rsidRPr="00CF752F" w:rsidRDefault="002774A4">
      <w:pPr>
        <w:pStyle w:val="FootnoteText"/>
      </w:pPr>
      <w:r>
        <w:rPr>
          <w:rStyle w:val="FootnoteReference"/>
        </w:rPr>
        <w:footnoteRef/>
      </w:r>
      <w:r>
        <w:t xml:space="preserve"> </w:t>
      </w:r>
      <w:r>
        <w:rPr>
          <w:i/>
        </w:rPr>
        <w:t xml:space="preserve">Ibid, </w:t>
      </w:r>
      <w:proofErr w:type="spellStart"/>
      <w:r>
        <w:t>ss</w:t>
      </w:r>
      <w:proofErr w:type="spellEnd"/>
      <w:r>
        <w:t xml:space="preserve"> 38 &amp; 46.</w:t>
      </w:r>
    </w:p>
  </w:footnote>
  <w:footnote w:id="936">
    <w:p w14:paraId="016CB33B" w14:textId="4A7D3FF6" w:rsidR="002774A4" w:rsidRDefault="002774A4">
      <w:pPr>
        <w:pStyle w:val="FootnoteText"/>
      </w:pPr>
      <w:r>
        <w:rPr>
          <w:rStyle w:val="FootnoteReference"/>
        </w:rPr>
        <w:footnoteRef/>
      </w:r>
      <w:r>
        <w:t xml:space="preserve"> </w:t>
      </w:r>
      <w:r>
        <w:rPr>
          <w:i/>
        </w:rPr>
        <w:t xml:space="preserve">Ibid, </w:t>
      </w:r>
      <w:r>
        <w:t>s 30(2</w:t>
      </w:r>
      <w:proofErr w:type="gramStart"/>
      <w:r>
        <w:t>)(</w:t>
      </w:r>
      <w:proofErr w:type="gramEnd"/>
      <w:r>
        <w:t>a).</w:t>
      </w:r>
    </w:p>
  </w:footnote>
  <w:footnote w:id="937">
    <w:p w14:paraId="01307712" w14:textId="12D13A70" w:rsidR="002774A4" w:rsidRPr="001D797A" w:rsidRDefault="002774A4">
      <w:pPr>
        <w:pStyle w:val="FootnoteText"/>
      </w:pPr>
      <w:r>
        <w:rPr>
          <w:rStyle w:val="FootnoteReference"/>
        </w:rPr>
        <w:footnoteRef/>
      </w:r>
      <w:r>
        <w:t xml:space="preserve"> </w:t>
      </w:r>
      <w:r>
        <w:rPr>
          <w:i/>
        </w:rPr>
        <w:t xml:space="preserve">Ibid, </w:t>
      </w:r>
      <w:r>
        <w:t>s 9(1</w:t>
      </w:r>
      <w:proofErr w:type="gramStart"/>
      <w:r>
        <w:t>)(</w:t>
      </w:r>
      <w:proofErr w:type="gramEnd"/>
      <w:r>
        <w:t>a).</w:t>
      </w:r>
    </w:p>
  </w:footnote>
  <w:footnote w:id="938">
    <w:p w14:paraId="048375F3" w14:textId="707CDE14" w:rsidR="002774A4" w:rsidRPr="009B3E77" w:rsidRDefault="002774A4">
      <w:pPr>
        <w:pStyle w:val="FootnoteText"/>
      </w:pPr>
      <w:r>
        <w:rPr>
          <w:rStyle w:val="FootnoteReference"/>
        </w:rPr>
        <w:footnoteRef/>
      </w:r>
      <w:r>
        <w:t xml:space="preserve"> </w:t>
      </w:r>
      <w:r>
        <w:rPr>
          <w:i/>
        </w:rPr>
        <w:t xml:space="preserve">Ibid, </w:t>
      </w:r>
      <w:r>
        <w:t>s 9(1</w:t>
      </w:r>
      <w:proofErr w:type="gramStart"/>
      <w:r>
        <w:t>)(</w:t>
      </w:r>
      <w:proofErr w:type="gramEnd"/>
      <w:r>
        <w:t>b).</w:t>
      </w:r>
    </w:p>
  </w:footnote>
  <w:footnote w:id="939">
    <w:p w14:paraId="5C83ABD5" w14:textId="74C5E470" w:rsidR="002774A4" w:rsidRPr="009B3E77" w:rsidRDefault="002774A4">
      <w:pPr>
        <w:pStyle w:val="FootnoteText"/>
      </w:pPr>
      <w:r>
        <w:rPr>
          <w:rStyle w:val="FootnoteReference"/>
        </w:rPr>
        <w:footnoteRef/>
      </w:r>
      <w:r>
        <w:t xml:space="preserve"> </w:t>
      </w:r>
      <w:r>
        <w:rPr>
          <w:i/>
        </w:rPr>
        <w:t xml:space="preserve">Ibid, </w:t>
      </w:r>
      <w:r>
        <w:t>s 9(1</w:t>
      </w:r>
      <w:proofErr w:type="gramStart"/>
      <w:r>
        <w:t>)(</w:t>
      </w:r>
      <w:proofErr w:type="gramEnd"/>
      <w:r>
        <w:t>c).</w:t>
      </w:r>
    </w:p>
  </w:footnote>
  <w:footnote w:id="940">
    <w:p w14:paraId="0B28539E" w14:textId="795C183B" w:rsidR="002774A4" w:rsidRPr="00D01F46" w:rsidRDefault="002774A4">
      <w:pPr>
        <w:pStyle w:val="FootnoteText"/>
      </w:pPr>
      <w:r>
        <w:rPr>
          <w:rStyle w:val="FootnoteReference"/>
        </w:rPr>
        <w:footnoteRef/>
      </w:r>
      <w:r>
        <w:t xml:space="preserve"> </w:t>
      </w:r>
      <w:r>
        <w:rPr>
          <w:i/>
        </w:rPr>
        <w:t xml:space="preserve">Ibid, </w:t>
      </w:r>
      <w:r>
        <w:t>s 9(1</w:t>
      </w:r>
      <w:proofErr w:type="gramStart"/>
      <w:r>
        <w:t>)(</w:t>
      </w:r>
      <w:proofErr w:type="gramEnd"/>
      <w:r>
        <w:t>e).</w:t>
      </w:r>
    </w:p>
  </w:footnote>
  <w:footnote w:id="941">
    <w:p w14:paraId="2C51514E" w14:textId="5558591C" w:rsidR="002774A4" w:rsidRPr="009F06F2" w:rsidRDefault="002774A4">
      <w:pPr>
        <w:pStyle w:val="FootnoteText"/>
      </w:pPr>
      <w:r>
        <w:rPr>
          <w:rStyle w:val="FootnoteReference"/>
        </w:rPr>
        <w:footnoteRef/>
      </w:r>
      <w:r>
        <w:t xml:space="preserve"> </w:t>
      </w:r>
      <w:r>
        <w:rPr>
          <w:i/>
        </w:rPr>
        <w:t xml:space="preserve">Ibid, </w:t>
      </w:r>
      <w:r>
        <w:t>s 32(3).</w:t>
      </w:r>
    </w:p>
  </w:footnote>
  <w:footnote w:id="942">
    <w:p w14:paraId="6189CAE7" w14:textId="59F3E3DE" w:rsidR="002774A4" w:rsidRDefault="002774A4">
      <w:pPr>
        <w:pStyle w:val="FootnoteText"/>
      </w:pPr>
      <w:r>
        <w:rPr>
          <w:rStyle w:val="FootnoteReference"/>
        </w:rPr>
        <w:footnoteRef/>
      </w:r>
      <w:r>
        <w:t xml:space="preserve"> See </w:t>
      </w:r>
      <w:r w:rsidRPr="00D7568C">
        <w:rPr>
          <w:i/>
        </w:rPr>
        <w:t>Powers</w:t>
      </w:r>
      <w:r w:rsidRPr="00D7568C">
        <w:t xml:space="preserve"> </w:t>
      </w:r>
      <w:r w:rsidRPr="00D7568C">
        <w:rPr>
          <w:i/>
        </w:rPr>
        <w:t xml:space="preserve">of Attorney Act </w:t>
      </w:r>
      <w:proofErr w:type="gramStart"/>
      <w:r w:rsidRPr="00D7568C">
        <w:rPr>
          <w:i/>
        </w:rPr>
        <w:t>2014</w:t>
      </w:r>
      <w:r>
        <w:rPr>
          <w:i/>
        </w:rPr>
        <w:t>,</w:t>
      </w:r>
      <w:proofErr w:type="gramEnd"/>
      <w:r>
        <w:rPr>
          <w:i/>
        </w:rPr>
        <w:t xml:space="preserve"> supra </w:t>
      </w:r>
      <w:r>
        <w:t xml:space="preserve">note </w:t>
      </w:r>
      <w:r>
        <w:fldChar w:fldCharType="begin"/>
      </w:r>
      <w:r>
        <w:instrText xml:space="preserve"> NOTEREF _Ref15310166 \h </w:instrText>
      </w:r>
      <w:r>
        <w:fldChar w:fldCharType="separate"/>
      </w:r>
      <w:r>
        <w:t>894</w:t>
      </w:r>
      <w:r>
        <w:fldChar w:fldCharType="end"/>
      </w:r>
      <w:r>
        <w:t>, s 99.</w:t>
      </w:r>
    </w:p>
  </w:footnote>
  <w:footnote w:id="943">
    <w:p w14:paraId="423E50DD" w14:textId="770BA8FC" w:rsidR="002774A4" w:rsidRDefault="002774A4">
      <w:pPr>
        <w:pStyle w:val="FootnoteText"/>
      </w:pPr>
      <w:r>
        <w:rPr>
          <w:rStyle w:val="FootnoteReference"/>
        </w:rPr>
        <w:footnoteRef/>
      </w:r>
      <w:r>
        <w:t xml:space="preserve"> See </w:t>
      </w:r>
      <w:r>
        <w:rPr>
          <w:i/>
        </w:rPr>
        <w:t xml:space="preserve">Ibid, </w:t>
      </w:r>
      <w:r>
        <w:t>s 102.</w:t>
      </w:r>
    </w:p>
  </w:footnote>
  <w:footnote w:id="944">
    <w:p w14:paraId="788B4257" w14:textId="69C3E5D7" w:rsidR="002774A4" w:rsidRPr="005D5E3D" w:rsidRDefault="002774A4">
      <w:pPr>
        <w:pStyle w:val="FootnoteText"/>
      </w:pPr>
      <w:r>
        <w:rPr>
          <w:rStyle w:val="FootnoteReference"/>
        </w:rPr>
        <w:footnoteRef/>
      </w:r>
      <w:r>
        <w:t xml:space="preserve"> See </w:t>
      </w:r>
      <w:r w:rsidRPr="00A550A1">
        <w:rPr>
          <w:color w:val="000000" w:themeColor="text1"/>
        </w:rPr>
        <w:t xml:space="preserve">Committee on the Rights of Persons with Disabilities, </w:t>
      </w:r>
      <w:r>
        <w:t xml:space="preserve">“General comment No.1,” </w:t>
      </w:r>
      <w:r w:rsidRPr="00A550A1">
        <w:rPr>
          <w:i/>
          <w:color w:val="000000" w:themeColor="text1"/>
        </w:rPr>
        <w:t xml:space="preserve">supra </w:t>
      </w:r>
      <w:r w:rsidRPr="00A550A1">
        <w:rPr>
          <w:color w:val="000000" w:themeColor="text1"/>
        </w:rPr>
        <w:t>note</w:t>
      </w:r>
      <w:r>
        <w:rPr>
          <w:color w:val="000000" w:themeColor="text1"/>
        </w:rPr>
        <w:t xml:space="preserve"> </w:t>
      </w:r>
      <w:r>
        <w:rPr>
          <w:color w:val="000000" w:themeColor="text1"/>
        </w:rPr>
        <w:fldChar w:fldCharType="begin"/>
      </w:r>
      <w:r>
        <w:rPr>
          <w:color w:val="000000" w:themeColor="text1"/>
        </w:rPr>
        <w:instrText xml:space="preserve"> NOTEREF _Ref15295251 \h </w:instrText>
      </w:r>
      <w:r>
        <w:rPr>
          <w:color w:val="000000" w:themeColor="text1"/>
        </w:rPr>
      </w:r>
      <w:r>
        <w:rPr>
          <w:color w:val="000000" w:themeColor="text1"/>
        </w:rPr>
        <w:fldChar w:fldCharType="separate"/>
      </w:r>
      <w:proofErr w:type="gramStart"/>
      <w:r>
        <w:rPr>
          <w:color w:val="000000" w:themeColor="text1"/>
        </w:rPr>
        <w:t>7</w:t>
      </w:r>
      <w:proofErr w:type="gramEnd"/>
      <w:r>
        <w:rPr>
          <w:color w:val="000000" w:themeColor="text1"/>
        </w:rPr>
        <w:fldChar w:fldCharType="end"/>
      </w:r>
      <w:r>
        <w:rPr>
          <w:color w:val="000000" w:themeColor="text1"/>
        </w:rPr>
        <w:t xml:space="preserve"> at para 15.</w:t>
      </w:r>
    </w:p>
  </w:footnote>
  <w:footnote w:id="945">
    <w:p w14:paraId="03498418" w14:textId="353EFF2B" w:rsidR="002774A4" w:rsidRPr="009E0156" w:rsidRDefault="002774A4">
      <w:pPr>
        <w:pStyle w:val="FootnoteText"/>
      </w:pPr>
      <w:r>
        <w:rPr>
          <w:rStyle w:val="FootnoteReference"/>
        </w:rPr>
        <w:footnoteRef/>
      </w:r>
      <w:r>
        <w:t xml:space="preserve"> </w:t>
      </w:r>
      <w:r w:rsidRPr="009E0156">
        <w:t xml:space="preserve">See </w:t>
      </w:r>
      <w:r w:rsidRPr="009E0156">
        <w:rPr>
          <w:i/>
        </w:rPr>
        <w:t xml:space="preserve">Guardianship and Administration Act </w:t>
      </w:r>
      <w:proofErr w:type="gramStart"/>
      <w:r w:rsidRPr="009E0156">
        <w:rPr>
          <w:i/>
        </w:rPr>
        <w:t>2019,</w:t>
      </w:r>
      <w:proofErr w:type="gramEnd"/>
      <w:r w:rsidRPr="009E0156">
        <w:rPr>
          <w:i/>
        </w:rPr>
        <w:t xml:space="preserve"> supra </w:t>
      </w:r>
      <w:r w:rsidRPr="009E0156">
        <w:t xml:space="preserve">note </w:t>
      </w:r>
      <w:r w:rsidRPr="009E0156">
        <w:fldChar w:fldCharType="begin"/>
      </w:r>
      <w:r w:rsidRPr="009E0156">
        <w:instrText xml:space="preserve"> NOTEREF _Ref15310234 \h </w:instrText>
      </w:r>
      <w:r>
        <w:instrText xml:space="preserve"> \* MERGEFORMAT </w:instrText>
      </w:r>
      <w:r w:rsidRPr="009E0156">
        <w:fldChar w:fldCharType="separate"/>
      </w:r>
      <w:r w:rsidRPr="009E0156">
        <w:t>922</w:t>
      </w:r>
      <w:r w:rsidRPr="009E0156">
        <w:fldChar w:fldCharType="end"/>
      </w:r>
      <w:r w:rsidRPr="009E0156">
        <w:t>, s 8(b).</w:t>
      </w:r>
    </w:p>
  </w:footnote>
  <w:footnote w:id="946">
    <w:p w14:paraId="0384336C" w14:textId="5DACA370" w:rsidR="002774A4" w:rsidRPr="009E0156" w:rsidRDefault="002774A4">
      <w:pPr>
        <w:pStyle w:val="FootnoteText"/>
      </w:pPr>
      <w:r w:rsidRPr="009E0156">
        <w:rPr>
          <w:rStyle w:val="FootnoteReference"/>
        </w:rPr>
        <w:footnoteRef/>
      </w:r>
      <w:r w:rsidRPr="009E0156">
        <w:t xml:space="preserve"> </w:t>
      </w:r>
      <w:r w:rsidRPr="009E0156">
        <w:rPr>
          <w:i/>
        </w:rPr>
        <w:t>Ibid</w:t>
      </w:r>
      <w:r w:rsidRPr="009E0156">
        <w:t>.</w:t>
      </w:r>
    </w:p>
  </w:footnote>
  <w:footnote w:id="947">
    <w:p w14:paraId="62547DCC" w14:textId="3A9A8B04" w:rsidR="002774A4" w:rsidRPr="005D06A2" w:rsidRDefault="002774A4">
      <w:pPr>
        <w:pStyle w:val="FootnoteText"/>
      </w:pPr>
      <w:r w:rsidRPr="009E0156">
        <w:rPr>
          <w:rStyle w:val="FootnoteReference"/>
        </w:rPr>
        <w:footnoteRef/>
      </w:r>
      <w:r w:rsidRPr="009E0156">
        <w:t xml:space="preserve"> See </w:t>
      </w:r>
      <w:r w:rsidRPr="009E0156">
        <w:rPr>
          <w:i/>
        </w:rPr>
        <w:t>Powers of</w:t>
      </w:r>
      <w:r>
        <w:rPr>
          <w:i/>
        </w:rPr>
        <w:t xml:space="preserve"> Attorney Act 2014, supra </w:t>
      </w:r>
      <w:r>
        <w:t xml:space="preserve">note </w:t>
      </w:r>
      <w:r>
        <w:fldChar w:fldCharType="begin"/>
      </w:r>
      <w:r>
        <w:instrText xml:space="preserve"> NOTEREF _Ref15310166 \h </w:instrText>
      </w:r>
      <w:r>
        <w:fldChar w:fldCharType="separate"/>
      </w:r>
      <w:r>
        <w:t>894</w:t>
      </w:r>
      <w:r>
        <w:fldChar w:fldCharType="end"/>
      </w:r>
      <w:r>
        <w:t xml:space="preserve">, s 86(1)(b); </w:t>
      </w:r>
      <w:r>
        <w:rPr>
          <w:i/>
        </w:rPr>
        <w:t xml:space="preserve">Medical Treatment Planning and Decisions Act, supra </w:t>
      </w:r>
      <w:r>
        <w:t xml:space="preserve">note </w:t>
      </w:r>
      <w:r>
        <w:fldChar w:fldCharType="begin"/>
      </w:r>
      <w:r>
        <w:instrText xml:space="preserve"> NOTEREF _Ref15310204 \h </w:instrText>
      </w:r>
      <w:r>
        <w:fldChar w:fldCharType="separate"/>
      </w:r>
      <w:r>
        <w:t>914</w:t>
      </w:r>
      <w:r>
        <w:fldChar w:fldCharType="end"/>
      </w:r>
      <w:r>
        <w:t xml:space="preserve">, s 31; </w:t>
      </w:r>
      <w:r>
        <w:rPr>
          <w:i/>
        </w:rPr>
        <w:t xml:space="preserve">Guardianship and Administration Act 2019, supra </w:t>
      </w:r>
      <w:r>
        <w:t xml:space="preserve">note </w:t>
      </w:r>
      <w:r>
        <w:fldChar w:fldCharType="begin"/>
      </w:r>
      <w:r>
        <w:instrText xml:space="preserve"> NOTEREF _Ref15310234 \h </w:instrText>
      </w:r>
      <w:r>
        <w:fldChar w:fldCharType="separate"/>
      </w:r>
      <w:r>
        <w:t>922</w:t>
      </w:r>
      <w:r>
        <w:fldChar w:fldCharType="end"/>
      </w:r>
      <w:r>
        <w:t xml:space="preserve"> at 87(2)(b).</w:t>
      </w:r>
    </w:p>
  </w:footnote>
  <w:footnote w:id="948">
    <w:p w14:paraId="2C76CE85" w14:textId="3F62F4DE" w:rsidR="002774A4" w:rsidRPr="00855107" w:rsidRDefault="002774A4">
      <w:pPr>
        <w:pStyle w:val="FootnoteText"/>
      </w:pPr>
      <w:r>
        <w:rPr>
          <w:rStyle w:val="FootnoteReference"/>
        </w:rPr>
        <w:footnoteRef/>
      </w:r>
      <w:r>
        <w:t xml:space="preserve"> </w:t>
      </w:r>
      <w:r w:rsidRPr="00A550A1">
        <w:rPr>
          <w:color w:val="000000" w:themeColor="text1"/>
        </w:rPr>
        <w:t xml:space="preserve">Committee on the Rights of Persons with Disabilities, </w:t>
      </w:r>
      <w:r>
        <w:t xml:space="preserve">“General comment No.1,” </w:t>
      </w:r>
      <w:r w:rsidRPr="00A550A1">
        <w:rPr>
          <w:i/>
          <w:color w:val="000000" w:themeColor="text1"/>
        </w:rPr>
        <w:t xml:space="preserve">supra </w:t>
      </w:r>
      <w:r w:rsidRPr="00A550A1">
        <w:rPr>
          <w:color w:val="000000" w:themeColor="text1"/>
        </w:rPr>
        <w:t xml:space="preserve">note </w:t>
      </w:r>
      <w:r>
        <w:rPr>
          <w:color w:val="000000" w:themeColor="text1"/>
        </w:rPr>
        <w:fldChar w:fldCharType="begin"/>
      </w:r>
      <w:r>
        <w:rPr>
          <w:color w:val="000000" w:themeColor="text1"/>
        </w:rPr>
        <w:instrText xml:space="preserve"> NOTEREF _Ref15295251 \h </w:instrText>
      </w:r>
      <w:r>
        <w:rPr>
          <w:color w:val="000000" w:themeColor="text1"/>
        </w:rPr>
      </w:r>
      <w:r>
        <w:rPr>
          <w:color w:val="000000" w:themeColor="text1"/>
        </w:rPr>
        <w:fldChar w:fldCharType="separate"/>
      </w:r>
      <w:proofErr w:type="gramStart"/>
      <w:r>
        <w:rPr>
          <w:color w:val="000000" w:themeColor="text1"/>
        </w:rPr>
        <w:t>7</w:t>
      </w:r>
      <w:proofErr w:type="gramEnd"/>
      <w:r>
        <w:rPr>
          <w:color w:val="000000" w:themeColor="text1"/>
        </w:rPr>
        <w:fldChar w:fldCharType="end"/>
      </w:r>
      <w:r>
        <w:rPr>
          <w:color w:val="000000" w:themeColor="text1"/>
        </w:rPr>
        <w:t xml:space="preserve"> at para </w:t>
      </w:r>
      <w:r>
        <w:t>29(i).</w:t>
      </w:r>
    </w:p>
  </w:footnote>
  <w:footnote w:id="949">
    <w:p w14:paraId="1CF107B7" w14:textId="7E8675BE" w:rsidR="002774A4" w:rsidRPr="00C55159" w:rsidRDefault="002774A4">
      <w:pPr>
        <w:pStyle w:val="FootnoteText"/>
      </w:pPr>
      <w:r>
        <w:rPr>
          <w:rStyle w:val="FootnoteReference"/>
        </w:rPr>
        <w:footnoteRef/>
      </w:r>
      <w:r>
        <w:t xml:space="preserve"> See </w:t>
      </w:r>
      <w:r w:rsidRPr="00D7568C">
        <w:rPr>
          <w:i/>
        </w:rPr>
        <w:t>Powers</w:t>
      </w:r>
      <w:r w:rsidRPr="00D7568C">
        <w:t xml:space="preserve"> </w:t>
      </w:r>
      <w:r w:rsidRPr="00D7568C">
        <w:rPr>
          <w:i/>
        </w:rPr>
        <w:t>of Attorney Act 2014</w:t>
      </w:r>
      <w:r>
        <w:rPr>
          <w:i/>
        </w:rPr>
        <w:t xml:space="preserve">, supra </w:t>
      </w:r>
      <w:r>
        <w:t xml:space="preserve">note </w:t>
      </w:r>
      <w:r>
        <w:fldChar w:fldCharType="begin"/>
      </w:r>
      <w:r>
        <w:instrText xml:space="preserve"> NOTEREF _Ref15310166 \h </w:instrText>
      </w:r>
      <w:r>
        <w:fldChar w:fldCharType="separate"/>
      </w:r>
      <w:r>
        <w:t>894</w:t>
      </w:r>
      <w:r>
        <w:fldChar w:fldCharType="end"/>
      </w:r>
      <w:r>
        <w:t xml:space="preserve">, s 122; </w:t>
      </w:r>
      <w:r w:rsidRPr="006252B6">
        <w:rPr>
          <w:i/>
        </w:rPr>
        <w:t>Medical</w:t>
      </w:r>
      <w:r>
        <w:t xml:space="preserve"> </w:t>
      </w:r>
      <w:r>
        <w:rPr>
          <w:i/>
        </w:rPr>
        <w:t xml:space="preserve">Treatment Planning and Decisions Act 2016, supra </w:t>
      </w:r>
      <w:r>
        <w:t xml:space="preserve">note </w:t>
      </w:r>
      <w:r>
        <w:fldChar w:fldCharType="begin"/>
      </w:r>
      <w:r>
        <w:instrText xml:space="preserve"> NOTEREF _Ref15310204 \h </w:instrText>
      </w:r>
      <w:r>
        <w:fldChar w:fldCharType="separate"/>
      </w:r>
      <w:r>
        <w:t>914</w:t>
      </w:r>
      <w:r>
        <w:fldChar w:fldCharType="end"/>
      </w:r>
      <w:r>
        <w:t>, s 43.</w:t>
      </w:r>
    </w:p>
  </w:footnote>
  <w:footnote w:id="950">
    <w:p w14:paraId="1B1799B5" w14:textId="6731307A" w:rsidR="002774A4" w:rsidRDefault="002774A4">
      <w:pPr>
        <w:pStyle w:val="FootnoteText"/>
      </w:pPr>
      <w:r>
        <w:rPr>
          <w:rStyle w:val="FootnoteReference"/>
        </w:rPr>
        <w:footnoteRef/>
      </w:r>
      <w:r>
        <w:t xml:space="preserve"> See </w:t>
      </w:r>
      <w:r w:rsidRPr="00C310D5">
        <w:rPr>
          <w:i/>
        </w:rPr>
        <w:t xml:space="preserve">Guardianship and Administration Act </w:t>
      </w:r>
      <w:proofErr w:type="gramStart"/>
      <w:r w:rsidRPr="00C310D5">
        <w:rPr>
          <w:i/>
        </w:rPr>
        <w:t>2019,</w:t>
      </w:r>
      <w:proofErr w:type="gramEnd"/>
      <w:r w:rsidRPr="00C310D5">
        <w:rPr>
          <w:i/>
        </w:rPr>
        <w:t xml:space="preserve"> supra</w:t>
      </w:r>
      <w:r>
        <w:rPr>
          <w:i/>
        </w:rPr>
        <w:t xml:space="preserve"> </w:t>
      </w:r>
      <w:r>
        <w:t xml:space="preserve">note </w:t>
      </w:r>
      <w:r>
        <w:fldChar w:fldCharType="begin"/>
      </w:r>
      <w:r>
        <w:instrText xml:space="preserve"> NOTEREF _Ref15310234 \h </w:instrText>
      </w:r>
      <w:r>
        <w:fldChar w:fldCharType="separate"/>
      </w:r>
      <w:r>
        <w:t>922</w:t>
      </w:r>
      <w:r>
        <w:fldChar w:fldCharType="end"/>
      </w:r>
      <w:r>
        <w:t>, s 159(2).</w:t>
      </w:r>
    </w:p>
  </w:footnote>
  <w:footnote w:id="951">
    <w:p w14:paraId="6900B934" w14:textId="337AEFC2" w:rsidR="002774A4" w:rsidRPr="009620A7" w:rsidRDefault="002774A4">
      <w:pPr>
        <w:pStyle w:val="FootnoteText"/>
      </w:pPr>
      <w:r>
        <w:rPr>
          <w:rStyle w:val="FootnoteReference"/>
        </w:rPr>
        <w:footnoteRef/>
      </w:r>
      <w:r>
        <w:t xml:space="preserve"> See </w:t>
      </w:r>
      <w:r>
        <w:rPr>
          <w:i/>
        </w:rPr>
        <w:t xml:space="preserve">Ibid, </w:t>
      </w:r>
      <w:r>
        <w:t>s 88(2).</w:t>
      </w:r>
    </w:p>
  </w:footnote>
  <w:footnote w:id="952">
    <w:p w14:paraId="03D7C170" w14:textId="33C5C425" w:rsidR="002774A4" w:rsidRPr="00E628E0" w:rsidRDefault="002774A4">
      <w:pPr>
        <w:pStyle w:val="FootnoteText"/>
      </w:pPr>
      <w:r>
        <w:rPr>
          <w:rStyle w:val="FootnoteReference"/>
        </w:rPr>
        <w:footnoteRef/>
      </w:r>
      <w:r>
        <w:t xml:space="preserve"> </w:t>
      </w:r>
      <w:r>
        <w:rPr>
          <w:i/>
        </w:rPr>
        <w:t xml:space="preserve">Ibid, </w:t>
      </w:r>
      <w:r>
        <w:t>s 88(2</w:t>
      </w:r>
      <w:proofErr w:type="gramStart"/>
      <w:r>
        <w:t>)(</w:t>
      </w:r>
      <w:proofErr w:type="gramEnd"/>
      <w:r>
        <w:t>a).</w:t>
      </w:r>
    </w:p>
  </w:footnote>
  <w:footnote w:id="953">
    <w:p w14:paraId="38BC1C88" w14:textId="6E1A39AA" w:rsidR="002774A4" w:rsidRPr="003643FF" w:rsidRDefault="002774A4">
      <w:pPr>
        <w:pStyle w:val="FootnoteText"/>
      </w:pPr>
      <w:r>
        <w:rPr>
          <w:rStyle w:val="FootnoteReference"/>
        </w:rPr>
        <w:footnoteRef/>
      </w:r>
      <w:r>
        <w:t xml:space="preserve"> See </w:t>
      </w:r>
      <w:r>
        <w:rPr>
          <w:i/>
        </w:rPr>
        <w:t>Ibid</w:t>
      </w:r>
      <w:r>
        <w:t xml:space="preserve">, </w:t>
      </w:r>
      <w:proofErr w:type="spellStart"/>
      <w:r>
        <w:t>ss</w:t>
      </w:r>
      <w:proofErr w:type="spellEnd"/>
      <w:r>
        <w:t xml:space="preserve"> 79-80.</w:t>
      </w:r>
    </w:p>
  </w:footnote>
  <w:footnote w:id="954">
    <w:p w14:paraId="209BF16D" w14:textId="6045FE1D" w:rsidR="002774A4" w:rsidRPr="00392A89" w:rsidRDefault="002774A4">
      <w:pPr>
        <w:pStyle w:val="FootnoteText"/>
      </w:pPr>
      <w:r>
        <w:rPr>
          <w:rStyle w:val="FootnoteReference"/>
        </w:rPr>
        <w:footnoteRef/>
      </w:r>
      <w:r>
        <w:t xml:space="preserve"> See </w:t>
      </w:r>
      <w:r>
        <w:rPr>
          <w:i/>
        </w:rPr>
        <w:t xml:space="preserve">Ibid, </w:t>
      </w:r>
      <w:proofErr w:type="spellStart"/>
      <w:r>
        <w:t>ss</w:t>
      </w:r>
      <w:proofErr w:type="spellEnd"/>
      <w:r>
        <w:t xml:space="preserve"> 38 &amp; 46.</w:t>
      </w:r>
    </w:p>
  </w:footnote>
  <w:footnote w:id="955">
    <w:p w14:paraId="64DC39D9" w14:textId="3D88A054" w:rsidR="002774A4" w:rsidRPr="00920989" w:rsidRDefault="002774A4">
      <w:pPr>
        <w:pStyle w:val="FootnoteText"/>
      </w:pPr>
      <w:r>
        <w:rPr>
          <w:rStyle w:val="FootnoteReference"/>
        </w:rPr>
        <w:footnoteRef/>
      </w:r>
      <w:r>
        <w:t xml:space="preserve"> See </w:t>
      </w:r>
      <w:r>
        <w:rPr>
          <w:i/>
        </w:rPr>
        <w:t xml:space="preserve">Ibid, </w:t>
      </w:r>
      <w:r>
        <w:t>s 9(1).</w:t>
      </w:r>
    </w:p>
  </w:footnote>
  <w:footnote w:id="956">
    <w:p w14:paraId="65DBB538" w14:textId="1805DC1D" w:rsidR="002774A4" w:rsidRPr="00B6537E" w:rsidRDefault="002774A4">
      <w:pPr>
        <w:pStyle w:val="FootnoteText"/>
      </w:pPr>
      <w:r>
        <w:rPr>
          <w:rStyle w:val="FootnoteReference"/>
        </w:rPr>
        <w:footnoteRef/>
      </w:r>
      <w:r>
        <w:t xml:space="preserve"> See </w:t>
      </w:r>
      <w:r>
        <w:rPr>
          <w:i/>
        </w:rPr>
        <w:t xml:space="preserve">Ibid, </w:t>
      </w:r>
      <w:r>
        <w:t>s 30(2</w:t>
      </w:r>
      <w:proofErr w:type="gramStart"/>
      <w:r>
        <w:t>)(</w:t>
      </w:r>
      <w:proofErr w:type="gramEnd"/>
      <w:r>
        <w:t>a).</w:t>
      </w:r>
    </w:p>
  </w:footnote>
  <w:footnote w:id="957">
    <w:p w14:paraId="5BBA7732" w14:textId="5D982995" w:rsidR="002774A4" w:rsidRDefault="002774A4">
      <w:pPr>
        <w:pStyle w:val="FootnoteText"/>
      </w:pPr>
      <w:r>
        <w:rPr>
          <w:rStyle w:val="FootnoteReference"/>
        </w:rPr>
        <w:footnoteRef/>
      </w:r>
      <w:r>
        <w:t xml:space="preserve"> See </w:t>
      </w:r>
      <w:r w:rsidRPr="00A550A1">
        <w:rPr>
          <w:color w:val="000000" w:themeColor="text1"/>
        </w:rPr>
        <w:t xml:space="preserve">Committee on the Rights of Persons with Disabilities, </w:t>
      </w:r>
      <w:r>
        <w:t xml:space="preserve">“General comment No.1,” </w:t>
      </w:r>
      <w:r w:rsidRPr="00A550A1">
        <w:rPr>
          <w:i/>
          <w:color w:val="000000" w:themeColor="text1"/>
        </w:rPr>
        <w:t xml:space="preserve">supra </w:t>
      </w:r>
      <w:r w:rsidRPr="00A550A1">
        <w:rPr>
          <w:color w:val="000000" w:themeColor="text1"/>
        </w:rPr>
        <w:t xml:space="preserve">note </w:t>
      </w:r>
      <w:r>
        <w:rPr>
          <w:color w:val="000000" w:themeColor="text1"/>
        </w:rPr>
        <w:fldChar w:fldCharType="begin"/>
      </w:r>
      <w:r>
        <w:rPr>
          <w:color w:val="000000" w:themeColor="text1"/>
        </w:rPr>
        <w:instrText xml:space="preserve"> NOTEREF _Ref15295251 \h </w:instrText>
      </w:r>
      <w:r>
        <w:rPr>
          <w:color w:val="000000" w:themeColor="text1"/>
        </w:rPr>
      </w:r>
      <w:r>
        <w:rPr>
          <w:color w:val="000000" w:themeColor="text1"/>
        </w:rPr>
        <w:fldChar w:fldCharType="separate"/>
      </w:r>
      <w:proofErr w:type="gramStart"/>
      <w:r>
        <w:rPr>
          <w:color w:val="000000" w:themeColor="text1"/>
        </w:rPr>
        <w:t>7</w:t>
      </w:r>
      <w:proofErr w:type="gramEnd"/>
      <w:r>
        <w:rPr>
          <w:color w:val="000000" w:themeColor="text1"/>
        </w:rPr>
        <w:fldChar w:fldCharType="end"/>
      </w:r>
      <w:r>
        <w:rPr>
          <w:color w:val="000000" w:themeColor="text1"/>
        </w:rPr>
        <w:t xml:space="preserve"> at para 15.</w:t>
      </w:r>
    </w:p>
  </w:footnote>
  <w:footnote w:id="958">
    <w:p w14:paraId="2A5E78FD" w14:textId="2BC7E156" w:rsidR="002774A4" w:rsidRPr="00FA6B34" w:rsidRDefault="002774A4" w:rsidP="009F3707">
      <w:pPr>
        <w:pStyle w:val="FootnoteText"/>
      </w:pPr>
      <w:r>
        <w:rPr>
          <w:rStyle w:val="FootnoteReference"/>
        </w:rPr>
        <w:footnoteRef/>
      </w:r>
      <w:r>
        <w:t xml:space="preserve"> See sections on Georgia, Latvia, and Lithuania.</w:t>
      </w:r>
    </w:p>
  </w:footnote>
  <w:footnote w:id="959">
    <w:p w14:paraId="1657940E" w14:textId="673AFA70" w:rsidR="002774A4" w:rsidRPr="00A83FD7" w:rsidRDefault="002774A4">
      <w:pPr>
        <w:pStyle w:val="FootnoteText"/>
        <w:rPr>
          <w:lang w:val="es-419"/>
        </w:rPr>
      </w:pPr>
      <w:r>
        <w:rPr>
          <w:rStyle w:val="FootnoteReference"/>
        </w:rPr>
        <w:footnoteRef/>
      </w:r>
      <w:r w:rsidRPr="00A83FD7">
        <w:rPr>
          <w:lang w:val="es-419"/>
        </w:rPr>
        <w:t xml:space="preserve"> </w:t>
      </w:r>
      <w:proofErr w:type="spellStart"/>
      <w:r w:rsidRPr="00A83FD7">
        <w:rPr>
          <w:lang w:val="es-419"/>
        </w:rPr>
        <w:t>E.g</w:t>
      </w:r>
      <w:proofErr w:type="spellEnd"/>
      <w:r w:rsidRPr="00A83FD7">
        <w:rPr>
          <w:lang w:val="es-419"/>
        </w:rPr>
        <w:t xml:space="preserve">. </w:t>
      </w:r>
      <w:proofErr w:type="spellStart"/>
      <w:r w:rsidRPr="00A83FD7">
        <w:rPr>
          <w:lang w:val="es-419"/>
        </w:rPr>
        <w:t>Sodis</w:t>
      </w:r>
      <w:proofErr w:type="spellEnd"/>
      <w:r w:rsidRPr="00A83FD7">
        <w:rPr>
          <w:lang w:val="es-419"/>
        </w:rPr>
        <w:t>-Sociedad y Discapacidad (</w:t>
      </w:r>
      <w:proofErr w:type="spellStart"/>
      <w:r w:rsidRPr="00A83FD7">
        <w:rPr>
          <w:lang w:val="es-419"/>
        </w:rPr>
        <w:t>Peru</w:t>
      </w:r>
      <w:proofErr w:type="spellEnd"/>
      <w:r w:rsidRPr="00A83FD7">
        <w:rPr>
          <w:lang w:val="es-419"/>
        </w:rPr>
        <w:t xml:space="preserve">), </w:t>
      </w:r>
      <w:r w:rsidRPr="00A83FD7">
        <w:rPr>
          <w:i/>
          <w:lang w:val="es-419"/>
        </w:rPr>
        <w:t xml:space="preserve">supra </w:t>
      </w:r>
      <w:r w:rsidRPr="00A83FD7">
        <w:rPr>
          <w:lang w:val="es-419"/>
        </w:rPr>
        <w:t xml:space="preserve">note </w:t>
      </w:r>
      <w:r w:rsidRPr="00DC17E2">
        <w:fldChar w:fldCharType="begin"/>
      </w:r>
      <w:r w:rsidRPr="00A83FD7">
        <w:rPr>
          <w:lang w:val="es-419"/>
        </w:rPr>
        <w:instrText xml:space="preserve"> NOTEREF _Ref15295303 \h  \* MERGEFORMAT </w:instrText>
      </w:r>
      <w:r w:rsidRPr="00DC17E2">
        <w:fldChar w:fldCharType="separate"/>
      </w:r>
      <w:r w:rsidRPr="00A83FD7">
        <w:rPr>
          <w:lang w:val="es-419"/>
        </w:rPr>
        <w:t>19</w:t>
      </w:r>
      <w:r w:rsidRPr="00DC17E2">
        <w:fldChar w:fldCharType="end"/>
      </w:r>
      <w:r w:rsidRPr="00A83FD7">
        <w:rPr>
          <w:lang w:val="es-419"/>
        </w:rPr>
        <w:t xml:space="preserve">; </w:t>
      </w:r>
      <w:proofErr w:type="spellStart"/>
      <w:r w:rsidRPr="00A83FD7">
        <w:rPr>
          <w:lang w:val="es-419"/>
        </w:rPr>
        <w:t>Lithuanian</w:t>
      </w:r>
      <w:proofErr w:type="spellEnd"/>
      <w:r w:rsidRPr="00A83FD7">
        <w:rPr>
          <w:lang w:val="es-419"/>
        </w:rPr>
        <w:t xml:space="preserve"> </w:t>
      </w:r>
      <w:proofErr w:type="spellStart"/>
      <w:r w:rsidRPr="00A83FD7">
        <w:rPr>
          <w:lang w:val="es-419"/>
        </w:rPr>
        <w:t>Disability</w:t>
      </w:r>
      <w:proofErr w:type="spellEnd"/>
      <w:r w:rsidRPr="00A83FD7">
        <w:rPr>
          <w:lang w:val="es-419"/>
        </w:rPr>
        <w:t xml:space="preserve"> </w:t>
      </w:r>
      <w:proofErr w:type="spellStart"/>
      <w:r w:rsidRPr="00A83FD7">
        <w:rPr>
          <w:lang w:val="es-419"/>
        </w:rPr>
        <w:t>Forum</w:t>
      </w:r>
      <w:proofErr w:type="spellEnd"/>
      <w:r w:rsidRPr="00A83FD7">
        <w:rPr>
          <w:lang w:val="es-419"/>
        </w:rPr>
        <w:t xml:space="preserve">, </w:t>
      </w:r>
      <w:r w:rsidRPr="00A83FD7">
        <w:rPr>
          <w:i/>
          <w:lang w:val="es-419"/>
        </w:rPr>
        <w:t xml:space="preserve">supra </w:t>
      </w:r>
      <w:r w:rsidRPr="00A83FD7">
        <w:rPr>
          <w:lang w:val="es-419"/>
        </w:rPr>
        <w:t xml:space="preserve">note </w:t>
      </w:r>
      <w:r>
        <w:fldChar w:fldCharType="begin"/>
      </w:r>
      <w:r w:rsidRPr="00A83FD7">
        <w:rPr>
          <w:lang w:val="es-419"/>
        </w:rPr>
        <w:instrText xml:space="preserve"> NOTEREF _Ref15315615 \h </w:instrText>
      </w:r>
      <w:r>
        <w:fldChar w:fldCharType="separate"/>
      </w:r>
      <w:r w:rsidRPr="00A83FD7">
        <w:rPr>
          <w:lang w:val="es-419"/>
        </w:rPr>
        <w:t>489</w:t>
      </w:r>
      <w:r>
        <w:fldChar w:fldCharType="end"/>
      </w:r>
      <w:r w:rsidRPr="00A83FD7">
        <w:rPr>
          <w:lang w:val="es-419"/>
        </w:rPr>
        <w:t xml:space="preserve">; ASDOWN, LICA, &amp; </w:t>
      </w:r>
      <w:proofErr w:type="spellStart"/>
      <w:r w:rsidRPr="00A83FD7">
        <w:rPr>
          <w:lang w:val="es-419"/>
        </w:rPr>
        <w:t>Profamilia</w:t>
      </w:r>
      <w:proofErr w:type="spellEnd"/>
      <w:r w:rsidRPr="00A83FD7">
        <w:rPr>
          <w:lang w:val="es-419"/>
        </w:rPr>
        <w:t xml:space="preserve"> (Colombia), </w:t>
      </w:r>
      <w:r w:rsidRPr="00A83FD7">
        <w:rPr>
          <w:i/>
          <w:lang w:val="es-419"/>
        </w:rPr>
        <w:t xml:space="preserve">supra </w:t>
      </w:r>
      <w:r w:rsidRPr="00A83FD7">
        <w:rPr>
          <w:lang w:val="es-419"/>
        </w:rPr>
        <w:t xml:space="preserve">note </w:t>
      </w:r>
      <w:r w:rsidRPr="00DC17E2">
        <w:fldChar w:fldCharType="begin"/>
      </w:r>
      <w:r w:rsidRPr="00A83FD7">
        <w:rPr>
          <w:lang w:val="es-419"/>
        </w:rPr>
        <w:instrText xml:space="preserve"> NOTEREF _Ref15652424 \h  \* MERGEFORMAT </w:instrText>
      </w:r>
      <w:r w:rsidRPr="00DC17E2">
        <w:fldChar w:fldCharType="separate"/>
      </w:r>
      <w:r w:rsidRPr="00A83FD7">
        <w:rPr>
          <w:lang w:val="es-419"/>
        </w:rPr>
        <w:t>152</w:t>
      </w:r>
      <w:r w:rsidRPr="00DC17E2">
        <w:fldChar w:fldCharType="end"/>
      </w:r>
      <w:r w:rsidRPr="00A83FD7">
        <w:rPr>
          <w:lang w:val="es-419"/>
        </w:rPr>
        <w:t>.</w:t>
      </w:r>
    </w:p>
  </w:footnote>
  <w:footnote w:id="960">
    <w:p w14:paraId="13E1EEDC" w14:textId="12B1493A" w:rsidR="002774A4" w:rsidRPr="00A479A7" w:rsidRDefault="002774A4">
      <w:pPr>
        <w:pStyle w:val="FootnoteText"/>
      </w:pPr>
      <w:r w:rsidRPr="00DC17E2">
        <w:rPr>
          <w:rStyle w:val="FootnoteReference"/>
        </w:rPr>
        <w:footnoteRef/>
      </w:r>
      <w:r w:rsidRPr="00DC17E2">
        <w:t xml:space="preserve"> See for e.g. Remarks of a representative from Equals, Centre for Promotion of Social Justice (India), </w:t>
      </w:r>
      <w:r w:rsidRPr="00DC17E2">
        <w:rPr>
          <w:i/>
        </w:rPr>
        <w:t xml:space="preserve">supra </w:t>
      </w:r>
      <w:r w:rsidRPr="00DC17E2">
        <w:t xml:space="preserve">note </w:t>
      </w:r>
      <w:r>
        <w:fldChar w:fldCharType="begin"/>
      </w:r>
      <w:r>
        <w:instrText xml:space="preserve"> NOTEREF _Ref15375016 \h </w:instrText>
      </w:r>
      <w:r>
        <w:fldChar w:fldCharType="separate"/>
      </w:r>
      <w:r>
        <w:t>216</w:t>
      </w:r>
      <w:r>
        <w:fldChar w:fldCharType="end"/>
      </w:r>
      <w:r w:rsidRPr="00DC17E2">
        <w:t xml:space="preserve">; </w:t>
      </w:r>
      <w:proofErr w:type="gramStart"/>
      <w:r w:rsidRPr="00DC17E2">
        <w:t>Written</w:t>
      </w:r>
      <w:proofErr w:type="gramEnd"/>
      <w:r w:rsidRPr="00DC17E2">
        <w:t xml:space="preserve"> comments issued by RC ZELDA and MDAC (Latvia), </w:t>
      </w:r>
      <w:r w:rsidRPr="00DC17E2">
        <w:rPr>
          <w:i/>
        </w:rPr>
        <w:t xml:space="preserve">supra </w:t>
      </w:r>
      <w:r w:rsidRPr="00DC17E2">
        <w:t>note</w:t>
      </w:r>
      <w:r>
        <w:t xml:space="preserve"> </w:t>
      </w:r>
      <w:r>
        <w:fldChar w:fldCharType="begin"/>
      </w:r>
      <w:r>
        <w:instrText xml:space="preserve"> NOTEREF _Ref15375062 \h </w:instrText>
      </w:r>
      <w:r>
        <w:fldChar w:fldCharType="separate"/>
      </w:r>
      <w:r>
        <w:t>431</w:t>
      </w:r>
      <w:r>
        <w:fldChar w:fldCharType="end"/>
      </w:r>
      <w:r w:rsidRPr="00DC17E2">
        <w:t xml:space="preserve">; remarks issued by Irish Human Rights Commission, </w:t>
      </w:r>
      <w:r w:rsidRPr="00DC17E2">
        <w:rPr>
          <w:i/>
        </w:rPr>
        <w:t xml:space="preserve">supra </w:t>
      </w:r>
      <w:r w:rsidRPr="00DC17E2">
        <w:t>note</w:t>
      </w:r>
      <w:r>
        <w:t xml:space="preserve"> </w:t>
      </w:r>
      <w:r>
        <w:fldChar w:fldCharType="begin"/>
      </w:r>
      <w:r>
        <w:instrText xml:space="preserve"> NOTEREF _Ref15301869 \h </w:instrText>
      </w:r>
      <w:r>
        <w:fldChar w:fldCharType="separate"/>
      </w:r>
      <w:r>
        <w:t>605</w:t>
      </w:r>
      <w:r>
        <w:fldChar w:fldCharType="end"/>
      </w:r>
      <w:r w:rsidRPr="00DC17E2">
        <w:t>.</w:t>
      </w:r>
    </w:p>
  </w:footnote>
  <w:footnote w:id="961">
    <w:p w14:paraId="593E78D0" w14:textId="655B1EE9" w:rsidR="002774A4" w:rsidRPr="00560924" w:rsidRDefault="002774A4">
      <w:pPr>
        <w:pStyle w:val="FootnoteText"/>
      </w:pPr>
      <w:r>
        <w:rPr>
          <w:rStyle w:val="FootnoteReference"/>
        </w:rPr>
        <w:footnoteRef/>
      </w:r>
      <w:r>
        <w:t xml:space="preserve"> See </w:t>
      </w:r>
      <w:proofErr w:type="spellStart"/>
      <w:r>
        <w:t>Devandas</w:t>
      </w:r>
      <w:proofErr w:type="spellEnd"/>
      <w:r>
        <w:t xml:space="preserve"> Aguilar, </w:t>
      </w:r>
      <w:r>
        <w:rPr>
          <w:i/>
        </w:rPr>
        <w:t xml:space="preserve">supra </w:t>
      </w:r>
      <w:r>
        <w:t xml:space="preserve">note </w:t>
      </w:r>
      <w:r>
        <w:fldChar w:fldCharType="begin"/>
      </w:r>
      <w:r>
        <w:instrText xml:space="preserve"> NOTEREF _Ref15295121 \h </w:instrText>
      </w:r>
      <w:r>
        <w:fldChar w:fldCharType="separate"/>
      </w:r>
      <w:proofErr w:type="gramStart"/>
      <w:r>
        <w:t>8</w:t>
      </w:r>
      <w:proofErr w:type="gramEnd"/>
      <w:r>
        <w:fldChar w:fldCharType="end"/>
      </w:r>
      <w:r>
        <w:t xml:space="preserve"> at para 24.</w:t>
      </w:r>
    </w:p>
  </w:footnote>
  <w:footnote w:id="962">
    <w:p w14:paraId="172F48B5" w14:textId="4F253E80" w:rsidR="002774A4" w:rsidRPr="00874341" w:rsidRDefault="002774A4" w:rsidP="00C9175E">
      <w:pPr>
        <w:pStyle w:val="FootnoteText"/>
      </w:pPr>
      <w:r>
        <w:rPr>
          <w:rStyle w:val="FootnoteReference"/>
        </w:rPr>
        <w:footnoteRef/>
      </w:r>
      <w:r>
        <w:t xml:space="preserve"> </w:t>
      </w:r>
      <w:r>
        <w:rPr>
          <w:i/>
        </w:rPr>
        <w:t xml:space="preserve">Peruvian Civil Code, supra </w:t>
      </w:r>
      <w:r>
        <w:t xml:space="preserve">note </w:t>
      </w:r>
      <w:r>
        <w:fldChar w:fldCharType="begin"/>
      </w:r>
      <w:r>
        <w:instrText xml:space="preserve"> NOTEREF _Ref15295350 \h </w:instrText>
      </w:r>
      <w:r>
        <w:fldChar w:fldCharType="separate"/>
      </w:r>
      <w:r>
        <w:t>18</w:t>
      </w:r>
      <w:r>
        <w:fldChar w:fldCharType="end"/>
      </w:r>
      <w:r>
        <w:t>, art 42.</w:t>
      </w:r>
    </w:p>
  </w:footnote>
  <w:footnote w:id="963">
    <w:p w14:paraId="1E2FE7D7" w14:textId="7B00F60B" w:rsidR="002774A4" w:rsidRPr="008C3554" w:rsidRDefault="002774A4">
      <w:pPr>
        <w:pStyle w:val="FootnoteText"/>
      </w:pPr>
      <w:r>
        <w:rPr>
          <w:rStyle w:val="FootnoteReference"/>
        </w:rPr>
        <w:footnoteRef/>
      </w:r>
      <w:r>
        <w:t xml:space="preserve"> </w:t>
      </w:r>
      <w:r>
        <w:rPr>
          <w:i/>
        </w:rPr>
        <w:t xml:space="preserve">Bill 236/19, supra </w:t>
      </w:r>
      <w:r>
        <w:t xml:space="preserve">note </w:t>
      </w:r>
      <w:r>
        <w:fldChar w:fldCharType="begin"/>
      </w:r>
      <w:r>
        <w:instrText xml:space="preserve"> NOTEREF _Ref15651965 \h </w:instrText>
      </w:r>
      <w:r>
        <w:fldChar w:fldCharType="separate"/>
      </w:r>
      <w:r>
        <w:t>150</w:t>
      </w:r>
      <w:r>
        <w:fldChar w:fldCharType="end"/>
      </w:r>
      <w:r>
        <w:t>, art 5.</w:t>
      </w:r>
    </w:p>
  </w:footnote>
  <w:footnote w:id="964">
    <w:p w14:paraId="5D2D7D65" w14:textId="1ED60FEA" w:rsidR="002774A4" w:rsidRPr="005409A1" w:rsidRDefault="002774A4">
      <w:pPr>
        <w:pStyle w:val="FootnoteText"/>
      </w:pPr>
      <w:r>
        <w:rPr>
          <w:rStyle w:val="FootnoteReference"/>
        </w:rPr>
        <w:footnoteRef/>
      </w:r>
      <w:r>
        <w:t xml:space="preserve"> </w:t>
      </w:r>
      <w:r w:rsidRPr="00A64A38">
        <w:rPr>
          <w:i/>
        </w:rPr>
        <w:t xml:space="preserve">Law </w:t>
      </w:r>
      <w:r w:rsidRPr="005409A1">
        <w:rPr>
          <w:i/>
        </w:rPr>
        <w:t xml:space="preserve">Number 9379, supra </w:t>
      </w:r>
      <w:r w:rsidRPr="005409A1">
        <w:t xml:space="preserve">note </w:t>
      </w:r>
      <w:r w:rsidRPr="005409A1">
        <w:fldChar w:fldCharType="begin"/>
      </w:r>
      <w:r w:rsidRPr="005409A1">
        <w:instrText xml:space="preserve"> NOTEREF _Ref15297625 \h </w:instrText>
      </w:r>
      <w:r>
        <w:instrText xml:space="preserve"> \* MERGEFORMAT </w:instrText>
      </w:r>
      <w:r w:rsidRPr="005409A1">
        <w:fldChar w:fldCharType="separate"/>
      </w:r>
      <w:r>
        <w:t>67</w:t>
      </w:r>
      <w:r w:rsidRPr="005409A1">
        <w:fldChar w:fldCharType="end"/>
      </w:r>
      <w:r w:rsidRPr="005409A1">
        <w:rPr>
          <w:i/>
        </w:rPr>
        <w:t xml:space="preserve">, </w:t>
      </w:r>
      <w:r w:rsidRPr="005409A1">
        <w:t>art 41.</w:t>
      </w:r>
    </w:p>
  </w:footnote>
  <w:footnote w:id="965">
    <w:p w14:paraId="74236BC5" w14:textId="38B903FA" w:rsidR="002774A4" w:rsidRPr="005409A1" w:rsidRDefault="002774A4">
      <w:pPr>
        <w:pStyle w:val="FootnoteText"/>
      </w:pPr>
      <w:r w:rsidRPr="005409A1">
        <w:rPr>
          <w:rStyle w:val="FootnoteReference"/>
        </w:rPr>
        <w:footnoteRef/>
      </w:r>
      <w:r w:rsidRPr="005409A1">
        <w:t xml:space="preserve"> E.g. Ireland, British Columbia.</w:t>
      </w:r>
    </w:p>
  </w:footnote>
  <w:footnote w:id="966">
    <w:p w14:paraId="76491E18" w14:textId="561A9504" w:rsidR="002774A4" w:rsidRPr="005409A1" w:rsidRDefault="002774A4">
      <w:pPr>
        <w:pStyle w:val="FootnoteText"/>
      </w:pPr>
      <w:r w:rsidRPr="005409A1">
        <w:rPr>
          <w:rStyle w:val="FootnoteReference"/>
        </w:rPr>
        <w:footnoteRef/>
      </w:r>
      <w:r w:rsidRPr="005409A1">
        <w:t xml:space="preserve"> E.g. India, Belgium.</w:t>
      </w:r>
    </w:p>
  </w:footnote>
  <w:footnote w:id="967">
    <w:p w14:paraId="61DA5956" w14:textId="486BFAB0" w:rsidR="002774A4" w:rsidRPr="00242992" w:rsidRDefault="002774A4">
      <w:pPr>
        <w:pStyle w:val="FootnoteText"/>
      </w:pPr>
      <w:r w:rsidRPr="005409A1">
        <w:rPr>
          <w:rStyle w:val="FootnoteReference"/>
        </w:rPr>
        <w:footnoteRef/>
      </w:r>
      <w:r w:rsidRPr="005409A1">
        <w:t xml:space="preserve"> E.</w:t>
      </w:r>
      <w:r w:rsidRPr="00145939">
        <w:t>g. Argentina</w:t>
      </w:r>
      <w:r w:rsidRPr="005409A1">
        <w:t xml:space="preserve">, Israel, Georgia, Czech Republic, Latvia, Croatia, </w:t>
      </w:r>
      <w:r w:rsidRPr="00242992">
        <w:t xml:space="preserve">Lithuania, Hungary, Texas; See </w:t>
      </w:r>
      <w:r w:rsidRPr="00242992">
        <w:rPr>
          <w:color w:val="000000" w:themeColor="text1"/>
        </w:rPr>
        <w:t xml:space="preserve">Committee on the Rights of Persons with Disabilities, </w:t>
      </w:r>
      <w:r w:rsidRPr="00242992">
        <w:t xml:space="preserve">“General comment No.1,” </w:t>
      </w:r>
      <w:r w:rsidRPr="00242992">
        <w:rPr>
          <w:i/>
          <w:color w:val="000000" w:themeColor="text1"/>
        </w:rPr>
        <w:t xml:space="preserve">supra </w:t>
      </w:r>
      <w:r w:rsidRPr="00242992">
        <w:rPr>
          <w:color w:val="000000" w:themeColor="text1"/>
        </w:rPr>
        <w:t xml:space="preserve">note 7 at </w:t>
      </w:r>
      <w:r w:rsidRPr="00242992">
        <w:t>para 15.</w:t>
      </w:r>
    </w:p>
  </w:footnote>
  <w:footnote w:id="968">
    <w:p w14:paraId="39B56368" w14:textId="1AFBBDCA" w:rsidR="002774A4" w:rsidRPr="00242992" w:rsidRDefault="002774A4">
      <w:pPr>
        <w:pStyle w:val="FootnoteText"/>
      </w:pPr>
      <w:r w:rsidRPr="00242992">
        <w:rPr>
          <w:rStyle w:val="FootnoteReference"/>
        </w:rPr>
        <w:footnoteRef/>
      </w:r>
      <w:r w:rsidRPr="00242992">
        <w:t xml:space="preserve"> </w:t>
      </w:r>
      <w:r w:rsidRPr="00242992">
        <w:rPr>
          <w:color w:val="000000" w:themeColor="text1"/>
        </w:rPr>
        <w:t xml:space="preserve">Committee on the Rights of Persons with Disabilities, </w:t>
      </w:r>
      <w:r w:rsidRPr="00242992">
        <w:t xml:space="preserve">“General comment No.1,” </w:t>
      </w:r>
      <w:r w:rsidRPr="00242992">
        <w:rPr>
          <w:i/>
          <w:color w:val="000000" w:themeColor="text1"/>
        </w:rPr>
        <w:t xml:space="preserve">supra </w:t>
      </w:r>
      <w:r w:rsidRPr="00242992">
        <w:rPr>
          <w:color w:val="000000" w:themeColor="text1"/>
        </w:rPr>
        <w:t xml:space="preserve">note </w:t>
      </w:r>
      <w:proofErr w:type="gramStart"/>
      <w:r w:rsidRPr="00242992">
        <w:rPr>
          <w:color w:val="000000" w:themeColor="text1"/>
        </w:rPr>
        <w:t>7</w:t>
      </w:r>
      <w:proofErr w:type="gramEnd"/>
      <w:r w:rsidRPr="00242992">
        <w:rPr>
          <w:color w:val="000000" w:themeColor="text1"/>
        </w:rPr>
        <w:t xml:space="preserve"> </w:t>
      </w:r>
      <w:r w:rsidRPr="00242992">
        <w:t>at para 15.</w:t>
      </w:r>
    </w:p>
  </w:footnote>
  <w:footnote w:id="969">
    <w:p w14:paraId="174CAD41" w14:textId="1F211E71" w:rsidR="002774A4" w:rsidRPr="00242992" w:rsidRDefault="002774A4">
      <w:pPr>
        <w:pStyle w:val="FootnoteText"/>
      </w:pPr>
      <w:r w:rsidRPr="00242992">
        <w:rPr>
          <w:rStyle w:val="FootnoteReference"/>
        </w:rPr>
        <w:footnoteRef/>
      </w:r>
      <w:r w:rsidRPr="00242992">
        <w:t xml:space="preserve"> E.g. Argentina, India, Israel, Georgia, Czech Republic, Latvia, Croatia, Lithuania, Hungary, Ireland, Belgium, British Columbia, Texas, Victoria.</w:t>
      </w:r>
    </w:p>
  </w:footnote>
  <w:footnote w:id="970">
    <w:p w14:paraId="4E7226A9" w14:textId="09B5B24B" w:rsidR="002774A4" w:rsidRPr="00242992" w:rsidRDefault="002774A4">
      <w:pPr>
        <w:pStyle w:val="FootnoteText"/>
      </w:pPr>
      <w:r w:rsidRPr="00242992">
        <w:rPr>
          <w:rStyle w:val="FootnoteReference"/>
        </w:rPr>
        <w:footnoteRef/>
      </w:r>
      <w:r w:rsidRPr="00242992">
        <w:t xml:space="preserve"> E.g. Argentina, Austria. </w:t>
      </w:r>
    </w:p>
  </w:footnote>
  <w:footnote w:id="971">
    <w:p w14:paraId="323CB1B1" w14:textId="6CE0D492" w:rsidR="002774A4" w:rsidRDefault="002774A4">
      <w:pPr>
        <w:pStyle w:val="FootnoteText"/>
      </w:pPr>
      <w:r w:rsidRPr="00242992">
        <w:rPr>
          <w:rStyle w:val="FootnoteReference"/>
        </w:rPr>
        <w:footnoteRef/>
      </w:r>
      <w:r w:rsidRPr="00242992">
        <w:t xml:space="preserve"> E.g. Latvia, Ireland, Argentina, Georgia (note: Argentina &amp; Georgia allow </w:t>
      </w:r>
      <w:proofErr w:type="gramStart"/>
      <w:r w:rsidRPr="00242992">
        <w:t>for supporters</w:t>
      </w:r>
      <w:proofErr w:type="gramEnd"/>
      <w:r w:rsidRPr="00242992">
        <w:t xml:space="preserve"> to exercise a “veto” power, although they do not label these measures as “co-decision-making” </w:t>
      </w:r>
      <w:r w:rsidRPr="00242992">
        <w:rPr>
          <w:i/>
        </w:rPr>
        <w:t>per se</w:t>
      </w:r>
      <w:r w:rsidRPr="00242992">
        <w:t>).</w:t>
      </w:r>
      <w:r>
        <w:t xml:space="preserve">  </w:t>
      </w:r>
    </w:p>
  </w:footnote>
  <w:footnote w:id="972">
    <w:p w14:paraId="5EC5A6AC" w14:textId="05246C0E" w:rsidR="002774A4" w:rsidRPr="00AB75CB" w:rsidRDefault="002774A4" w:rsidP="000F5645">
      <w:pPr>
        <w:pStyle w:val="FootnoteText"/>
      </w:pPr>
      <w:r>
        <w:rPr>
          <w:rStyle w:val="FootnoteReference"/>
        </w:rPr>
        <w:footnoteRef/>
      </w:r>
      <w:r>
        <w:t xml:space="preserve"> </w:t>
      </w:r>
      <w:r>
        <w:rPr>
          <w:i/>
        </w:rPr>
        <w:t xml:space="preserve">Capacity and Guardianship (Amendment No. 18) </w:t>
      </w:r>
      <w:proofErr w:type="gramStart"/>
      <w:r>
        <w:rPr>
          <w:i/>
        </w:rPr>
        <w:t>Law</w:t>
      </w:r>
      <w:r>
        <w:t>,</w:t>
      </w:r>
      <w:proofErr w:type="gramEnd"/>
      <w:r>
        <w:t xml:space="preserve"> </w:t>
      </w:r>
      <w:r>
        <w:rPr>
          <w:i/>
        </w:rPr>
        <w:t xml:space="preserve">supra </w:t>
      </w:r>
      <w:r>
        <w:t xml:space="preserve">note </w:t>
      </w:r>
      <w:r>
        <w:fldChar w:fldCharType="begin"/>
      </w:r>
      <w:r>
        <w:instrText xml:space="preserve"> NOTEREF _Ref15298558 \h </w:instrText>
      </w:r>
      <w:r>
        <w:fldChar w:fldCharType="separate"/>
      </w:r>
      <w:r>
        <w:t>254</w:t>
      </w:r>
      <w:r>
        <w:fldChar w:fldCharType="end"/>
      </w:r>
      <w:r>
        <w:t>, s 67B(c).</w:t>
      </w:r>
    </w:p>
  </w:footnote>
  <w:footnote w:id="973">
    <w:p w14:paraId="561236DE" w14:textId="2238ED22" w:rsidR="002774A4" w:rsidRPr="005A7F3A" w:rsidRDefault="002774A4">
      <w:pPr>
        <w:pStyle w:val="FootnoteText"/>
      </w:pPr>
      <w:r>
        <w:rPr>
          <w:rStyle w:val="FootnoteReference"/>
        </w:rPr>
        <w:footnoteRef/>
      </w:r>
      <w:r>
        <w:t xml:space="preserve"> </w:t>
      </w:r>
      <w:r>
        <w:rPr>
          <w:i/>
        </w:rPr>
        <w:t xml:space="preserve">Supported Decision-Making Agreement Act, supra </w:t>
      </w:r>
      <w:r>
        <w:t xml:space="preserve">note </w:t>
      </w:r>
      <w:r>
        <w:fldChar w:fldCharType="begin"/>
      </w:r>
      <w:r>
        <w:instrText xml:space="preserve"> NOTEREF _Ref15308503 \h </w:instrText>
      </w:r>
      <w:r>
        <w:fldChar w:fldCharType="separate"/>
      </w:r>
      <w:r>
        <w:t>852</w:t>
      </w:r>
      <w:r>
        <w:fldChar w:fldCharType="end"/>
      </w:r>
      <w:r>
        <w:t>, s 1357.051(1).</w:t>
      </w:r>
    </w:p>
  </w:footnote>
  <w:footnote w:id="974">
    <w:p w14:paraId="2ED21ADD" w14:textId="3FF29BC7" w:rsidR="002774A4" w:rsidRPr="002430CA" w:rsidRDefault="002774A4">
      <w:pPr>
        <w:pStyle w:val="FootnoteText"/>
      </w:pPr>
      <w:r>
        <w:rPr>
          <w:rStyle w:val="FootnoteReference"/>
        </w:rPr>
        <w:footnoteRef/>
      </w:r>
      <w:r>
        <w:t xml:space="preserve"> </w:t>
      </w:r>
      <w:r>
        <w:rPr>
          <w:i/>
        </w:rPr>
        <w:t xml:space="preserve">Assisted Decision-Making (Capacity) Act 2015, supra </w:t>
      </w:r>
      <w:r w:rsidRPr="00115545">
        <w:t>note</w:t>
      </w:r>
      <w:r>
        <w:t xml:space="preserve"> </w:t>
      </w:r>
      <w:r>
        <w:fldChar w:fldCharType="begin"/>
      </w:r>
      <w:r>
        <w:instrText xml:space="preserve"> NOTEREF _Ref15301961 \h </w:instrText>
      </w:r>
      <w:r>
        <w:fldChar w:fldCharType="separate"/>
      </w:r>
      <w:r>
        <w:t>602</w:t>
      </w:r>
      <w:r>
        <w:fldChar w:fldCharType="end"/>
      </w:r>
      <w:r w:rsidRPr="00115545">
        <w:t>,</w:t>
      </w:r>
      <w:r>
        <w:t xml:space="preserve"> s 14(2).</w:t>
      </w:r>
    </w:p>
  </w:footnote>
  <w:footnote w:id="975">
    <w:p w14:paraId="17A41A5A" w14:textId="1F9DF9DB" w:rsidR="002774A4" w:rsidRPr="00AE32CA" w:rsidRDefault="002774A4" w:rsidP="00800FDD">
      <w:pPr>
        <w:pStyle w:val="FootnoteText"/>
      </w:pPr>
      <w:r>
        <w:rPr>
          <w:rStyle w:val="FootnoteReference"/>
        </w:rPr>
        <w:footnoteRef/>
      </w:r>
      <w:r>
        <w:t xml:space="preserve"> </w:t>
      </w:r>
      <w:r>
        <w:rPr>
          <w:i/>
        </w:rPr>
        <w:t xml:space="preserve">Peruvian Civil Code, supra </w:t>
      </w:r>
      <w:r>
        <w:t xml:space="preserve">note </w:t>
      </w:r>
      <w:r>
        <w:fldChar w:fldCharType="begin"/>
      </w:r>
      <w:r>
        <w:instrText xml:space="preserve"> NOTEREF _Ref15295350 \h </w:instrText>
      </w:r>
      <w:r>
        <w:fldChar w:fldCharType="separate"/>
      </w:r>
      <w:r>
        <w:t>18</w:t>
      </w:r>
      <w:r>
        <w:fldChar w:fldCharType="end"/>
      </w:r>
      <w:r>
        <w:t>, art 659B.</w:t>
      </w:r>
    </w:p>
  </w:footnote>
  <w:footnote w:id="976">
    <w:p w14:paraId="4FE4FACC" w14:textId="1754E56E" w:rsidR="002774A4" w:rsidRDefault="002774A4">
      <w:pPr>
        <w:pStyle w:val="FootnoteText"/>
      </w:pPr>
      <w:r>
        <w:rPr>
          <w:rStyle w:val="FootnoteReference"/>
        </w:rPr>
        <w:footnoteRef/>
      </w:r>
      <w:r>
        <w:t xml:space="preserve"> E.g. Austria, </w:t>
      </w:r>
      <w:r w:rsidRPr="004E6F8A">
        <w:t>Ireland, Hungary</w:t>
      </w:r>
      <w:r>
        <w:t>, Israel, Belgium.</w:t>
      </w:r>
    </w:p>
  </w:footnote>
  <w:footnote w:id="977">
    <w:p w14:paraId="006F75A2" w14:textId="7B45A2DB" w:rsidR="002774A4" w:rsidRPr="002D6F9C" w:rsidRDefault="002774A4">
      <w:pPr>
        <w:pStyle w:val="FootnoteText"/>
      </w:pPr>
      <w:r>
        <w:rPr>
          <w:rStyle w:val="FootnoteReference"/>
        </w:rPr>
        <w:footnoteRef/>
      </w:r>
      <w:r>
        <w:t xml:space="preserve"> </w:t>
      </w:r>
      <w:r w:rsidRPr="00A550A1">
        <w:rPr>
          <w:color w:val="000000" w:themeColor="text1"/>
        </w:rPr>
        <w:t xml:space="preserve">Committee on the Rights of Persons with Disabilities, </w:t>
      </w:r>
      <w:r>
        <w:t xml:space="preserve">“General comment No.1,” </w:t>
      </w:r>
      <w:r w:rsidRPr="00A550A1">
        <w:rPr>
          <w:i/>
          <w:color w:val="000000" w:themeColor="text1"/>
        </w:rPr>
        <w:t xml:space="preserve">supra </w:t>
      </w:r>
      <w:r w:rsidRPr="00A550A1">
        <w:rPr>
          <w:color w:val="000000" w:themeColor="text1"/>
        </w:rPr>
        <w:t xml:space="preserve">note </w:t>
      </w:r>
      <w:proofErr w:type="gramStart"/>
      <w:r w:rsidRPr="00A550A1">
        <w:rPr>
          <w:color w:val="000000" w:themeColor="text1"/>
        </w:rPr>
        <w:t>7</w:t>
      </w:r>
      <w:proofErr w:type="gramEnd"/>
      <w:r>
        <w:rPr>
          <w:color w:val="000000" w:themeColor="text1"/>
        </w:rPr>
        <w:t xml:space="preserve"> </w:t>
      </w:r>
      <w:r>
        <w:t>at para 29(i).</w:t>
      </w:r>
    </w:p>
  </w:footnote>
  <w:footnote w:id="978">
    <w:p w14:paraId="0289D94F" w14:textId="2E1E3EF1" w:rsidR="002774A4" w:rsidRPr="00D67A26" w:rsidRDefault="002774A4">
      <w:pPr>
        <w:pStyle w:val="FootnoteText"/>
      </w:pPr>
      <w:r>
        <w:rPr>
          <w:rStyle w:val="FootnoteReference"/>
        </w:rPr>
        <w:footnoteRef/>
      </w:r>
      <w:r>
        <w:t xml:space="preserve"> E.g. Argentina, Belgium.</w:t>
      </w:r>
    </w:p>
  </w:footnote>
  <w:footnote w:id="979">
    <w:p w14:paraId="4C52F364" w14:textId="78DC69CC" w:rsidR="002774A4" w:rsidRPr="002F6009" w:rsidRDefault="002774A4">
      <w:pPr>
        <w:pStyle w:val="FootnoteText"/>
      </w:pPr>
      <w:r>
        <w:rPr>
          <w:rStyle w:val="FootnoteReference"/>
        </w:rPr>
        <w:footnoteRef/>
      </w:r>
      <w:r>
        <w:t xml:space="preserve"> </w:t>
      </w:r>
      <w:r>
        <w:rPr>
          <w:i/>
        </w:rPr>
        <w:t xml:space="preserve">Peruvian Civil Code, supra </w:t>
      </w:r>
      <w:r>
        <w:t xml:space="preserve">note </w:t>
      </w:r>
      <w:r>
        <w:fldChar w:fldCharType="begin"/>
      </w:r>
      <w:r>
        <w:instrText xml:space="preserve"> NOTEREF _Ref15295350 \h </w:instrText>
      </w:r>
      <w:r>
        <w:fldChar w:fldCharType="separate"/>
      </w:r>
      <w:r>
        <w:t>18</w:t>
      </w:r>
      <w:r>
        <w:fldChar w:fldCharType="end"/>
      </w:r>
      <w:r>
        <w:t>, art 659-D.</w:t>
      </w:r>
    </w:p>
  </w:footnote>
  <w:footnote w:id="980">
    <w:p w14:paraId="621EF3A1" w14:textId="3DA14E93" w:rsidR="002774A4" w:rsidRPr="000C0BD9" w:rsidRDefault="002774A4" w:rsidP="00EC7DBE">
      <w:pPr>
        <w:pStyle w:val="FootnoteText"/>
      </w:pPr>
      <w:r>
        <w:rPr>
          <w:rStyle w:val="FootnoteReference"/>
        </w:rPr>
        <w:footnoteRef/>
      </w:r>
      <w:r>
        <w:t xml:space="preserve"> </w:t>
      </w:r>
      <w:r>
        <w:rPr>
          <w:i/>
        </w:rPr>
        <w:t xml:space="preserve">The Rights of Persons with Disabilities </w:t>
      </w:r>
      <w:proofErr w:type="gramStart"/>
      <w:r>
        <w:rPr>
          <w:i/>
        </w:rPr>
        <w:t>Act</w:t>
      </w:r>
      <w:r>
        <w:t>,</w:t>
      </w:r>
      <w:proofErr w:type="gramEnd"/>
      <w:r>
        <w:t xml:space="preserve"> </w:t>
      </w:r>
      <w:r>
        <w:rPr>
          <w:i/>
        </w:rPr>
        <w:t xml:space="preserve">supra </w:t>
      </w:r>
      <w:r>
        <w:t xml:space="preserve">note </w:t>
      </w:r>
      <w:r>
        <w:fldChar w:fldCharType="begin"/>
      </w:r>
      <w:r>
        <w:instrText xml:space="preserve"> NOTEREF _Ref15298320 \h </w:instrText>
      </w:r>
      <w:r>
        <w:fldChar w:fldCharType="separate"/>
      </w:r>
      <w:r>
        <w:t>211</w:t>
      </w:r>
      <w:r>
        <w:fldChar w:fldCharType="end"/>
      </w:r>
      <w:r>
        <w:t>, art 15(2).</w:t>
      </w:r>
    </w:p>
  </w:footnote>
  <w:footnote w:id="981">
    <w:p w14:paraId="4D5A49DB" w14:textId="40732362" w:rsidR="002774A4" w:rsidRPr="00A83FD7" w:rsidRDefault="002774A4">
      <w:pPr>
        <w:pStyle w:val="FootnoteText"/>
        <w:rPr>
          <w:lang w:val="es-419"/>
        </w:rPr>
      </w:pPr>
      <w:r>
        <w:rPr>
          <w:rStyle w:val="FootnoteReference"/>
        </w:rPr>
        <w:footnoteRef/>
      </w:r>
      <w:r w:rsidRPr="00A83FD7">
        <w:rPr>
          <w:lang w:val="es-419"/>
        </w:rPr>
        <w:t xml:space="preserve"> </w:t>
      </w:r>
      <w:proofErr w:type="spellStart"/>
      <w:r w:rsidRPr="00A83FD7">
        <w:rPr>
          <w:lang w:val="es-419"/>
        </w:rPr>
        <w:t>Devandas</w:t>
      </w:r>
      <w:proofErr w:type="spellEnd"/>
      <w:r w:rsidRPr="00A83FD7">
        <w:rPr>
          <w:lang w:val="es-419"/>
        </w:rPr>
        <w:t xml:space="preserve"> Aguilar, </w:t>
      </w:r>
      <w:r w:rsidRPr="00A83FD7">
        <w:rPr>
          <w:i/>
          <w:lang w:val="es-419"/>
        </w:rPr>
        <w:t xml:space="preserve">supra </w:t>
      </w:r>
      <w:r w:rsidRPr="00A83FD7">
        <w:rPr>
          <w:lang w:val="es-419"/>
        </w:rPr>
        <w:t xml:space="preserve">note </w:t>
      </w:r>
      <w:r>
        <w:fldChar w:fldCharType="begin"/>
      </w:r>
      <w:r w:rsidRPr="00A83FD7">
        <w:rPr>
          <w:lang w:val="es-419"/>
        </w:rPr>
        <w:instrText xml:space="preserve"> NOTEREF _Ref15295121 \h </w:instrText>
      </w:r>
      <w:r>
        <w:fldChar w:fldCharType="separate"/>
      </w:r>
      <w:r w:rsidRPr="00A83FD7">
        <w:rPr>
          <w:lang w:val="es-419"/>
        </w:rPr>
        <w:t>8</w:t>
      </w:r>
      <w:r>
        <w:fldChar w:fldCharType="end"/>
      </w:r>
      <w:r w:rsidRPr="00A83FD7">
        <w:rPr>
          <w:lang w:val="es-419"/>
        </w:rPr>
        <w:t xml:space="preserve"> at para 55.</w:t>
      </w:r>
    </w:p>
  </w:footnote>
  <w:footnote w:id="982">
    <w:p w14:paraId="58461811" w14:textId="3F5F2701" w:rsidR="002774A4" w:rsidRPr="000531B2" w:rsidRDefault="002774A4">
      <w:pPr>
        <w:pStyle w:val="FootnoteText"/>
      </w:pPr>
      <w:r>
        <w:rPr>
          <w:rStyle w:val="FootnoteReference"/>
        </w:rPr>
        <w:footnoteRef/>
      </w:r>
      <w:r>
        <w:t xml:space="preserve"> </w:t>
      </w:r>
      <w:r w:rsidRPr="00A550A1">
        <w:rPr>
          <w:color w:val="000000" w:themeColor="text1"/>
        </w:rPr>
        <w:t xml:space="preserve">Committee on the Rights of Persons with Disabilities, </w:t>
      </w:r>
      <w:r>
        <w:t xml:space="preserve">“General comment No.1,” </w:t>
      </w:r>
      <w:r>
        <w:rPr>
          <w:i/>
        </w:rPr>
        <w:t xml:space="preserve">supra </w:t>
      </w:r>
      <w:r>
        <w:t xml:space="preserve">note </w:t>
      </w:r>
      <w:r>
        <w:fldChar w:fldCharType="begin"/>
      </w:r>
      <w:r>
        <w:instrText xml:space="preserve"> NOTEREF _Ref15295251 \h </w:instrText>
      </w:r>
      <w:r>
        <w:fldChar w:fldCharType="separate"/>
      </w:r>
      <w:proofErr w:type="gramStart"/>
      <w:r>
        <w:t>7</w:t>
      </w:r>
      <w:proofErr w:type="gramEnd"/>
      <w:r>
        <w:fldChar w:fldCharType="end"/>
      </w:r>
      <w:r>
        <w:t xml:space="preserve"> at para 18.</w:t>
      </w:r>
    </w:p>
  </w:footnote>
  <w:footnote w:id="983">
    <w:p w14:paraId="65C9A475" w14:textId="761209C9" w:rsidR="002774A4" w:rsidRPr="008A7718" w:rsidRDefault="002774A4">
      <w:pPr>
        <w:pStyle w:val="FootnoteText"/>
      </w:pPr>
      <w:r>
        <w:rPr>
          <w:rStyle w:val="FootnoteReference"/>
        </w:rPr>
        <w:footnoteRef/>
      </w:r>
      <w:r>
        <w:t xml:space="preserve"> </w:t>
      </w:r>
      <w:r>
        <w:rPr>
          <w:i/>
        </w:rPr>
        <w:t xml:space="preserve">Peruvian Civil Code, supra </w:t>
      </w:r>
      <w:r>
        <w:t xml:space="preserve">note </w:t>
      </w:r>
      <w:r>
        <w:fldChar w:fldCharType="begin"/>
      </w:r>
      <w:r>
        <w:instrText xml:space="preserve"> NOTEREF _Ref15295350 \h </w:instrText>
      </w:r>
      <w:r>
        <w:fldChar w:fldCharType="separate"/>
      </w:r>
      <w:r>
        <w:t>18</w:t>
      </w:r>
      <w:r>
        <w:fldChar w:fldCharType="end"/>
      </w:r>
      <w:r>
        <w:t>, art 659-C.</w:t>
      </w:r>
    </w:p>
  </w:footnote>
  <w:footnote w:id="984">
    <w:p w14:paraId="5E476FFE" w14:textId="1B083D64" w:rsidR="002774A4" w:rsidRPr="00B22962" w:rsidRDefault="002774A4">
      <w:pPr>
        <w:pStyle w:val="FootnoteText"/>
      </w:pPr>
      <w:r>
        <w:rPr>
          <w:rStyle w:val="FootnoteReference"/>
        </w:rPr>
        <w:footnoteRef/>
      </w:r>
      <w:r>
        <w:t xml:space="preserve"> </w:t>
      </w:r>
      <w:r w:rsidRPr="00836AF5">
        <w:rPr>
          <w:i/>
        </w:rPr>
        <w:t>Argentina Civil and Commercial Code</w:t>
      </w:r>
      <w:r>
        <w:rPr>
          <w:i/>
        </w:rPr>
        <w:t xml:space="preserve">, supra </w:t>
      </w:r>
      <w:r>
        <w:t xml:space="preserve">note </w:t>
      </w:r>
      <w:r>
        <w:fldChar w:fldCharType="begin"/>
      </w:r>
      <w:r>
        <w:instrText xml:space="preserve"> NOTEREF _Ref15297830 \h </w:instrText>
      </w:r>
      <w:r>
        <w:fldChar w:fldCharType="separate"/>
      </w:r>
      <w:r>
        <w:t>118</w:t>
      </w:r>
      <w:r>
        <w:fldChar w:fldCharType="end"/>
      </w:r>
      <w:r>
        <w:t>, art 32.</w:t>
      </w:r>
    </w:p>
  </w:footnote>
  <w:footnote w:id="985">
    <w:p w14:paraId="18EE6615" w14:textId="7F929689" w:rsidR="002774A4" w:rsidRPr="00D36E86" w:rsidRDefault="002774A4">
      <w:pPr>
        <w:pStyle w:val="FootnoteText"/>
        <w:rPr>
          <w:i/>
        </w:rPr>
      </w:pPr>
      <w:r>
        <w:rPr>
          <w:rStyle w:val="FootnoteReference"/>
        </w:rPr>
        <w:footnoteRef/>
      </w:r>
      <w:r>
        <w:t xml:space="preserve"> </w:t>
      </w:r>
      <w:r>
        <w:rPr>
          <w:i/>
        </w:rPr>
        <w:t xml:space="preserve">Bill 236/19, supra </w:t>
      </w:r>
      <w:r>
        <w:t>note</w:t>
      </w:r>
      <w:r w:rsidRPr="00B364AE">
        <w:t xml:space="preserve"> </w:t>
      </w:r>
      <w:r w:rsidRPr="00B364AE">
        <w:fldChar w:fldCharType="begin"/>
      </w:r>
      <w:r w:rsidRPr="00B364AE">
        <w:instrText xml:space="preserve"> NOTEREF _Ref15651965 \h </w:instrText>
      </w:r>
      <w:r>
        <w:instrText xml:space="preserve"> \* MERGEFORMAT </w:instrText>
      </w:r>
      <w:r w:rsidRPr="00B364AE">
        <w:fldChar w:fldCharType="separate"/>
      </w:r>
      <w:r w:rsidRPr="00B364AE">
        <w:t>150</w:t>
      </w:r>
      <w:r w:rsidRPr="00B364AE">
        <w:fldChar w:fldCharType="end"/>
      </w:r>
      <w:r>
        <w:t>, art 15.</w:t>
      </w:r>
    </w:p>
  </w:footnote>
  <w:footnote w:id="986">
    <w:p w14:paraId="53D8A0E8" w14:textId="30D36855" w:rsidR="002774A4" w:rsidRPr="003D10FA" w:rsidRDefault="002774A4">
      <w:pPr>
        <w:pStyle w:val="FootnoteText"/>
      </w:pPr>
      <w:r>
        <w:rPr>
          <w:rStyle w:val="FootnoteReference"/>
        </w:rPr>
        <w:footnoteRef/>
      </w:r>
      <w:r>
        <w:t xml:space="preserve"> </w:t>
      </w:r>
      <w:r>
        <w:rPr>
          <w:i/>
        </w:rPr>
        <w:t xml:space="preserve">Ibid, </w:t>
      </w:r>
      <w:r>
        <w:t xml:space="preserve">art </w:t>
      </w:r>
      <w:proofErr w:type="gramStart"/>
      <w:r>
        <w:t>12.</w:t>
      </w:r>
      <w:proofErr w:type="gramEnd"/>
    </w:p>
  </w:footnote>
  <w:footnote w:id="987">
    <w:p w14:paraId="15FC548C" w14:textId="6133CE53" w:rsidR="002774A4" w:rsidRPr="000F5ABB" w:rsidRDefault="002774A4">
      <w:pPr>
        <w:pStyle w:val="FootnoteText"/>
      </w:pPr>
      <w:r>
        <w:rPr>
          <w:rStyle w:val="FootnoteReference"/>
        </w:rPr>
        <w:footnoteRef/>
      </w:r>
      <w:r>
        <w:rPr>
          <w:color w:val="000000" w:themeColor="text1"/>
        </w:rPr>
        <w:t xml:space="preserve"> </w:t>
      </w:r>
      <w:r w:rsidRPr="00A550A1">
        <w:rPr>
          <w:color w:val="000000" w:themeColor="text1"/>
        </w:rPr>
        <w:t xml:space="preserve">Committee on the Rights of Persons with Disabilities, </w:t>
      </w:r>
      <w:r>
        <w:t xml:space="preserve">“General comment No.1,” </w:t>
      </w:r>
      <w:r w:rsidRPr="00A550A1">
        <w:rPr>
          <w:i/>
          <w:color w:val="000000" w:themeColor="text1"/>
        </w:rPr>
        <w:t xml:space="preserve">supra </w:t>
      </w:r>
      <w:r w:rsidRPr="00A550A1">
        <w:rPr>
          <w:color w:val="000000" w:themeColor="text1"/>
        </w:rPr>
        <w:t xml:space="preserve">note </w:t>
      </w:r>
      <w:r>
        <w:rPr>
          <w:color w:val="000000" w:themeColor="text1"/>
        </w:rPr>
        <w:fldChar w:fldCharType="begin"/>
      </w:r>
      <w:r>
        <w:rPr>
          <w:color w:val="000000" w:themeColor="text1"/>
        </w:rPr>
        <w:instrText xml:space="preserve"> NOTEREF _Ref15295251 \h </w:instrText>
      </w:r>
      <w:r>
        <w:rPr>
          <w:color w:val="000000" w:themeColor="text1"/>
        </w:rPr>
      </w:r>
      <w:r>
        <w:rPr>
          <w:color w:val="000000" w:themeColor="text1"/>
        </w:rPr>
        <w:fldChar w:fldCharType="separate"/>
      </w:r>
      <w:proofErr w:type="gramStart"/>
      <w:r>
        <w:rPr>
          <w:color w:val="000000" w:themeColor="text1"/>
        </w:rPr>
        <w:t>7</w:t>
      </w:r>
      <w:proofErr w:type="gramEnd"/>
      <w:r>
        <w:rPr>
          <w:color w:val="000000" w:themeColor="text1"/>
        </w:rPr>
        <w:fldChar w:fldCharType="end"/>
      </w:r>
      <w:r>
        <w:rPr>
          <w:color w:val="000000" w:themeColor="text1"/>
        </w:rPr>
        <w:t xml:space="preserve"> at</w:t>
      </w:r>
      <w:r>
        <w:t xml:space="preserve"> para 17.</w:t>
      </w:r>
    </w:p>
  </w:footnote>
  <w:footnote w:id="988">
    <w:p w14:paraId="3AF00D39" w14:textId="74C1A26F" w:rsidR="002774A4" w:rsidRDefault="002774A4">
      <w:pPr>
        <w:pStyle w:val="FootnoteText"/>
      </w:pPr>
      <w:r>
        <w:rPr>
          <w:rStyle w:val="FootnoteReference"/>
        </w:rPr>
        <w:footnoteRef/>
      </w:r>
      <w:r>
        <w:t xml:space="preserve"> E.g. Costa Rica, Argentina, Israel, Georgia, Victoria.</w:t>
      </w:r>
    </w:p>
  </w:footnote>
  <w:footnote w:id="989">
    <w:p w14:paraId="409E100F" w14:textId="22239C9D" w:rsidR="002774A4" w:rsidRPr="0070002A" w:rsidRDefault="002774A4">
      <w:pPr>
        <w:pStyle w:val="FootnoteText"/>
      </w:pPr>
      <w:r>
        <w:rPr>
          <w:rStyle w:val="FootnoteReference"/>
        </w:rPr>
        <w:footnoteRef/>
      </w:r>
      <w:r>
        <w:t xml:space="preserve"> </w:t>
      </w:r>
      <w:r w:rsidRPr="00A550A1">
        <w:rPr>
          <w:color w:val="000000" w:themeColor="text1"/>
        </w:rPr>
        <w:t xml:space="preserve">Committee on the Rights of Persons with Disabilities, </w:t>
      </w:r>
      <w:r>
        <w:t xml:space="preserve">“General comment No.1,” </w:t>
      </w:r>
      <w:r w:rsidRPr="00A550A1">
        <w:rPr>
          <w:i/>
          <w:color w:val="000000" w:themeColor="text1"/>
        </w:rPr>
        <w:t xml:space="preserve">supra </w:t>
      </w:r>
      <w:r w:rsidRPr="00A550A1">
        <w:rPr>
          <w:color w:val="000000" w:themeColor="text1"/>
        </w:rPr>
        <w:t>note</w:t>
      </w:r>
      <w:r>
        <w:rPr>
          <w:color w:val="000000" w:themeColor="text1"/>
        </w:rPr>
        <w:t xml:space="preserve"> </w:t>
      </w:r>
      <w:r>
        <w:rPr>
          <w:color w:val="000000" w:themeColor="text1"/>
        </w:rPr>
        <w:fldChar w:fldCharType="begin"/>
      </w:r>
      <w:r>
        <w:rPr>
          <w:color w:val="000000" w:themeColor="text1"/>
        </w:rPr>
        <w:instrText xml:space="preserve"> NOTEREF _Ref15295251 \h </w:instrText>
      </w:r>
      <w:r>
        <w:rPr>
          <w:color w:val="000000" w:themeColor="text1"/>
        </w:rPr>
      </w:r>
      <w:r>
        <w:rPr>
          <w:color w:val="000000" w:themeColor="text1"/>
        </w:rPr>
        <w:fldChar w:fldCharType="separate"/>
      </w:r>
      <w:proofErr w:type="gramStart"/>
      <w:r>
        <w:rPr>
          <w:color w:val="000000" w:themeColor="text1"/>
        </w:rPr>
        <w:t>7</w:t>
      </w:r>
      <w:proofErr w:type="gramEnd"/>
      <w:r>
        <w:rPr>
          <w:color w:val="000000" w:themeColor="text1"/>
        </w:rPr>
        <w:fldChar w:fldCharType="end"/>
      </w:r>
      <w:r>
        <w:rPr>
          <w:color w:val="000000" w:themeColor="text1"/>
        </w:rPr>
        <w:t xml:space="preserve"> at para 17</w:t>
      </w:r>
      <w:r>
        <w:t>.</w:t>
      </w:r>
    </w:p>
  </w:footnote>
  <w:footnote w:id="990">
    <w:p w14:paraId="28B7FA33" w14:textId="677A22A5" w:rsidR="002774A4" w:rsidRDefault="002774A4">
      <w:pPr>
        <w:pStyle w:val="FootnoteText"/>
      </w:pPr>
      <w:r>
        <w:rPr>
          <w:rStyle w:val="FootnoteReference"/>
        </w:rPr>
        <w:footnoteRef/>
      </w:r>
      <w:r>
        <w:t xml:space="preserve"> E.g. Israel, Latvia, Ireland, Austria. </w:t>
      </w:r>
    </w:p>
  </w:footnote>
  <w:footnote w:id="991">
    <w:p w14:paraId="47C55A66" w14:textId="538FFC51" w:rsidR="002774A4" w:rsidRDefault="002774A4">
      <w:pPr>
        <w:pStyle w:val="FootnoteText"/>
      </w:pPr>
      <w:r>
        <w:rPr>
          <w:rStyle w:val="FootnoteReference"/>
        </w:rPr>
        <w:footnoteRef/>
      </w:r>
      <w:r>
        <w:t xml:space="preserve"> E.g. Lithuania, Hungary, Czech Republic.</w:t>
      </w:r>
    </w:p>
  </w:footnote>
  <w:footnote w:id="992">
    <w:p w14:paraId="18F88791" w14:textId="7BB54E7F" w:rsidR="002774A4" w:rsidRPr="001700F9" w:rsidRDefault="002774A4">
      <w:pPr>
        <w:pStyle w:val="FootnoteText"/>
      </w:pPr>
      <w:r>
        <w:rPr>
          <w:rStyle w:val="FootnoteReference"/>
        </w:rPr>
        <w:footnoteRef/>
      </w:r>
      <w:r>
        <w:t xml:space="preserve"> See </w:t>
      </w:r>
      <w:r w:rsidRPr="00A550A1">
        <w:rPr>
          <w:color w:val="000000" w:themeColor="text1"/>
        </w:rPr>
        <w:t xml:space="preserve">Committee on the Rights of Persons with Disabilities, </w:t>
      </w:r>
      <w:r>
        <w:t xml:space="preserve">“General comment No.1,” </w:t>
      </w:r>
      <w:r w:rsidRPr="00A550A1">
        <w:rPr>
          <w:i/>
          <w:color w:val="000000" w:themeColor="text1"/>
        </w:rPr>
        <w:t xml:space="preserve">supra </w:t>
      </w:r>
      <w:r w:rsidRPr="00A550A1">
        <w:rPr>
          <w:color w:val="000000" w:themeColor="text1"/>
        </w:rPr>
        <w:t xml:space="preserve">note </w:t>
      </w:r>
      <w:r>
        <w:rPr>
          <w:color w:val="000000" w:themeColor="text1"/>
        </w:rPr>
        <w:fldChar w:fldCharType="begin"/>
      </w:r>
      <w:r>
        <w:rPr>
          <w:color w:val="000000" w:themeColor="text1"/>
        </w:rPr>
        <w:instrText xml:space="preserve"> NOTEREF _Ref15295251 \h </w:instrText>
      </w:r>
      <w:r>
        <w:rPr>
          <w:color w:val="000000" w:themeColor="text1"/>
        </w:rPr>
      </w:r>
      <w:r>
        <w:rPr>
          <w:color w:val="000000" w:themeColor="text1"/>
        </w:rPr>
        <w:fldChar w:fldCharType="separate"/>
      </w:r>
      <w:proofErr w:type="gramStart"/>
      <w:r>
        <w:rPr>
          <w:color w:val="000000" w:themeColor="text1"/>
        </w:rPr>
        <w:t>7</w:t>
      </w:r>
      <w:proofErr w:type="gramEnd"/>
      <w:r>
        <w:rPr>
          <w:color w:val="000000" w:themeColor="text1"/>
        </w:rPr>
        <w:fldChar w:fldCharType="end"/>
      </w:r>
      <w:r>
        <w:rPr>
          <w:color w:val="000000" w:themeColor="text1"/>
        </w:rPr>
        <w:t xml:space="preserve"> at</w:t>
      </w:r>
      <w:r>
        <w:t xml:space="preserve"> para 17.</w:t>
      </w:r>
    </w:p>
  </w:footnote>
  <w:footnote w:id="993">
    <w:p w14:paraId="36CF51FF" w14:textId="5DC384CB" w:rsidR="002774A4" w:rsidRPr="000555F3" w:rsidRDefault="002774A4">
      <w:pPr>
        <w:pStyle w:val="FootnoteText"/>
      </w:pPr>
      <w:r>
        <w:rPr>
          <w:rStyle w:val="FootnoteReference"/>
        </w:rPr>
        <w:footnoteRef/>
      </w:r>
      <w:r>
        <w:t xml:space="preserve"> “Protection </w:t>
      </w:r>
      <w:proofErr w:type="spellStart"/>
      <w:r>
        <w:t>extrajudiciare</w:t>
      </w:r>
      <w:proofErr w:type="spellEnd"/>
      <w:r>
        <w:t xml:space="preserve">: le </w:t>
      </w:r>
      <w:proofErr w:type="spellStart"/>
      <w:r>
        <w:t>mandat</w:t>
      </w:r>
      <w:proofErr w:type="spellEnd"/>
      <w:r>
        <w:t xml:space="preserve">,” </w:t>
      </w:r>
      <w:r>
        <w:rPr>
          <w:i/>
        </w:rPr>
        <w:t xml:space="preserve">supra </w:t>
      </w:r>
      <w:r>
        <w:t xml:space="preserve">note </w:t>
      </w:r>
      <w:r>
        <w:fldChar w:fldCharType="begin"/>
      </w:r>
      <w:r>
        <w:instrText xml:space="preserve"> NOTEREF _Ref15305646 \h </w:instrText>
      </w:r>
      <w:r>
        <w:fldChar w:fldCharType="separate"/>
      </w:r>
      <w:r>
        <w:t>735</w:t>
      </w:r>
      <w:r>
        <w:fldChar w:fldCharType="end"/>
      </w:r>
      <w:r>
        <w:t>.</w:t>
      </w:r>
    </w:p>
  </w:footnote>
  <w:footnote w:id="994">
    <w:p w14:paraId="77C61FBD" w14:textId="0361299F" w:rsidR="002774A4" w:rsidRPr="00CE5C52" w:rsidRDefault="002774A4">
      <w:pPr>
        <w:pStyle w:val="FootnoteText"/>
      </w:pPr>
      <w:r>
        <w:rPr>
          <w:rStyle w:val="FootnoteReference"/>
        </w:rPr>
        <w:footnoteRef/>
      </w:r>
      <w:r>
        <w:t xml:space="preserve"> </w:t>
      </w:r>
      <w:r>
        <w:rPr>
          <w:i/>
        </w:rPr>
        <w:t xml:space="preserve">Peruvian Civil Code, supra </w:t>
      </w:r>
      <w:r>
        <w:t xml:space="preserve">note </w:t>
      </w:r>
      <w:r>
        <w:fldChar w:fldCharType="begin"/>
      </w:r>
      <w:r>
        <w:instrText xml:space="preserve"> NOTEREF _Ref15295350 \h </w:instrText>
      </w:r>
      <w:r>
        <w:fldChar w:fldCharType="separate"/>
      </w:r>
      <w:r>
        <w:t>18</w:t>
      </w:r>
      <w:r>
        <w:fldChar w:fldCharType="end"/>
      </w:r>
      <w:r>
        <w:t xml:space="preserve">, art 659-F; </w:t>
      </w:r>
      <w:r>
        <w:rPr>
          <w:i/>
        </w:rPr>
        <w:t>Bill 236/</w:t>
      </w:r>
      <w:r w:rsidRPr="00CE5C52">
        <w:rPr>
          <w:i/>
        </w:rPr>
        <w:t xml:space="preserve">19, supra </w:t>
      </w:r>
      <w:r w:rsidRPr="00CE5C52">
        <w:t xml:space="preserve">note </w:t>
      </w:r>
      <w:r w:rsidRPr="00CE5C52">
        <w:fldChar w:fldCharType="begin"/>
      </w:r>
      <w:r w:rsidRPr="00CE5C52">
        <w:instrText xml:space="preserve"> NOTEREF _Ref15651965 \h </w:instrText>
      </w:r>
      <w:r>
        <w:instrText xml:space="preserve"> \* MERGEFORMAT </w:instrText>
      </w:r>
      <w:r w:rsidRPr="00CE5C52">
        <w:fldChar w:fldCharType="separate"/>
      </w:r>
      <w:r w:rsidRPr="00CE5C52">
        <w:t>150</w:t>
      </w:r>
      <w:r w:rsidRPr="00CE5C52">
        <w:fldChar w:fldCharType="end"/>
      </w:r>
      <w:r w:rsidRPr="00CE5C52">
        <w:t>, arts 3(9) &amp; 33.</w:t>
      </w:r>
    </w:p>
  </w:footnote>
  <w:footnote w:id="995">
    <w:p w14:paraId="15F725B2" w14:textId="60FA0C5B" w:rsidR="002774A4" w:rsidRDefault="002774A4">
      <w:pPr>
        <w:pStyle w:val="FootnoteText"/>
      </w:pPr>
      <w:r w:rsidRPr="00CE5C52">
        <w:rPr>
          <w:rStyle w:val="FootnoteReference"/>
        </w:rPr>
        <w:footnoteRef/>
      </w:r>
      <w:r w:rsidRPr="00CE5C52">
        <w:t xml:space="preserve"> E.g. Czech Republic, Lithuania, Hungary, Israel, Latvia, Ireland.</w:t>
      </w:r>
      <w:r>
        <w:t xml:space="preserve"> </w:t>
      </w:r>
    </w:p>
  </w:footnote>
  <w:footnote w:id="996">
    <w:p w14:paraId="73158EEC" w14:textId="12D49F76" w:rsidR="002774A4" w:rsidRPr="0028474E" w:rsidRDefault="002774A4">
      <w:pPr>
        <w:pStyle w:val="FootnoteText"/>
      </w:pPr>
      <w:r>
        <w:rPr>
          <w:rStyle w:val="FootnoteReference"/>
        </w:rPr>
        <w:footnoteRef/>
      </w:r>
      <w:r>
        <w:t xml:space="preserve"> See </w:t>
      </w:r>
      <w:r>
        <w:rPr>
          <w:i/>
        </w:rPr>
        <w:t xml:space="preserve">Powers of Attorney </w:t>
      </w:r>
      <w:proofErr w:type="gramStart"/>
      <w:r>
        <w:rPr>
          <w:i/>
        </w:rPr>
        <w:t>Act,</w:t>
      </w:r>
      <w:proofErr w:type="gramEnd"/>
      <w:r>
        <w:rPr>
          <w:i/>
        </w:rPr>
        <w:t xml:space="preserve"> supra </w:t>
      </w:r>
      <w:r>
        <w:t xml:space="preserve">note </w:t>
      </w:r>
      <w:r>
        <w:fldChar w:fldCharType="begin"/>
      </w:r>
      <w:r>
        <w:instrText xml:space="preserve"> NOTEREF _Ref15310166 \h </w:instrText>
      </w:r>
      <w:r>
        <w:fldChar w:fldCharType="separate"/>
      </w:r>
      <w:r>
        <w:t>894</w:t>
      </w:r>
      <w:r>
        <w:fldChar w:fldCharType="end"/>
      </w:r>
      <w:r>
        <w:t xml:space="preserve">, </w:t>
      </w:r>
      <w:proofErr w:type="spellStart"/>
      <w:r>
        <w:t>ss</w:t>
      </w:r>
      <w:proofErr w:type="spellEnd"/>
      <w:r>
        <w:t xml:space="preserve"> 85-89.</w:t>
      </w:r>
    </w:p>
  </w:footnote>
  <w:footnote w:id="997">
    <w:p w14:paraId="623B8A25" w14:textId="04984E8E" w:rsidR="002774A4" w:rsidRDefault="002774A4">
      <w:pPr>
        <w:pStyle w:val="FootnoteText"/>
      </w:pPr>
      <w:r>
        <w:rPr>
          <w:rStyle w:val="FootnoteReference"/>
        </w:rPr>
        <w:footnoteRef/>
      </w:r>
      <w:r>
        <w:t xml:space="preserve"> </w:t>
      </w:r>
      <w:r>
        <w:rPr>
          <w:i/>
        </w:rPr>
        <w:t xml:space="preserve">Peruvian Civil Code, supra </w:t>
      </w:r>
      <w:r>
        <w:t xml:space="preserve">note </w:t>
      </w:r>
      <w:r>
        <w:fldChar w:fldCharType="begin"/>
      </w:r>
      <w:r>
        <w:instrText xml:space="preserve"> NOTEREF _Ref15295350 \h </w:instrText>
      </w:r>
      <w:r>
        <w:fldChar w:fldCharType="separate"/>
      </w:r>
      <w:r>
        <w:t>18</w:t>
      </w:r>
      <w:r>
        <w:fldChar w:fldCharType="end"/>
      </w:r>
      <w:r>
        <w:t>, art 659-F.</w:t>
      </w:r>
    </w:p>
  </w:footnote>
  <w:footnote w:id="998">
    <w:p w14:paraId="1BD16BB5" w14:textId="67E291C2" w:rsidR="002774A4" w:rsidRPr="008E72AF" w:rsidRDefault="002774A4">
      <w:pPr>
        <w:pStyle w:val="FootnoteText"/>
      </w:pPr>
      <w:r>
        <w:rPr>
          <w:rStyle w:val="FootnoteReference"/>
        </w:rPr>
        <w:footnoteRef/>
      </w:r>
      <w:r>
        <w:t xml:space="preserve"> </w:t>
      </w:r>
      <w:r>
        <w:rPr>
          <w:i/>
        </w:rPr>
        <w:t xml:space="preserve">Bill 236/19, supra </w:t>
      </w:r>
      <w:r>
        <w:t xml:space="preserve">note </w:t>
      </w:r>
      <w:r>
        <w:fldChar w:fldCharType="begin"/>
      </w:r>
      <w:r>
        <w:instrText xml:space="preserve"> NOTEREF _Ref15651965 \h </w:instrText>
      </w:r>
      <w:r>
        <w:fldChar w:fldCharType="separate"/>
      </w:r>
      <w:r>
        <w:t>150</w:t>
      </w:r>
      <w:r>
        <w:fldChar w:fldCharType="end"/>
      </w:r>
      <w:r>
        <w:t>, art 33.</w:t>
      </w:r>
    </w:p>
  </w:footnote>
  <w:footnote w:id="999">
    <w:p w14:paraId="35893432" w14:textId="0B0DC663" w:rsidR="002774A4" w:rsidRDefault="002774A4">
      <w:pPr>
        <w:pStyle w:val="FootnoteText"/>
      </w:pPr>
      <w:r>
        <w:rPr>
          <w:rStyle w:val="FootnoteReference"/>
        </w:rPr>
        <w:footnoteRef/>
      </w:r>
      <w:r>
        <w:t xml:space="preserve"> </w:t>
      </w:r>
      <w:r>
        <w:rPr>
          <w:i/>
        </w:rPr>
        <w:t>Ibid</w:t>
      </w:r>
      <w:r>
        <w:t>, art 659-</w:t>
      </w:r>
      <w:proofErr w:type="gramStart"/>
      <w:r>
        <w:t>D.</w:t>
      </w:r>
      <w:proofErr w:type="gramEnd"/>
    </w:p>
  </w:footnote>
  <w:footnote w:id="1000">
    <w:p w14:paraId="4734AC3C" w14:textId="7410A8B7" w:rsidR="002774A4" w:rsidRPr="005D7EF8" w:rsidRDefault="002774A4" w:rsidP="002C7F9A">
      <w:pPr>
        <w:pStyle w:val="FootnoteText"/>
      </w:pPr>
      <w:r>
        <w:rPr>
          <w:rStyle w:val="FootnoteReference"/>
        </w:rPr>
        <w:footnoteRef/>
      </w:r>
      <w:r>
        <w:t xml:space="preserve"> E.g. Colombia, Czech Republic, Lithuania, Ireland, Austria, Belgium, British Columbia, Texas.</w:t>
      </w:r>
    </w:p>
  </w:footnote>
  <w:footnote w:id="1001">
    <w:p w14:paraId="40A7DB8C" w14:textId="3CAFC5CE" w:rsidR="002774A4" w:rsidRDefault="002774A4">
      <w:pPr>
        <w:pStyle w:val="FootnoteText"/>
      </w:pPr>
      <w:r>
        <w:rPr>
          <w:rStyle w:val="FootnoteReference"/>
        </w:rPr>
        <w:footnoteRef/>
      </w:r>
      <w:r>
        <w:t xml:space="preserve"> E.g. Czech Republic, Ireland (co-decision-making).</w:t>
      </w:r>
    </w:p>
  </w:footnote>
  <w:footnote w:id="1002">
    <w:p w14:paraId="0940F856" w14:textId="437124D7" w:rsidR="002774A4" w:rsidRPr="00A83FD7" w:rsidRDefault="002774A4">
      <w:pPr>
        <w:pStyle w:val="FootnoteText"/>
        <w:rPr>
          <w:lang w:val="es-419"/>
        </w:rPr>
      </w:pPr>
      <w:r>
        <w:rPr>
          <w:rStyle w:val="FootnoteReference"/>
        </w:rPr>
        <w:footnoteRef/>
      </w:r>
      <w:r w:rsidRPr="00A83FD7">
        <w:rPr>
          <w:lang w:val="es-419"/>
        </w:rPr>
        <w:t xml:space="preserve"> </w:t>
      </w:r>
      <w:proofErr w:type="spellStart"/>
      <w:r w:rsidRPr="00A83FD7">
        <w:rPr>
          <w:lang w:val="es-419"/>
        </w:rPr>
        <w:t>E.g</w:t>
      </w:r>
      <w:proofErr w:type="spellEnd"/>
      <w:r w:rsidRPr="00A83FD7">
        <w:rPr>
          <w:lang w:val="es-419"/>
        </w:rPr>
        <w:t xml:space="preserve">. Costa Rica, Argentina, Colombia, Israel, Georgia, </w:t>
      </w:r>
      <w:proofErr w:type="spellStart"/>
      <w:r w:rsidRPr="00A83FD7">
        <w:rPr>
          <w:lang w:val="es-419"/>
        </w:rPr>
        <w:t>Hungary</w:t>
      </w:r>
      <w:proofErr w:type="spellEnd"/>
      <w:r w:rsidRPr="00A83FD7">
        <w:rPr>
          <w:lang w:val="es-419"/>
        </w:rPr>
        <w:t>, Victoria.</w:t>
      </w:r>
    </w:p>
  </w:footnote>
  <w:footnote w:id="1003">
    <w:p w14:paraId="0B4EFE6A" w14:textId="0F3FA911" w:rsidR="002774A4" w:rsidRDefault="002774A4">
      <w:pPr>
        <w:pStyle w:val="FootnoteText"/>
      </w:pPr>
      <w:r>
        <w:rPr>
          <w:rStyle w:val="FootnoteReference"/>
        </w:rPr>
        <w:footnoteRef/>
      </w:r>
      <w:r>
        <w:t xml:space="preserve"> E.g. Costa Rica, Georgia, Hungary, Belgium, Victoria. </w:t>
      </w:r>
    </w:p>
  </w:footnote>
  <w:footnote w:id="1004">
    <w:p w14:paraId="005F148B" w14:textId="537EACD8" w:rsidR="002774A4" w:rsidRPr="003A1EB2" w:rsidRDefault="002774A4">
      <w:pPr>
        <w:pStyle w:val="FootnoteText"/>
      </w:pPr>
      <w:r>
        <w:rPr>
          <w:rStyle w:val="FootnoteReference"/>
        </w:rPr>
        <w:footnoteRef/>
      </w:r>
      <w:r>
        <w:t xml:space="preserve"> E.g. Ireland: persons “suitable” to be co-decision-makers limited to relatives or friends who have a relationship of trust with the appointer.</w:t>
      </w:r>
    </w:p>
  </w:footnote>
  <w:footnote w:id="1005">
    <w:p w14:paraId="5CC58AD2" w14:textId="4A8D249E" w:rsidR="002774A4" w:rsidRPr="00B06B91" w:rsidRDefault="002774A4">
      <w:pPr>
        <w:pStyle w:val="FootnoteText"/>
      </w:pPr>
      <w:r>
        <w:rPr>
          <w:rStyle w:val="FootnoteReference"/>
        </w:rPr>
        <w:footnoteRef/>
      </w:r>
      <w:r>
        <w:t xml:space="preserve"> E.g. Costa Rica and Belgium.</w:t>
      </w:r>
    </w:p>
  </w:footnote>
  <w:footnote w:id="1006">
    <w:p w14:paraId="2BED77E5" w14:textId="571A74B3" w:rsidR="002774A4" w:rsidRPr="00A83FD7" w:rsidRDefault="002774A4">
      <w:pPr>
        <w:pStyle w:val="FootnoteText"/>
        <w:rPr>
          <w:lang w:val="es-419"/>
        </w:rPr>
      </w:pPr>
      <w:r>
        <w:rPr>
          <w:rStyle w:val="FootnoteReference"/>
        </w:rPr>
        <w:footnoteRef/>
      </w:r>
      <w:r w:rsidRPr="00A83FD7">
        <w:rPr>
          <w:lang w:val="es-419"/>
        </w:rPr>
        <w:t xml:space="preserve"> </w:t>
      </w:r>
      <w:proofErr w:type="spellStart"/>
      <w:r w:rsidRPr="00A83FD7">
        <w:rPr>
          <w:lang w:val="es-419"/>
        </w:rPr>
        <w:t>Devandas</w:t>
      </w:r>
      <w:proofErr w:type="spellEnd"/>
      <w:r w:rsidRPr="00A83FD7">
        <w:rPr>
          <w:lang w:val="es-419"/>
        </w:rPr>
        <w:t xml:space="preserve"> Aguilar, </w:t>
      </w:r>
      <w:r w:rsidRPr="00A83FD7">
        <w:rPr>
          <w:i/>
          <w:lang w:val="es-419"/>
        </w:rPr>
        <w:t xml:space="preserve">supra </w:t>
      </w:r>
      <w:r w:rsidRPr="00A83FD7">
        <w:rPr>
          <w:lang w:val="es-419"/>
        </w:rPr>
        <w:t xml:space="preserve">note </w:t>
      </w:r>
      <w:r w:rsidRPr="001F1488">
        <w:fldChar w:fldCharType="begin"/>
      </w:r>
      <w:r w:rsidRPr="00A83FD7">
        <w:rPr>
          <w:lang w:val="es-419"/>
        </w:rPr>
        <w:instrText xml:space="preserve"> NOTEREF _Ref15295121 \h  \* MERGEFORMAT </w:instrText>
      </w:r>
      <w:r w:rsidRPr="001F1488">
        <w:fldChar w:fldCharType="separate"/>
      </w:r>
      <w:r w:rsidRPr="00A83FD7">
        <w:rPr>
          <w:lang w:val="es-419"/>
        </w:rPr>
        <w:t>8</w:t>
      </w:r>
      <w:r w:rsidRPr="001F1488">
        <w:fldChar w:fldCharType="end"/>
      </w:r>
      <w:r w:rsidRPr="00A83FD7">
        <w:rPr>
          <w:lang w:val="es-419"/>
        </w:rPr>
        <w:t xml:space="preserve"> at para 57.</w:t>
      </w:r>
    </w:p>
  </w:footnote>
  <w:footnote w:id="1007">
    <w:p w14:paraId="24782268" w14:textId="5E219F60" w:rsidR="002774A4" w:rsidRPr="00A83FD7" w:rsidRDefault="002774A4" w:rsidP="008520F1">
      <w:pPr>
        <w:pStyle w:val="FootnoteText"/>
        <w:rPr>
          <w:lang w:val="es-419"/>
        </w:rPr>
      </w:pPr>
      <w:r w:rsidRPr="001F1488">
        <w:rPr>
          <w:rStyle w:val="FootnoteReference"/>
        </w:rPr>
        <w:footnoteRef/>
      </w:r>
      <w:r w:rsidRPr="00A83FD7">
        <w:rPr>
          <w:lang w:val="es-419"/>
        </w:rPr>
        <w:t xml:space="preserve"> </w:t>
      </w:r>
      <w:proofErr w:type="spellStart"/>
      <w:r w:rsidRPr="00A83FD7">
        <w:rPr>
          <w:lang w:val="es-419"/>
        </w:rPr>
        <w:t>E.g</w:t>
      </w:r>
      <w:proofErr w:type="spellEnd"/>
      <w:r w:rsidRPr="00A83FD7">
        <w:rPr>
          <w:lang w:val="es-419"/>
        </w:rPr>
        <w:t xml:space="preserve">. </w:t>
      </w:r>
      <w:proofErr w:type="spellStart"/>
      <w:r w:rsidRPr="00A83FD7">
        <w:rPr>
          <w:lang w:val="es-419"/>
        </w:rPr>
        <w:t>Hungary</w:t>
      </w:r>
      <w:proofErr w:type="spellEnd"/>
      <w:r w:rsidRPr="00A83FD7">
        <w:rPr>
          <w:lang w:val="es-419"/>
        </w:rPr>
        <w:t>, Colombia.</w:t>
      </w:r>
    </w:p>
  </w:footnote>
  <w:footnote w:id="1008">
    <w:p w14:paraId="7C9D4B07" w14:textId="3D847957" w:rsidR="002774A4" w:rsidRPr="00A83FD7" w:rsidRDefault="002774A4">
      <w:pPr>
        <w:pStyle w:val="FootnoteText"/>
        <w:rPr>
          <w:lang w:val="es-419"/>
        </w:rPr>
      </w:pPr>
      <w:r w:rsidRPr="001F1488">
        <w:rPr>
          <w:rStyle w:val="FootnoteReference"/>
        </w:rPr>
        <w:footnoteRef/>
      </w:r>
      <w:r w:rsidRPr="00A83FD7">
        <w:rPr>
          <w:lang w:val="es-419"/>
        </w:rPr>
        <w:t xml:space="preserve"> HCLU, </w:t>
      </w:r>
      <w:r w:rsidRPr="00A83FD7">
        <w:rPr>
          <w:i/>
          <w:lang w:val="es-419"/>
        </w:rPr>
        <w:t>supra</w:t>
      </w:r>
      <w:r w:rsidRPr="00A83FD7">
        <w:rPr>
          <w:lang w:val="es-419"/>
        </w:rPr>
        <w:t xml:space="preserve"> </w:t>
      </w:r>
      <w:r>
        <w:fldChar w:fldCharType="begin"/>
      </w:r>
      <w:r w:rsidRPr="00A83FD7">
        <w:rPr>
          <w:lang w:val="es-419"/>
        </w:rPr>
        <w:instrText xml:space="preserve"> NOTEREF _Ref15301587 \h </w:instrText>
      </w:r>
      <w:r>
        <w:fldChar w:fldCharType="separate"/>
      </w:r>
      <w:r w:rsidRPr="00A83FD7">
        <w:rPr>
          <w:lang w:val="es-419"/>
        </w:rPr>
        <w:t>582</w:t>
      </w:r>
      <w:r>
        <w:fldChar w:fldCharType="end"/>
      </w:r>
      <w:r w:rsidRPr="001F1488">
        <w:fldChar w:fldCharType="begin"/>
      </w:r>
      <w:r w:rsidRPr="00A83FD7">
        <w:rPr>
          <w:lang w:val="es-419"/>
        </w:rPr>
        <w:instrText xml:space="preserve"> NOTEREF _Ref15301587 \h  \* MERGEFORMAT </w:instrText>
      </w:r>
      <w:r w:rsidRPr="001F1488">
        <w:fldChar w:fldCharType="end"/>
      </w:r>
      <w:r w:rsidRPr="00A83FD7">
        <w:rPr>
          <w:lang w:val="es-419"/>
        </w:rPr>
        <w:t xml:space="preserve"> at 9.</w:t>
      </w:r>
    </w:p>
  </w:footnote>
  <w:footnote w:id="1009">
    <w:p w14:paraId="2E9F07A5" w14:textId="17C4639D" w:rsidR="002774A4" w:rsidRPr="008100AD" w:rsidRDefault="002774A4">
      <w:pPr>
        <w:pStyle w:val="FootnoteText"/>
      </w:pPr>
      <w:r>
        <w:rPr>
          <w:rStyle w:val="FootnoteReference"/>
        </w:rPr>
        <w:footnoteRef/>
      </w:r>
      <w:r>
        <w:t xml:space="preserve"> </w:t>
      </w:r>
      <w:proofErr w:type="spellStart"/>
      <w:r>
        <w:t>Devandas</w:t>
      </w:r>
      <w:proofErr w:type="spellEnd"/>
      <w:r>
        <w:t xml:space="preserve"> Aguilar, </w:t>
      </w:r>
      <w:r>
        <w:rPr>
          <w:i/>
        </w:rPr>
        <w:t xml:space="preserve">supra </w:t>
      </w:r>
      <w:r>
        <w:t xml:space="preserve">note </w:t>
      </w:r>
      <w:r>
        <w:fldChar w:fldCharType="begin"/>
      </w:r>
      <w:r>
        <w:instrText xml:space="preserve"> NOTEREF _Ref15295121 \h </w:instrText>
      </w:r>
      <w:r>
        <w:fldChar w:fldCharType="separate"/>
      </w:r>
      <w:r>
        <w:t>8</w:t>
      </w:r>
      <w:r>
        <w:fldChar w:fldCharType="end"/>
      </w:r>
      <w:r>
        <w:t xml:space="preserve"> at para 57; see </w:t>
      </w:r>
      <w:r w:rsidRPr="00DB07A6">
        <w:t xml:space="preserve">Brenda </w:t>
      </w:r>
      <w:proofErr w:type="spellStart"/>
      <w:r w:rsidRPr="00DB07A6">
        <w:t>Burgen</w:t>
      </w:r>
      <w:proofErr w:type="spellEnd"/>
      <w:r w:rsidRPr="00DB07A6">
        <w:t xml:space="preserve">, </w:t>
      </w:r>
      <w:r>
        <w:t>“</w:t>
      </w:r>
      <w:r w:rsidRPr="00DB07A6">
        <w:t>Reflections on the Victorian Office of the Public Advocate supported decision-making pilot project</w:t>
      </w:r>
      <w:r>
        <w:t>” (2016)</w:t>
      </w:r>
      <w:r w:rsidRPr="00DB07A6">
        <w:t xml:space="preserve"> </w:t>
      </w:r>
      <w:r>
        <w:t xml:space="preserve">3:2 </w:t>
      </w:r>
      <w:r w:rsidRPr="00024B6A">
        <w:rPr>
          <w:i/>
          <w:iCs/>
        </w:rPr>
        <w:t>Research and Practice in Intellectual and Developmental Disabilities</w:t>
      </w:r>
      <w:r>
        <w:t xml:space="preserve"> 165.</w:t>
      </w:r>
    </w:p>
  </w:footnote>
  <w:footnote w:id="1010">
    <w:p w14:paraId="53E866C4" w14:textId="5D16EA46" w:rsidR="002774A4" w:rsidRPr="00A83FD7" w:rsidRDefault="002774A4">
      <w:pPr>
        <w:pStyle w:val="FootnoteText"/>
        <w:rPr>
          <w:lang w:val="es-419"/>
        </w:rPr>
      </w:pPr>
      <w:r>
        <w:rPr>
          <w:rStyle w:val="FootnoteReference"/>
        </w:rPr>
        <w:footnoteRef/>
      </w:r>
      <w:r w:rsidRPr="00A83FD7">
        <w:rPr>
          <w:lang w:val="es-419"/>
        </w:rPr>
        <w:t xml:space="preserve"> </w:t>
      </w:r>
      <w:proofErr w:type="spellStart"/>
      <w:r w:rsidRPr="00A83FD7">
        <w:rPr>
          <w:lang w:val="es-419"/>
        </w:rPr>
        <w:t>Devandas</w:t>
      </w:r>
      <w:proofErr w:type="spellEnd"/>
      <w:r w:rsidRPr="00A83FD7">
        <w:rPr>
          <w:lang w:val="es-419"/>
        </w:rPr>
        <w:t xml:space="preserve"> Aguilar, </w:t>
      </w:r>
      <w:r w:rsidRPr="00A83FD7">
        <w:rPr>
          <w:i/>
          <w:lang w:val="es-419"/>
        </w:rPr>
        <w:t xml:space="preserve">supra </w:t>
      </w:r>
      <w:r w:rsidRPr="00A83FD7">
        <w:rPr>
          <w:lang w:val="es-419"/>
        </w:rPr>
        <w:t xml:space="preserve">note </w:t>
      </w:r>
      <w:r>
        <w:fldChar w:fldCharType="begin"/>
      </w:r>
      <w:r w:rsidRPr="00A83FD7">
        <w:rPr>
          <w:lang w:val="es-419"/>
        </w:rPr>
        <w:instrText xml:space="preserve"> NOTEREF _Ref15295121 \h </w:instrText>
      </w:r>
      <w:r>
        <w:fldChar w:fldCharType="separate"/>
      </w:r>
      <w:r w:rsidRPr="00A83FD7">
        <w:rPr>
          <w:lang w:val="es-419"/>
        </w:rPr>
        <w:t>8</w:t>
      </w:r>
      <w:r>
        <w:fldChar w:fldCharType="end"/>
      </w:r>
      <w:r w:rsidRPr="00A83FD7">
        <w:rPr>
          <w:lang w:val="es-419"/>
        </w:rPr>
        <w:t xml:space="preserve"> at para 57.</w:t>
      </w:r>
    </w:p>
  </w:footnote>
  <w:footnote w:id="1011">
    <w:p w14:paraId="1ED3BEAF" w14:textId="0568CDA2" w:rsidR="002774A4" w:rsidRPr="00045372" w:rsidRDefault="002774A4">
      <w:pPr>
        <w:pStyle w:val="FootnoteText"/>
      </w:pPr>
      <w:r>
        <w:rPr>
          <w:rStyle w:val="FootnoteReference"/>
        </w:rPr>
        <w:footnoteRef/>
      </w:r>
      <w:r>
        <w:t xml:space="preserve"> </w:t>
      </w:r>
      <w:r>
        <w:rPr>
          <w:i/>
        </w:rPr>
        <w:t xml:space="preserve">Peruvian Civil Code, supra </w:t>
      </w:r>
      <w:r>
        <w:t xml:space="preserve">note </w:t>
      </w:r>
      <w:r>
        <w:fldChar w:fldCharType="begin"/>
      </w:r>
      <w:r>
        <w:instrText xml:space="preserve"> NOTEREF _Ref15295350 \h </w:instrText>
      </w:r>
      <w:r>
        <w:fldChar w:fldCharType="separate"/>
      </w:r>
      <w:r>
        <w:t>18</w:t>
      </w:r>
      <w:r>
        <w:fldChar w:fldCharType="end"/>
      </w:r>
      <w:r>
        <w:t>, art 659-C.</w:t>
      </w:r>
    </w:p>
  </w:footnote>
  <w:footnote w:id="1012">
    <w:p w14:paraId="41C1967C" w14:textId="066E6D61" w:rsidR="002774A4" w:rsidRPr="00B01B8F" w:rsidRDefault="002774A4">
      <w:pPr>
        <w:pStyle w:val="FootnoteText"/>
      </w:pPr>
      <w:r>
        <w:rPr>
          <w:rStyle w:val="FootnoteReference"/>
        </w:rPr>
        <w:footnoteRef/>
      </w:r>
      <w:r>
        <w:t xml:space="preserve"> </w:t>
      </w:r>
      <w:r w:rsidRPr="00A64A38">
        <w:rPr>
          <w:i/>
        </w:rPr>
        <w:t>Law Number 9379</w:t>
      </w:r>
      <w:r>
        <w:rPr>
          <w:i/>
        </w:rPr>
        <w:t xml:space="preserve">, supra </w:t>
      </w:r>
      <w:r>
        <w:t xml:space="preserve">note </w:t>
      </w:r>
      <w:r>
        <w:fldChar w:fldCharType="begin"/>
      </w:r>
      <w:r>
        <w:instrText xml:space="preserve"> NOTEREF _Ref15297625 \h </w:instrText>
      </w:r>
      <w:r>
        <w:fldChar w:fldCharType="separate"/>
      </w:r>
      <w:r>
        <w:t>67</w:t>
      </w:r>
      <w:r>
        <w:fldChar w:fldCharType="end"/>
      </w:r>
      <w:r>
        <w:t>, art 10.</w:t>
      </w:r>
    </w:p>
  </w:footnote>
  <w:footnote w:id="1013">
    <w:p w14:paraId="033DA4DE" w14:textId="0DAE88FA" w:rsidR="002774A4" w:rsidRPr="009F06F2" w:rsidRDefault="002774A4" w:rsidP="00EE4F79">
      <w:pPr>
        <w:pStyle w:val="FootnoteText"/>
      </w:pPr>
      <w:r>
        <w:rPr>
          <w:rStyle w:val="FootnoteReference"/>
        </w:rPr>
        <w:footnoteRef/>
      </w:r>
      <w:r>
        <w:t xml:space="preserve"> </w:t>
      </w:r>
      <w:r w:rsidRPr="00C310D5">
        <w:rPr>
          <w:i/>
        </w:rPr>
        <w:t>Guardianship and Administration Act 2019, supra</w:t>
      </w:r>
      <w:r>
        <w:rPr>
          <w:i/>
        </w:rPr>
        <w:t xml:space="preserve"> </w:t>
      </w:r>
      <w:r>
        <w:t xml:space="preserve">note </w:t>
      </w:r>
      <w:r>
        <w:fldChar w:fldCharType="begin"/>
      </w:r>
      <w:r>
        <w:instrText xml:space="preserve"> NOTEREF _Ref15310234 \h </w:instrText>
      </w:r>
      <w:r>
        <w:fldChar w:fldCharType="separate"/>
      </w:r>
      <w:r>
        <w:t>922</w:t>
      </w:r>
      <w:r>
        <w:fldChar w:fldCharType="end"/>
      </w:r>
      <w:r>
        <w:t>, s 32(3).</w:t>
      </w:r>
    </w:p>
  </w:footnote>
  <w:footnote w:id="1014">
    <w:p w14:paraId="08C1018F" w14:textId="49CAB48E" w:rsidR="002774A4" w:rsidRPr="00890E05" w:rsidRDefault="002774A4" w:rsidP="00B151F3">
      <w:pPr>
        <w:pStyle w:val="FootnoteText"/>
      </w:pPr>
      <w:r>
        <w:rPr>
          <w:rStyle w:val="FootnoteReference"/>
        </w:rPr>
        <w:footnoteRef/>
      </w:r>
      <w:r>
        <w:t xml:space="preserve"> See </w:t>
      </w:r>
      <w:r>
        <w:rPr>
          <w:i/>
        </w:rPr>
        <w:t xml:space="preserve">Assisted Decision-Making (Capacity) Act </w:t>
      </w:r>
      <w:proofErr w:type="gramStart"/>
      <w:r>
        <w:rPr>
          <w:i/>
        </w:rPr>
        <w:t>2015,</w:t>
      </w:r>
      <w:proofErr w:type="gramEnd"/>
      <w:r>
        <w:rPr>
          <w:i/>
        </w:rPr>
        <w:t xml:space="preserve"> supra </w:t>
      </w:r>
      <w:r>
        <w:t xml:space="preserve">note </w:t>
      </w:r>
      <w:r>
        <w:fldChar w:fldCharType="begin"/>
      </w:r>
      <w:r>
        <w:instrText xml:space="preserve"> NOTEREF _Ref15301961 \h </w:instrText>
      </w:r>
      <w:r>
        <w:fldChar w:fldCharType="separate"/>
      </w:r>
      <w:r>
        <w:t>602</w:t>
      </w:r>
      <w:r>
        <w:fldChar w:fldCharType="end"/>
      </w:r>
      <w:r>
        <w:t>, s 18.</w:t>
      </w:r>
    </w:p>
  </w:footnote>
  <w:footnote w:id="1015">
    <w:p w14:paraId="08E9C2A9" w14:textId="483C1143" w:rsidR="002774A4" w:rsidRPr="004B2B97" w:rsidRDefault="002774A4">
      <w:pPr>
        <w:pStyle w:val="FootnoteText"/>
      </w:pPr>
      <w:r>
        <w:rPr>
          <w:rStyle w:val="FootnoteReference"/>
        </w:rPr>
        <w:footnoteRef/>
      </w:r>
      <w:r>
        <w:t xml:space="preserve"> </w:t>
      </w:r>
      <w:r>
        <w:rPr>
          <w:i/>
        </w:rPr>
        <w:t>Representation Agreement Act</w:t>
      </w:r>
      <w:r>
        <w:t xml:space="preserve">, </w:t>
      </w:r>
      <w:r>
        <w:rPr>
          <w:i/>
        </w:rPr>
        <w:t xml:space="preserve">supra </w:t>
      </w:r>
      <w:r>
        <w:t xml:space="preserve">note </w:t>
      </w:r>
      <w:r>
        <w:fldChar w:fldCharType="begin"/>
      </w:r>
      <w:r>
        <w:instrText xml:space="preserve"> NOTEREF _Ref15305952 \h </w:instrText>
      </w:r>
      <w:r>
        <w:fldChar w:fldCharType="separate"/>
      </w:r>
      <w:r>
        <w:t>790</w:t>
      </w:r>
      <w:r>
        <w:fldChar w:fldCharType="end"/>
      </w:r>
      <w:r>
        <w:t>, s 5(1</w:t>
      </w:r>
      <w:proofErr w:type="gramStart"/>
      <w:r>
        <w:t>)(</w:t>
      </w:r>
      <w:proofErr w:type="gramEnd"/>
      <w:r>
        <w:t xml:space="preserve">a). </w:t>
      </w:r>
    </w:p>
  </w:footnote>
  <w:footnote w:id="1016">
    <w:p w14:paraId="5C929D77" w14:textId="7159E7DF" w:rsidR="002774A4" w:rsidRDefault="002774A4">
      <w:pPr>
        <w:pStyle w:val="FootnoteText"/>
      </w:pPr>
      <w:r>
        <w:rPr>
          <w:rStyle w:val="FootnoteReference"/>
        </w:rPr>
        <w:footnoteRef/>
      </w:r>
      <w:r>
        <w:t xml:space="preserve"> </w:t>
      </w:r>
      <w:r>
        <w:rPr>
          <w:i/>
        </w:rPr>
        <w:t xml:space="preserve">Bill 236/19, supra </w:t>
      </w:r>
      <w:r>
        <w:t xml:space="preserve">note </w:t>
      </w:r>
      <w:r>
        <w:fldChar w:fldCharType="begin"/>
      </w:r>
      <w:r>
        <w:instrText xml:space="preserve"> NOTEREF _Ref15651965 \h </w:instrText>
      </w:r>
      <w:r>
        <w:fldChar w:fldCharType="separate"/>
      </w:r>
      <w:r>
        <w:t>150</w:t>
      </w:r>
      <w:r>
        <w:fldChar w:fldCharType="end"/>
      </w:r>
      <w:r>
        <w:t>, art 28(b).</w:t>
      </w:r>
    </w:p>
  </w:footnote>
  <w:footnote w:id="1017">
    <w:p w14:paraId="30274F08" w14:textId="75F9FF8A" w:rsidR="002774A4" w:rsidRPr="00147ADE" w:rsidRDefault="002774A4" w:rsidP="00E65138">
      <w:pPr>
        <w:pStyle w:val="FootnoteText"/>
      </w:pPr>
      <w:r w:rsidRPr="00B51705">
        <w:rPr>
          <w:rStyle w:val="FootnoteReference"/>
        </w:rPr>
        <w:footnoteRef/>
      </w:r>
      <w:r w:rsidRPr="00B51705">
        <w:t xml:space="preserve"> See </w:t>
      </w:r>
      <w:r w:rsidRPr="00B51705">
        <w:rPr>
          <w:rFonts w:ascii="times" w:hAnsi="times"/>
          <w:i/>
        </w:rPr>
        <w:t>Act CLV of 2013 on Supported Decision-Making</w:t>
      </w:r>
      <w:r w:rsidRPr="00B51705">
        <w:t>,</w:t>
      </w:r>
      <w:r>
        <w:t xml:space="preserve"> </w:t>
      </w:r>
      <w:r>
        <w:rPr>
          <w:i/>
        </w:rPr>
        <w:t xml:space="preserve">supra </w:t>
      </w:r>
      <w:r>
        <w:t xml:space="preserve">note </w:t>
      </w:r>
      <w:r>
        <w:fldChar w:fldCharType="begin"/>
      </w:r>
      <w:r>
        <w:instrText xml:space="preserve"> NOTEREF _Ref15301253 \h </w:instrText>
      </w:r>
      <w:r>
        <w:fldChar w:fldCharType="separate"/>
      </w:r>
      <w:r>
        <w:t>541</w:t>
      </w:r>
      <w:r>
        <w:fldChar w:fldCharType="end"/>
      </w:r>
      <w:r>
        <w:t>,</w:t>
      </w:r>
      <w:r>
        <w:rPr>
          <w:rFonts w:ascii="times" w:hAnsi="times"/>
        </w:rPr>
        <w:t xml:space="preserve"> s 2(2)</w:t>
      </w:r>
      <w:proofErr w:type="gramStart"/>
      <w:r>
        <w:rPr>
          <w:rFonts w:ascii="times" w:hAnsi="times"/>
        </w:rPr>
        <w:t>;</w:t>
      </w:r>
      <w:proofErr w:type="gramEnd"/>
      <w:r>
        <w:rPr>
          <w:rFonts w:ascii="times" w:hAnsi="times"/>
        </w:rPr>
        <w:t xml:space="preserve"> </w:t>
      </w:r>
      <w:r>
        <w:rPr>
          <w:i/>
        </w:rPr>
        <w:t xml:space="preserve">Belgian Civil Code, supra </w:t>
      </w:r>
      <w:r>
        <w:t xml:space="preserve">note </w:t>
      </w:r>
      <w:r>
        <w:fldChar w:fldCharType="begin"/>
      </w:r>
      <w:r>
        <w:instrText xml:space="preserve"> NOTEREF _Ref15303198 \h </w:instrText>
      </w:r>
      <w:r>
        <w:fldChar w:fldCharType="separate"/>
      </w:r>
      <w:r>
        <w:t>728</w:t>
      </w:r>
      <w:r>
        <w:fldChar w:fldCharType="end"/>
      </w:r>
      <w:r>
        <w:t>, arts 496/2 &amp; 501.</w:t>
      </w:r>
    </w:p>
  </w:footnote>
  <w:footnote w:id="1018">
    <w:p w14:paraId="0881162E" w14:textId="0BF2C661" w:rsidR="002774A4" w:rsidRPr="007246C4" w:rsidRDefault="002774A4">
      <w:pPr>
        <w:pStyle w:val="FootnoteText"/>
      </w:pPr>
      <w:r>
        <w:rPr>
          <w:rStyle w:val="FootnoteReference"/>
        </w:rPr>
        <w:footnoteRef/>
      </w:r>
      <w:r>
        <w:t xml:space="preserve"> See </w:t>
      </w:r>
      <w:proofErr w:type="spellStart"/>
      <w:r>
        <w:t>Devandas</w:t>
      </w:r>
      <w:proofErr w:type="spellEnd"/>
      <w:r>
        <w:t xml:space="preserve"> Aguilar, </w:t>
      </w:r>
      <w:r>
        <w:rPr>
          <w:i/>
        </w:rPr>
        <w:t xml:space="preserve">supra </w:t>
      </w:r>
      <w:r>
        <w:t xml:space="preserve">note </w:t>
      </w:r>
      <w:r>
        <w:fldChar w:fldCharType="begin"/>
      </w:r>
      <w:r>
        <w:instrText xml:space="preserve"> NOTEREF _Ref15295121 \h </w:instrText>
      </w:r>
      <w:r>
        <w:fldChar w:fldCharType="separate"/>
      </w:r>
      <w:proofErr w:type="gramStart"/>
      <w:r>
        <w:t>8</w:t>
      </w:r>
      <w:proofErr w:type="gramEnd"/>
      <w:r>
        <w:fldChar w:fldCharType="end"/>
      </w:r>
      <w:r>
        <w:t xml:space="preserve"> at para 30; </w:t>
      </w:r>
      <w:r w:rsidRPr="00A550A1">
        <w:rPr>
          <w:color w:val="000000" w:themeColor="text1"/>
        </w:rPr>
        <w:t xml:space="preserve">Committee on the Rights of Persons with Disabilities, </w:t>
      </w:r>
      <w:r>
        <w:t xml:space="preserve">“General comment No.1,” </w:t>
      </w:r>
      <w:r w:rsidRPr="00A550A1">
        <w:rPr>
          <w:i/>
          <w:color w:val="000000" w:themeColor="text1"/>
        </w:rPr>
        <w:t>supra</w:t>
      </w:r>
      <w:r>
        <w:rPr>
          <w:i/>
          <w:color w:val="000000" w:themeColor="text1"/>
        </w:rPr>
        <w:t xml:space="preserve"> </w:t>
      </w:r>
      <w:r>
        <w:rPr>
          <w:color w:val="000000" w:themeColor="text1"/>
        </w:rPr>
        <w:t xml:space="preserve">note </w:t>
      </w:r>
      <w:r>
        <w:rPr>
          <w:color w:val="000000" w:themeColor="text1"/>
        </w:rPr>
        <w:fldChar w:fldCharType="begin"/>
      </w:r>
      <w:r>
        <w:rPr>
          <w:color w:val="000000" w:themeColor="text1"/>
        </w:rPr>
        <w:instrText xml:space="preserve"> NOTEREF _Ref15295251 \h </w:instrText>
      </w:r>
      <w:r>
        <w:rPr>
          <w:color w:val="000000" w:themeColor="text1"/>
        </w:rPr>
      </w:r>
      <w:r>
        <w:rPr>
          <w:color w:val="000000" w:themeColor="text1"/>
        </w:rPr>
        <w:fldChar w:fldCharType="separate"/>
      </w:r>
      <w:r>
        <w:rPr>
          <w:color w:val="000000" w:themeColor="text1"/>
        </w:rPr>
        <w:t>7</w:t>
      </w:r>
      <w:r>
        <w:rPr>
          <w:color w:val="000000" w:themeColor="text1"/>
        </w:rPr>
        <w:fldChar w:fldCharType="end"/>
      </w:r>
      <w:r>
        <w:rPr>
          <w:color w:val="000000" w:themeColor="text1"/>
        </w:rPr>
        <w:t xml:space="preserve"> at para 29(d).</w:t>
      </w:r>
    </w:p>
  </w:footnote>
  <w:footnote w:id="1019">
    <w:p w14:paraId="501D992C" w14:textId="29FCAEB4" w:rsidR="002774A4" w:rsidRPr="005A4413" w:rsidRDefault="002774A4">
      <w:pPr>
        <w:pStyle w:val="FootnoteText"/>
      </w:pPr>
      <w:r>
        <w:rPr>
          <w:rStyle w:val="FootnoteReference"/>
        </w:rPr>
        <w:footnoteRef/>
      </w:r>
      <w:r>
        <w:t xml:space="preserve"> </w:t>
      </w:r>
      <w:proofErr w:type="spellStart"/>
      <w:r>
        <w:t>Devendas</w:t>
      </w:r>
      <w:proofErr w:type="spellEnd"/>
      <w:r>
        <w:t xml:space="preserve"> Aguilar, </w:t>
      </w:r>
      <w:r>
        <w:rPr>
          <w:i/>
        </w:rPr>
        <w:t xml:space="preserve">supra </w:t>
      </w:r>
      <w:r>
        <w:t xml:space="preserve">note </w:t>
      </w:r>
      <w:r>
        <w:fldChar w:fldCharType="begin"/>
      </w:r>
      <w:r>
        <w:instrText xml:space="preserve"> NOTEREF _Ref15295121 \h </w:instrText>
      </w:r>
      <w:r>
        <w:fldChar w:fldCharType="separate"/>
      </w:r>
      <w:proofErr w:type="gramStart"/>
      <w:r>
        <w:t>8</w:t>
      </w:r>
      <w:proofErr w:type="gramEnd"/>
      <w:r>
        <w:fldChar w:fldCharType="end"/>
      </w:r>
      <w:r>
        <w:rPr>
          <w:i/>
        </w:rPr>
        <w:t xml:space="preserve"> </w:t>
      </w:r>
      <w:r>
        <w:t xml:space="preserve">at para 47, see </w:t>
      </w:r>
      <w:r>
        <w:rPr>
          <w:i/>
        </w:rPr>
        <w:t xml:space="preserve">Assisted Decision-Making (Capacity) Act 2015, supra </w:t>
      </w:r>
      <w:r>
        <w:t xml:space="preserve">note </w:t>
      </w:r>
      <w:r>
        <w:fldChar w:fldCharType="begin"/>
      </w:r>
      <w:r>
        <w:instrText xml:space="preserve"> NOTEREF _Ref15301961 \h </w:instrText>
      </w:r>
      <w:r>
        <w:fldChar w:fldCharType="separate"/>
      </w:r>
      <w:r>
        <w:t>602</w:t>
      </w:r>
      <w:r>
        <w:fldChar w:fldCharType="end"/>
      </w:r>
      <w:r>
        <w:t xml:space="preserve">, </w:t>
      </w:r>
      <w:proofErr w:type="spellStart"/>
      <w:r>
        <w:t>ss</w:t>
      </w:r>
      <w:proofErr w:type="spellEnd"/>
      <w:r>
        <w:t xml:space="preserve"> 15, 30, 47.</w:t>
      </w:r>
    </w:p>
  </w:footnote>
  <w:footnote w:id="1020">
    <w:p w14:paraId="21D26241" w14:textId="52C29B91" w:rsidR="002774A4" w:rsidRPr="00975EEC" w:rsidRDefault="002774A4">
      <w:pPr>
        <w:pStyle w:val="FootnoteText"/>
      </w:pPr>
      <w:r>
        <w:rPr>
          <w:rStyle w:val="FootnoteReference"/>
        </w:rPr>
        <w:footnoteRef/>
      </w:r>
      <w:r>
        <w:t xml:space="preserve"> E.g. Costa Rica, Argentina, Colombia, </w:t>
      </w:r>
      <w:r w:rsidRPr="005E0B48">
        <w:t>Victoria</w:t>
      </w:r>
      <w:r>
        <w:t>.</w:t>
      </w:r>
    </w:p>
  </w:footnote>
  <w:footnote w:id="1021">
    <w:p w14:paraId="571BB9ED" w14:textId="07302365" w:rsidR="002774A4" w:rsidRPr="001F1488" w:rsidRDefault="002774A4">
      <w:pPr>
        <w:pStyle w:val="FootnoteText"/>
      </w:pPr>
      <w:r w:rsidRPr="001F1488">
        <w:rPr>
          <w:rStyle w:val="FootnoteReference"/>
        </w:rPr>
        <w:footnoteRef/>
      </w:r>
      <w:r w:rsidRPr="001F1488">
        <w:t xml:space="preserve"> E.g. Colombia, Hungary, Austria, Belgium, Ireland (for co-decision-makers).</w:t>
      </w:r>
    </w:p>
  </w:footnote>
  <w:footnote w:id="1022">
    <w:p w14:paraId="523DAE14" w14:textId="7B89E23F" w:rsidR="002774A4" w:rsidRPr="00975EEC" w:rsidRDefault="002774A4">
      <w:pPr>
        <w:pStyle w:val="FootnoteText"/>
      </w:pPr>
      <w:r w:rsidRPr="001F1488">
        <w:rPr>
          <w:rStyle w:val="FootnoteReference"/>
        </w:rPr>
        <w:footnoteRef/>
      </w:r>
      <w:r w:rsidRPr="001F1488">
        <w:t xml:space="preserve"> E.g. Lithuania, Georgia</w:t>
      </w:r>
      <w:r>
        <w:t>.</w:t>
      </w:r>
    </w:p>
  </w:footnote>
  <w:footnote w:id="1023">
    <w:p w14:paraId="7B19F864" w14:textId="1EC533BE" w:rsidR="002774A4" w:rsidRPr="006F1A85" w:rsidRDefault="002774A4">
      <w:pPr>
        <w:pStyle w:val="FootnoteText"/>
      </w:pPr>
      <w:r>
        <w:rPr>
          <w:rStyle w:val="FootnoteReference"/>
        </w:rPr>
        <w:footnoteRef/>
      </w:r>
      <w:r>
        <w:t xml:space="preserve"> E.g. British Columbia.</w:t>
      </w:r>
    </w:p>
  </w:footnote>
  <w:footnote w:id="1024">
    <w:p w14:paraId="71E18E1D" w14:textId="0385D7D6" w:rsidR="002774A4" w:rsidRPr="00BE64E0" w:rsidRDefault="002774A4">
      <w:pPr>
        <w:pStyle w:val="FootnoteText"/>
      </w:pPr>
      <w:r>
        <w:rPr>
          <w:rStyle w:val="FootnoteReference"/>
        </w:rPr>
        <w:footnoteRef/>
      </w:r>
      <w:r>
        <w:t xml:space="preserve"> </w:t>
      </w:r>
      <w:r>
        <w:rPr>
          <w:i/>
        </w:rPr>
        <w:t xml:space="preserve">Bill 236/19, supra </w:t>
      </w:r>
      <w:r>
        <w:t xml:space="preserve">note </w:t>
      </w:r>
      <w:r>
        <w:fldChar w:fldCharType="begin"/>
      </w:r>
      <w:r>
        <w:instrText xml:space="preserve"> NOTEREF _Ref15651965 \h </w:instrText>
      </w:r>
      <w:r>
        <w:fldChar w:fldCharType="separate"/>
      </w:r>
      <w:r>
        <w:t>150</w:t>
      </w:r>
      <w:r>
        <w:fldChar w:fldCharType="end"/>
      </w:r>
      <w:r>
        <w:t>, art 32.</w:t>
      </w:r>
    </w:p>
  </w:footnote>
  <w:footnote w:id="1025">
    <w:p w14:paraId="698D436D" w14:textId="1098DAA6" w:rsidR="002774A4" w:rsidRPr="00B13E2F" w:rsidRDefault="002774A4">
      <w:pPr>
        <w:pStyle w:val="FootnoteText"/>
        <w:rPr>
          <w:i/>
        </w:rPr>
      </w:pPr>
      <w:r>
        <w:rPr>
          <w:rStyle w:val="FootnoteReference"/>
        </w:rPr>
        <w:footnoteRef/>
      </w:r>
      <w:r>
        <w:t xml:space="preserve"> </w:t>
      </w:r>
      <w:r>
        <w:rPr>
          <w:i/>
        </w:rPr>
        <w:t>Ibid.</w:t>
      </w:r>
    </w:p>
  </w:footnote>
  <w:footnote w:id="1026">
    <w:p w14:paraId="1D349DE3" w14:textId="412A4606" w:rsidR="002774A4" w:rsidRPr="00C5066B" w:rsidRDefault="002774A4">
      <w:pPr>
        <w:pStyle w:val="FootnoteText"/>
      </w:pPr>
      <w:r>
        <w:rPr>
          <w:rStyle w:val="FootnoteReference"/>
        </w:rPr>
        <w:footnoteRef/>
      </w:r>
      <w:r>
        <w:t xml:space="preserve"> </w:t>
      </w:r>
      <w:r>
        <w:rPr>
          <w:i/>
        </w:rPr>
        <w:t xml:space="preserve">Belgian Civil Code, supra </w:t>
      </w:r>
      <w:r>
        <w:t xml:space="preserve">note </w:t>
      </w:r>
      <w:r>
        <w:fldChar w:fldCharType="begin"/>
      </w:r>
      <w:r>
        <w:instrText xml:space="preserve"> NOTEREF _Ref15303198 \h </w:instrText>
      </w:r>
      <w:r>
        <w:fldChar w:fldCharType="separate"/>
      </w:r>
      <w:r>
        <w:t>728</w:t>
      </w:r>
      <w:r>
        <w:fldChar w:fldCharType="end"/>
      </w:r>
      <w:r>
        <w:t>, art 501.</w:t>
      </w:r>
    </w:p>
  </w:footnote>
  <w:footnote w:id="1027">
    <w:p w14:paraId="0DDD3B02" w14:textId="5BB67866" w:rsidR="002774A4" w:rsidRPr="00D6013E" w:rsidRDefault="002774A4">
      <w:pPr>
        <w:pStyle w:val="FootnoteText"/>
      </w:pPr>
      <w:r>
        <w:rPr>
          <w:rStyle w:val="FootnoteReference"/>
        </w:rPr>
        <w:footnoteRef/>
      </w:r>
      <w:r>
        <w:t xml:space="preserve"> See previous discussion on Belgium’s legislation.</w:t>
      </w:r>
    </w:p>
  </w:footnote>
  <w:footnote w:id="1028">
    <w:p w14:paraId="6EEE92A7" w14:textId="7C0924F2" w:rsidR="002774A4" w:rsidRPr="004C1A74" w:rsidRDefault="002774A4" w:rsidP="008B355E">
      <w:pPr>
        <w:pStyle w:val="FootnoteText"/>
      </w:pPr>
      <w:r>
        <w:rPr>
          <w:rStyle w:val="FootnoteReference"/>
        </w:rPr>
        <w:footnoteRef/>
      </w:r>
      <w:r>
        <w:t xml:space="preserve"> See e.g. </w:t>
      </w:r>
      <w:r w:rsidRPr="00A550A1">
        <w:rPr>
          <w:color w:val="000000" w:themeColor="text1"/>
        </w:rPr>
        <w:t xml:space="preserve">Committee on the Rights of Persons with Disabilities, </w:t>
      </w:r>
      <w:r>
        <w:t xml:space="preserve">“General comment No.1,” </w:t>
      </w:r>
      <w:r w:rsidRPr="00A550A1">
        <w:rPr>
          <w:i/>
          <w:color w:val="000000" w:themeColor="text1"/>
        </w:rPr>
        <w:t xml:space="preserve">supra </w:t>
      </w:r>
      <w:r w:rsidRPr="00A550A1">
        <w:rPr>
          <w:color w:val="000000" w:themeColor="text1"/>
        </w:rPr>
        <w:t xml:space="preserve">note </w:t>
      </w:r>
      <w:r>
        <w:rPr>
          <w:color w:val="000000" w:themeColor="text1"/>
        </w:rPr>
        <w:fldChar w:fldCharType="begin"/>
      </w:r>
      <w:r>
        <w:rPr>
          <w:color w:val="000000" w:themeColor="text1"/>
        </w:rPr>
        <w:instrText xml:space="preserve"> NOTEREF _Ref15295251 \h </w:instrText>
      </w:r>
      <w:r>
        <w:rPr>
          <w:color w:val="000000" w:themeColor="text1"/>
        </w:rPr>
      </w:r>
      <w:r>
        <w:rPr>
          <w:color w:val="000000" w:themeColor="text1"/>
        </w:rPr>
        <w:fldChar w:fldCharType="separate"/>
      </w:r>
      <w:proofErr w:type="gramStart"/>
      <w:r>
        <w:rPr>
          <w:color w:val="000000" w:themeColor="text1"/>
        </w:rPr>
        <w:t>7</w:t>
      </w:r>
      <w:proofErr w:type="gramEnd"/>
      <w:r>
        <w:rPr>
          <w:color w:val="000000" w:themeColor="text1"/>
        </w:rPr>
        <w:fldChar w:fldCharType="end"/>
      </w:r>
      <w:r>
        <w:rPr>
          <w:color w:val="000000" w:themeColor="text1"/>
        </w:rPr>
        <w:t xml:space="preserve"> at</w:t>
      </w:r>
      <w:r>
        <w:t xml:space="preserve"> para 17. </w:t>
      </w:r>
    </w:p>
  </w:footnote>
  <w:footnote w:id="1029">
    <w:p w14:paraId="0A29E7E7" w14:textId="29A66DF7" w:rsidR="002774A4" w:rsidRDefault="002774A4">
      <w:pPr>
        <w:pStyle w:val="FootnoteText"/>
      </w:pPr>
      <w:r>
        <w:rPr>
          <w:rStyle w:val="FootnoteReference"/>
        </w:rPr>
        <w:footnoteRef/>
      </w:r>
      <w:r>
        <w:t xml:space="preserve"> E.g. Israel, Lithuania, Hungary.</w:t>
      </w:r>
    </w:p>
  </w:footnote>
  <w:footnote w:id="1030">
    <w:p w14:paraId="7EDC4C2D" w14:textId="70D82C47" w:rsidR="002774A4" w:rsidRDefault="002774A4">
      <w:pPr>
        <w:pStyle w:val="FootnoteText"/>
      </w:pPr>
      <w:r>
        <w:rPr>
          <w:rStyle w:val="FootnoteReference"/>
        </w:rPr>
        <w:footnoteRef/>
      </w:r>
      <w:r>
        <w:t xml:space="preserve"> </w:t>
      </w:r>
      <w:r>
        <w:rPr>
          <w:i/>
        </w:rPr>
        <w:t>Civil Code of Georgia</w:t>
      </w:r>
      <w:r>
        <w:t xml:space="preserve">, </w:t>
      </w:r>
      <w:r>
        <w:rPr>
          <w:i/>
        </w:rPr>
        <w:t xml:space="preserve">supra </w:t>
      </w:r>
      <w:r>
        <w:t xml:space="preserve">note </w:t>
      </w:r>
      <w:r>
        <w:fldChar w:fldCharType="begin"/>
      </w:r>
      <w:r>
        <w:instrText xml:space="preserve"> NOTEREF _Ref15299070 \h </w:instrText>
      </w:r>
      <w:r>
        <w:fldChar w:fldCharType="separate"/>
      </w:r>
      <w:r>
        <w:t>308</w:t>
      </w:r>
      <w:r>
        <w:fldChar w:fldCharType="end"/>
      </w:r>
      <w:r>
        <w:fldChar w:fldCharType="begin"/>
      </w:r>
      <w:r>
        <w:instrText xml:space="preserve"> NOTEREF _Ref15299070 \h </w:instrText>
      </w:r>
      <w:r>
        <w:fldChar w:fldCharType="end"/>
      </w:r>
      <w:r>
        <w:t xml:space="preserve">, art 1289(2). </w:t>
      </w:r>
    </w:p>
  </w:footnote>
  <w:footnote w:id="1031">
    <w:p w14:paraId="6475E99F" w14:textId="15601BCB" w:rsidR="002774A4" w:rsidRPr="00A56BF1" w:rsidRDefault="002774A4">
      <w:pPr>
        <w:pStyle w:val="FootnoteText"/>
      </w:pPr>
      <w:r>
        <w:rPr>
          <w:rStyle w:val="FootnoteReference"/>
        </w:rPr>
        <w:footnoteRef/>
      </w:r>
      <w:r>
        <w:t xml:space="preserve"> </w:t>
      </w:r>
      <w:r>
        <w:rPr>
          <w:i/>
        </w:rPr>
        <w:t xml:space="preserve">Argentina Civil and Commercial Code, supra </w:t>
      </w:r>
      <w:r>
        <w:t xml:space="preserve">note </w:t>
      </w:r>
      <w:r>
        <w:fldChar w:fldCharType="begin"/>
      </w:r>
      <w:r>
        <w:instrText xml:space="preserve"> NOTEREF _Ref15297830 \h </w:instrText>
      </w:r>
      <w:r>
        <w:fldChar w:fldCharType="separate"/>
      </w:r>
      <w:r>
        <w:t>118</w:t>
      </w:r>
      <w:r>
        <w:fldChar w:fldCharType="end"/>
      </w:r>
      <w:r>
        <w:t xml:space="preserve"> at 32.</w:t>
      </w:r>
    </w:p>
  </w:footnote>
  <w:footnote w:id="1032">
    <w:p w14:paraId="60EBD781" w14:textId="36FE0895" w:rsidR="002774A4" w:rsidRDefault="002774A4">
      <w:pPr>
        <w:pStyle w:val="FootnoteText"/>
      </w:pPr>
      <w:r>
        <w:rPr>
          <w:rStyle w:val="FootnoteReference"/>
        </w:rPr>
        <w:footnoteRef/>
      </w:r>
      <w:r>
        <w:t xml:space="preserve"> </w:t>
      </w:r>
      <w:r>
        <w:rPr>
          <w:i/>
        </w:rPr>
        <w:t>Representation Agreement Act</w:t>
      </w:r>
      <w:r>
        <w:t xml:space="preserve">, </w:t>
      </w:r>
      <w:r>
        <w:rPr>
          <w:i/>
        </w:rPr>
        <w:t xml:space="preserve">supra </w:t>
      </w:r>
      <w:r>
        <w:t xml:space="preserve">note </w:t>
      </w:r>
      <w:r>
        <w:fldChar w:fldCharType="begin"/>
      </w:r>
      <w:r>
        <w:instrText xml:space="preserve"> NOTEREF _Ref15305952 \h </w:instrText>
      </w:r>
      <w:r>
        <w:fldChar w:fldCharType="separate"/>
      </w:r>
      <w:r>
        <w:t>790</w:t>
      </w:r>
      <w:r>
        <w:fldChar w:fldCharType="end"/>
      </w:r>
      <w:r>
        <w:t>, s 16(2).</w:t>
      </w:r>
    </w:p>
  </w:footnote>
  <w:footnote w:id="1033">
    <w:p w14:paraId="5F4A3F53" w14:textId="35AEEFEC" w:rsidR="002774A4" w:rsidRDefault="002774A4">
      <w:pPr>
        <w:pStyle w:val="FootnoteText"/>
      </w:pPr>
      <w:r>
        <w:rPr>
          <w:rStyle w:val="FootnoteReference"/>
        </w:rPr>
        <w:footnoteRef/>
      </w:r>
      <w:r>
        <w:t xml:space="preserve"> </w:t>
      </w:r>
      <w:r>
        <w:rPr>
          <w:i/>
        </w:rPr>
        <w:t xml:space="preserve">Belgian Civil Code, supra </w:t>
      </w:r>
      <w:r>
        <w:t xml:space="preserve">note </w:t>
      </w:r>
      <w:r>
        <w:fldChar w:fldCharType="begin"/>
      </w:r>
      <w:r>
        <w:instrText xml:space="preserve"> NOTEREF _Ref15303198 \h </w:instrText>
      </w:r>
      <w:r>
        <w:fldChar w:fldCharType="separate"/>
      </w:r>
      <w:r>
        <w:t>728</w:t>
      </w:r>
      <w:r>
        <w:fldChar w:fldCharType="end"/>
      </w:r>
      <w:r>
        <w:t>, art 498/2.</w:t>
      </w:r>
    </w:p>
  </w:footnote>
  <w:footnote w:id="1034">
    <w:p w14:paraId="4C86340B" w14:textId="2FC2FB39" w:rsidR="002774A4" w:rsidRPr="00C2752D" w:rsidRDefault="002774A4" w:rsidP="00A72C2E">
      <w:pPr>
        <w:pStyle w:val="FootnoteText"/>
      </w:pPr>
      <w:r>
        <w:rPr>
          <w:rStyle w:val="FootnoteReference"/>
        </w:rPr>
        <w:footnoteRef/>
      </w:r>
      <w:r>
        <w:t xml:space="preserve"> </w:t>
      </w:r>
      <w:r w:rsidRPr="00A550A1">
        <w:rPr>
          <w:color w:val="000000" w:themeColor="text1"/>
        </w:rPr>
        <w:t xml:space="preserve">Committee on the Rights of Persons with Disabilities, </w:t>
      </w:r>
      <w:r>
        <w:t xml:space="preserve">“General comment No.1,” </w:t>
      </w:r>
      <w:r w:rsidRPr="00A550A1">
        <w:rPr>
          <w:i/>
          <w:color w:val="000000" w:themeColor="text1"/>
        </w:rPr>
        <w:t xml:space="preserve">supra </w:t>
      </w:r>
      <w:r w:rsidRPr="00A550A1">
        <w:rPr>
          <w:color w:val="000000" w:themeColor="text1"/>
        </w:rPr>
        <w:t xml:space="preserve">note </w:t>
      </w:r>
      <w:r>
        <w:rPr>
          <w:color w:val="000000" w:themeColor="text1"/>
        </w:rPr>
        <w:fldChar w:fldCharType="begin"/>
      </w:r>
      <w:r>
        <w:rPr>
          <w:color w:val="000000" w:themeColor="text1"/>
        </w:rPr>
        <w:instrText xml:space="preserve"> NOTEREF _Ref15295251 \h </w:instrText>
      </w:r>
      <w:r>
        <w:rPr>
          <w:color w:val="000000" w:themeColor="text1"/>
        </w:rPr>
      </w:r>
      <w:r>
        <w:rPr>
          <w:color w:val="000000" w:themeColor="text1"/>
        </w:rPr>
        <w:fldChar w:fldCharType="separate"/>
      </w:r>
      <w:proofErr w:type="gramStart"/>
      <w:r>
        <w:rPr>
          <w:color w:val="000000" w:themeColor="text1"/>
        </w:rPr>
        <w:t>7</w:t>
      </w:r>
      <w:proofErr w:type="gramEnd"/>
      <w:r>
        <w:rPr>
          <w:color w:val="000000" w:themeColor="text1"/>
        </w:rPr>
        <w:fldChar w:fldCharType="end"/>
      </w:r>
      <w:r>
        <w:rPr>
          <w:color w:val="000000" w:themeColor="text1"/>
        </w:rPr>
        <w:t xml:space="preserve"> </w:t>
      </w:r>
      <w:r>
        <w:t>at para 21.</w:t>
      </w:r>
    </w:p>
  </w:footnote>
  <w:footnote w:id="1035">
    <w:p w14:paraId="538778E4" w14:textId="53A17C02" w:rsidR="002774A4" w:rsidRPr="0056586D" w:rsidRDefault="002774A4" w:rsidP="00A72C2E">
      <w:pPr>
        <w:pStyle w:val="FootnoteText"/>
      </w:pPr>
      <w:r>
        <w:rPr>
          <w:rStyle w:val="FootnoteReference"/>
        </w:rPr>
        <w:footnoteRef/>
      </w:r>
      <w:r>
        <w:t xml:space="preserve"> </w:t>
      </w:r>
      <w:r>
        <w:rPr>
          <w:i/>
        </w:rPr>
        <w:t xml:space="preserve">Peruvian Civil Code, supra </w:t>
      </w:r>
      <w:r>
        <w:t xml:space="preserve">note </w:t>
      </w:r>
      <w:r>
        <w:fldChar w:fldCharType="begin"/>
      </w:r>
      <w:r>
        <w:instrText xml:space="preserve"> NOTEREF _Ref15295350 \h </w:instrText>
      </w:r>
      <w:r>
        <w:fldChar w:fldCharType="separate"/>
      </w:r>
      <w:r>
        <w:t>18</w:t>
      </w:r>
      <w:r>
        <w:fldChar w:fldCharType="end"/>
      </w:r>
      <w:r>
        <w:t>, art 659-B.</w:t>
      </w:r>
    </w:p>
  </w:footnote>
  <w:footnote w:id="1036">
    <w:p w14:paraId="387FEF81" w14:textId="653FF287" w:rsidR="002774A4" w:rsidRPr="00CD1044" w:rsidRDefault="002774A4">
      <w:pPr>
        <w:pStyle w:val="FootnoteText"/>
      </w:pPr>
      <w:r>
        <w:rPr>
          <w:rStyle w:val="FootnoteReference"/>
        </w:rPr>
        <w:footnoteRef/>
      </w:r>
      <w:r>
        <w:t xml:space="preserve"> </w:t>
      </w:r>
      <w:r>
        <w:rPr>
          <w:i/>
        </w:rPr>
        <w:t xml:space="preserve">Bill 236/19, supra </w:t>
      </w:r>
      <w:r>
        <w:t xml:space="preserve">note </w:t>
      </w:r>
      <w:r>
        <w:fldChar w:fldCharType="begin"/>
      </w:r>
      <w:r>
        <w:instrText xml:space="preserve"> NOTEREF _Ref15651965 \h </w:instrText>
      </w:r>
      <w:r>
        <w:fldChar w:fldCharType="separate"/>
      </w:r>
      <w:r>
        <w:t>150</w:t>
      </w:r>
      <w:r>
        <w:fldChar w:fldCharType="end"/>
      </w:r>
      <w:r>
        <w:t>, art 13(2).</w:t>
      </w:r>
    </w:p>
  </w:footnote>
  <w:footnote w:id="1037">
    <w:p w14:paraId="2F6E780E" w14:textId="12ED195F" w:rsidR="002774A4" w:rsidRPr="001F1488" w:rsidRDefault="002774A4" w:rsidP="00C7371A">
      <w:pPr>
        <w:pStyle w:val="FootnoteText"/>
      </w:pPr>
      <w:r>
        <w:rPr>
          <w:rStyle w:val="FootnoteReference"/>
        </w:rPr>
        <w:footnoteRef/>
      </w:r>
      <w:r>
        <w:t xml:space="preserve"> </w:t>
      </w:r>
      <w:r w:rsidRPr="001F1488">
        <w:rPr>
          <w:i/>
        </w:rPr>
        <w:t xml:space="preserve">Guardianship and Administration Act 2019, supra </w:t>
      </w:r>
      <w:r w:rsidRPr="001F1488">
        <w:t xml:space="preserve">note </w:t>
      </w:r>
      <w:r>
        <w:fldChar w:fldCharType="begin"/>
      </w:r>
      <w:r>
        <w:instrText xml:space="preserve"> NOTEREF _Ref15310234 \h </w:instrText>
      </w:r>
      <w:r>
        <w:fldChar w:fldCharType="separate"/>
      </w:r>
      <w:r>
        <w:t>922</w:t>
      </w:r>
      <w:r>
        <w:fldChar w:fldCharType="end"/>
      </w:r>
      <w:r w:rsidRPr="001F1488">
        <w:rPr>
          <w:i/>
        </w:rPr>
        <w:t xml:space="preserve">, </w:t>
      </w:r>
      <w:r w:rsidRPr="001F1488">
        <w:t>s 8(b).</w:t>
      </w:r>
    </w:p>
  </w:footnote>
  <w:footnote w:id="1038">
    <w:p w14:paraId="53CBD72A" w14:textId="7B6762FC" w:rsidR="002774A4" w:rsidRPr="00A83FD7" w:rsidRDefault="002774A4">
      <w:pPr>
        <w:pStyle w:val="FootnoteText"/>
        <w:rPr>
          <w:lang w:val="es-419"/>
        </w:rPr>
      </w:pPr>
      <w:r w:rsidRPr="001F1488">
        <w:rPr>
          <w:rStyle w:val="FootnoteReference"/>
        </w:rPr>
        <w:footnoteRef/>
      </w:r>
      <w:r w:rsidRPr="00A83FD7">
        <w:rPr>
          <w:lang w:val="es-419"/>
        </w:rPr>
        <w:t xml:space="preserve"> </w:t>
      </w:r>
      <w:proofErr w:type="spellStart"/>
      <w:r w:rsidRPr="00A83FD7">
        <w:rPr>
          <w:lang w:val="es-419"/>
        </w:rPr>
        <w:t>E.g</w:t>
      </w:r>
      <w:proofErr w:type="spellEnd"/>
      <w:r w:rsidRPr="00A83FD7">
        <w:rPr>
          <w:lang w:val="es-419"/>
        </w:rPr>
        <w:t xml:space="preserve">. India, </w:t>
      </w:r>
      <w:proofErr w:type="spellStart"/>
      <w:r w:rsidRPr="00A83FD7">
        <w:rPr>
          <w:lang w:val="es-419"/>
        </w:rPr>
        <w:t>Croatia</w:t>
      </w:r>
      <w:proofErr w:type="spellEnd"/>
      <w:r w:rsidRPr="00A83FD7">
        <w:rPr>
          <w:lang w:val="es-419"/>
        </w:rPr>
        <w:t>.</w:t>
      </w:r>
    </w:p>
  </w:footnote>
  <w:footnote w:id="1039">
    <w:p w14:paraId="5E8DCFEF" w14:textId="011E6FC6" w:rsidR="002774A4" w:rsidRPr="00A83FD7" w:rsidRDefault="002774A4">
      <w:pPr>
        <w:pStyle w:val="FootnoteText"/>
        <w:rPr>
          <w:lang w:val="es-419"/>
        </w:rPr>
      </w:pPr>
      <w:r w:rsidRPr="001F1488">
        <w:rPr>
          <w:rStyle w:val="FootnoteReference"/>
        </w:rPr>
        <w:footnoteRef/>
      </w:r>
      <w:r w:rsidRPr="00A83FD7">
        <w:rPr>
          <w:lang w:val="es-419"/>
        </w:rPr>
        <w:t xml:space="preserve"> </w:t>
      </w:r>
      <w:proofErr w:type="spellStart"/>
      <w:r w:rsidRPr="00A83FD7">
        <w:rPr>
          <w:lang w:val="es-419"/>
        </w:rPr>
        <w:t>Devandas</w:t>
      </w:r>
      <w:proofErr w:type="spellEnd"/>
      <w:r w:rsidRPr="00A83FD7">
        <w:rPr>
          <w:lang w:val="es-419"/>
        </w:rPr>
        <w:t xml:space="preserve"> Aguilar, </w:t>
      </w:r>
      <w:r w:rsidRPr="00A83FD7">
        <w:rPr>
          <w:i/>
          <w:lang w:val="es-419"/>
        </w:rPr>
        <w:t xml:space="preserve">supra </w:t>
      </w:r>
      <w:r w:rsidRPr="00A83FD7">
        <w:rPr>
          <w:lang w:val="es-419"/>
        </w:rPr>
        <w:t xml:space="preserve">note </w:t>
      </w:r>
      <w:r>
        <w:fldChar w:fldCharType="begin"/>
      </w:r>
      <w:r w:rsidRPr="00A83FD7">
        <w:rPr>
          <w:lang w:val="es-419"/>
        </w:rPr>
        <w:instrText xml:space="preserve"> NOTEREF _Ref15295121 \h </w:instrText>
      </w:r>
      <w:r>
        <w:fldChar w:fldCharType="separate"/>
      </w:r>
      <w:r w:rsidRPr="00A83FD7">
        <w:rPr>
          <w:lang w:val="es-419"/>
        </w:rPr>
        <w:t>8</w:t>
      </w:r>
      <w:r>
        <w:fldChar w:fldCharType="end"/>
      </w:r>
      <w:r w:rsidRPr="00A83FD7">
        <w:rPr>
          <w:lang w:val="es-419"/>
        </w:rPr>
        <w:t xml:space="preserve"> at para 29.</w:t>
      </w:r>
    </w:p>
  </w:footnote>
  <w:footnote w:id="1040">
    <w:p w14:paraId="77D60E75" w14:textId="6C425F29" w:rsidR="002774A4" w:rsidRPr="00D37630" w:rsidRDefault="002774A4">
      <w:pPr>
        <w:pStyle w:val="FootnoteText"/>
      </w:pPr>
      <w:r>
        <w:rPr>
          <w:rStyle w:val="FootnoteReference"/>
        </w:rPr>
        <w:footnoteRef/>
      </w:r>
      <w:r>
        <w:t xml:space="preserve"> </w:t>
      </w:r>
      <w:r w:rsidRPr="00A550A1">
        <w:rPr>
          <w:color w:val="000000" w:themeColor="text1"/>
        </w:rPr>
        <w:t xml:space="preserve">Committee on the Rights of Persons with Disabilities, </w:t>
      </w:r>
      <w:r>
        <w:t xml:space="preserve">“General comment No.1,” </w:t>
      </w:r>
      <w:r w:rsidRPr="00A550A1">
        <w:rPr>
          <w:i/>
          <w:color w:val="000000" w:themeColor="text1"/>
        </w:rPr>
        <w:t xml:space="preserve">supra </w:t>
      </w:r>
      <w:r w:rsidRPr="00A550A1">
        <w:rPr>
          <w:color w:val="000000" w:themeColor="text1"/>
        </w:rPr>
        <w:t xml:space="preserve">note </w:t>
      </w:r>
      <w:r>
        <w:rPr>
          <w:color w:val="000000" w:themeColor="text1"/>
        </w:rPr>
        <w:fldChar w:fldCharType="begin"/>
      </w:r>
      <w:r>
        <w:rPr>
          <w:color w:val="000000" w:themeColor="text1"/>
        </w:rPr>
        <w:instrText xml:space="preserve"> NOTEREF _Ref15295251 \h </w:instrText>
      </w:r>
      <w:r>
        <w:rPr>
          <w:color w:val="000000" w:themeColor="text1"/>
        </w:rPr>
      </w:r>
      <w:r>
        <w:rPr>
          <w:color w:val="000000" w:themeColor="text1"/>
        </w:rPr>
        <w:fldChar w:fldCharType="separate"/>
      </w:r>
      <w:proofErr w:type="gramStart"/>
      <w:r>
        <w:rPr>
          <w:color w:val="000000" w:themeColor="text1"/>
        </w:rPr>
        <w:t>7</w:t>
      </w:r>
      <w:proofErr w:type="gramEnd"/>
      <w:r>
        <w:rPr>
          <w:color w:val="000000" w:themeColor="text1"/>
        </w:rPr>
        <w:fldChar w:fldCharType="end"/>
      </w:r>
      <w:r>
        <w:rPr>
          <w:color w:val="000000" w:themeColor="text1"/>
        </w:rPr>
        <w:t xml:space="preserve"> at </w:t>
      </w:r>
      <w:r>
        <w:t>para 29(e).</w:t>
      </w:r>
    </w:p>
  </w:footnote>
  <w:footnote w:id="1041">
    <w:p w14:paraId="7BF4D714" w14:textId="095E1B5B" w:rsidR="002774A4" w:rsidRPr="00C50B0D" w:rsidRDefault="002774A4" w:rsidP="00086148">
      <w:pPr>
        <w:pStyle w:val="FootnoteText"/>
      </w:pPr>
      <w:r>
        <w:rPr>
          <w:rStyle w:val="FootnoteReference"/>
        </w:rPr>
        <w:footnoteRef/>
      </w:r>
      <w:r>
        <w:t xml:space="preserve"> </w:t>
      </w:r>
      <w:proofErr w:type="gramStart"/>
      <w:r>
        <w:t xml:space="preserve">See e.g. </w:t>
      </w:r>
      <w:proofErr w:type="spellStart"/>
      <w:r>
        <w:t>Informe</w:t>
      </w:r>
      <w:proofErr w:type="spellEnd"/>
      <w:r>
        <w:t xml:space="preserve"> </w:t>
      </w:r>
      <w:proofErr w:type="spellStart"/>
      <w:r>
        <w:t>Alternativo</w:t>
      </w:r>
      <w:proofErr w:type="spellEnd"/>
      <w:r>
        <w:t xml:space="preserve"> (Costa Rica), </w:t>
      </w:r>
      <w:r>
        <w:rPr>
          <w:i/>
        </w:rPr>
        <w:t xml:space="preserve">supra </w:t>
      </w:r>
      <w:r>
        <w:t xml:space="preserve">note </w:t>
      </w:r>
      <w:r>
        <w:fldChar w:fldCharType="begin"/>
      </w:r>
      <w:r>
        <w:instrText xml:space="preserve"> NOTEREF _Ref15376395 \h </w:instrText>
      </w:r>
      <w:r>
        <w:fldChar w:fldCharType="separate"/>
      </w:r>
      <w:r>
        <w:t>116</w:t>
      </w:r>
      <w:r>
        <w:fldChar w:fldCharType="end"/>
      </w:r>
      <w:r>
        <w:t xml:space="preserve"> at 5, 2018; The Lithuanian Disability Forum, </w:t>
      </w:r>
      <w:r w:rsidRPr="00AA698A">
        <w:rPr>
          <w:i/>
        </w:rPr>
        <w:t xml:space="preserve">Alternative Report Prepared for the UN Committee on the Rights of Persons with Disabilities for the discussion of the Initial </w:t>
      </w:r>
      <w:r>
        <w:rPr>
          <w:i/>
        </w:rPr>
        <w:t>R</w:t>
      </w:r>
      <w:r w:rsidRPr="00AA698A">
        <w:rPr>
          <w:i/>
        </w:rPr>
        <w:t>eport of the Republic of Lithuania on the implementation of the UN Convention on the Rights of Persons with Disabilities</w:t>
      </w:r>
      <w:r>
        <w:rPr>
          <w:i/>
        </w:rPr>
        <w:t xml:space="preserve"> </w:t>
      </w:r>
      <w:r>
        <w:t>(16 March 2016) at para 37(2), online: &lt;</w:t>
      </w:r>
      <w:r w:rsidRPr="000A3D78">
        <w:t xml:space="preserve"> https://tbinternet.ohchr.org/Treaties/CRPD/Shared%20Documents/LTU/INT_CRPD_CSS_LTU_23330_E.doc</w:t>
      </w:r>
      <w:r>
        <w:t xml:space="preserve">&gt;; Cortés, </w:t>
      </w:r>
      <w:proofErr w:type="spellStart"/>
      <w:r>
        <w:t>Documenta</w:t>
      </w:r>
      <w:proofErr w:type="spellEnd"/>
      <w:r>
        <w:t xml:space="preserve"> (Colombia), </w:t>
      </w:r>
      <w:r>
        <w:rPr>
          <w:i/>
        </w:rPr>
        <w:t xml:space="preserve">supra </w:t>
      </w:r>
      <w:r>
        <w:t xml:space="preserve">note </w:t>
      </w:r>
      <w:r>
        <w:fldChar w:fldCharType="begin"/>
      </w:r>
      <w:r>
        <w:instrText xml:space="preserve"> NOTEREF _Ref15652424 \h </w:instrText>
      </w:r>
      <w:r>
        <w:fldChar w:fldCharType="separate"/>
      </w:r>
      <w:r>
        <w:t>152</w:t>
      </w:r>
      <w:r>
        <w:fldChar w:fldCharType="end"/>
      </w:r>
      <w:r>
        <w:t xml:space="preserve">; </w:t>
      </w:r>
      <w:r w:rsidRPr="00C2422D">
        <w:rPr>
          <w:i/>
        </w:rPr>
        <w:t>Hungary: Annex to state party report</w:t>
      </w:r>
      <w:r>
        <w:t xml:space="preserve">, </w:t>
      </w:r>
      <w:r>
        <w:rPr>
          <w:i/>
        </w:rPr>
        <w:t xml:space="preserve">supra </w:t>
      </w:r>
      <w:r>
        <w:t xml:space="preserve">note </w:t>
      </w:r>
      <w:r>
        <w:fldChar w:fldCharType="begin"/>
      </w:r>
      <w:r>
        <w:instrText xml:space="preserve"> NOTEREF _Ref15376497 \h </w:instrText>
      </w:r>
      <w:r>
        <w:fldChar w:fldCharType="separate"/>
      </w:r>
      <w:r>
        <w:t>600</w:t>
      </w:r>
      <w:r>
        <w:fldChar w:fldCharType="end"/>
      </w:r>
      <w:r>
        <w:t xml:space="preserve"> at 27; Public Defender (Ombudsman) of Georgia, </w:t>
      </w:r>
      <w:r>
        <w:rPr>
          <w:i/>
        </w:rPr>
        <w:t xml:space="preserve">supra </w:t>
      </w:r>
      <w:r>
        <w:t xml:space="preserve">note </w:t>
      </w:r>
      <w:r>
        <w:fldChar w:fldCharType="begin"/>
      </w:r>
      <w:r>
        <w:instrText xml:space="preserve"> NOTEREF _Ref15299442 \h </w:instrText>
      </w:r>
      <w:r>
        <w:fldChar w:fldCharType="separate"/>
      </w:r>
      <w:r>
        <w:t>366</w:t>
      </w:r>
      <w:r>
        <w:fldChar w:fldCharType="end"/>
      </w:r>
      <w:r>
        <w:t xml:space="preserve"> at 39;</w:t>
      </w:r>
      <w:r w:rsidRPr="00032545">
        <w:t xml:space="preserve"> </w:t>
      </w:r>
      <w:proofErr w:type="spellStart"/>
      <w:r>
        <w:t>Devandas</w:t>
      </w:r>
      <w:proofErr w:type="spellEnd"/>
      <w:r>
        <w:t xml:space="preserve"> Aguilar, </w:t>
      </w:r>
      <w:r>
        <w:rPr>
          <w:i/>
        </w:rPr>
        <w:t xml:space="preserve">supra </w:t>
      </w:r>
      <w:r>
        <w:t xml:space="preserve">note </w:t>
      </w:r>
      <w:r>
        <w:fldChar w:fldCharType="begin"/>
      </w:r>
      <w:r>
        <w:instrText xml:space="preserve"> NOTEREF _Ref15295121 \h </w:instrText>
      </w:r>
      <w:r>
        <w:fldChar w:fldCharType="separate"/>
      </w:r>
      <w:r>
        <w:t>8</w:t>
      </w:r>
      <w:r>
        <w:fldChar w:fldCharType="end"/>
      </w:r>
      <w:r>
        <w:t xml:space="preserve"> at para 76.</w:t>
      </w:r>
      <w:proofErr w:type="gramEnd"/>
    </w:p>
  </w:footnote>
  <w:footnote w:id="1042">
    <w:p w14:paraId="7AEC1213" w14:textId="6A345F54" w:rsidR="002774A4" w:rsidRPr="00CE2364" w:rsidRDefault="002774A4" w:rsidP="00086148">
      <w:pPr>
        <w:pStyle w:val="FootnoteText"/>
      </w:pPr>
      <w:r>
        <w:rPr>
          <w:rStyle w:val="FootnoteReference"/>
        </w:rPr>
        <w:footnoteRef/>
      </w:r>
      <w:r>
        <w:t xml:space="preserve"> See e.g. </w:t>
      </w:r>
      <w:proofErr w:type="spellStart"/>
      <w:r>
        <w:t>Informe</w:t>
      </w:r>
      <w:proofErr w:type="spellEnd"/>
      <w:r>
        <w:t xml:space="preserve"> </w:t>
      </w:r>
      <w:proofErr w:type="spellStart"/>
      <w:r>
        <w:t>Alternativo</w:t>
      </w:r>
      <w:proofErr w:type="spellEnd"/>
      <w:r>
        <w:t xml:space="preserve">, </w:t>
      </w:r>
      <w:r>
        <w:rPr>
          <w:i/>
        </w:rPr>
        <w:t xml:space="preserve">supra </w:t>
      </w:r>
      <w:r>
        <w:t xml:space="preserve">note </w:t>
      </w:r>
      <w:r>
        <w:fldChar w:fldCharType="begin"/>
      </w:r>
      <w:r>
        <w:instrText xml:space="preserve"> NOTEREF _Ref15376395 \h </w:instrText>
      </w:r>
      <w:r>
        <w:fldChar w:fldCharType="separate"/>
      </w:r>
      <w:r>
        <w:t>116</w:t>
      </w:r>
      <w:r>
        <w:fldChar w:fldCharType="end"/>
      </w:r>
      <w:r>
        <w:t xml:space="preserve"> at </w:t>
      </w:r>
      <w:proofErr w:type="gramStart"/>
      <w:r>
        <w:t>5</w:t>
      </w:r>
      <w:proofErr w:type="gramEnd"/>
      <w:r>
        <w:t>.</w:t>
      </w:r>
    </w:p>
  </w:footnote>
  <w:footnote w:id="1043">
    <w:p w14:paraId="4D7E4DD3" w14:textId="5FD20546" w:rsidR="002774A4" w:rsidRPr="009E5C0A" w:rsidRDefault="002774A4" w:rsidP="00086148">
      <w:pPr>
        <w:pStyle w:val="FootnoteText"/>
      </w:pPr>
      <w:r>
        <w:rPr>
          <w:rStyle w:val="FootnoteReference"/>
        </w:rPr>
        <w:footnoteRef/>
      </w:r>
      <w:r>
        <w:t xml:space="preserve">  National CRPD Coalition-India, </w:t>
      </w:r>
      <w:r>
        <w:rPr>
          <w:i/>
        </w:rPr>
        <w:t xml:space="preserve">supra </w:t>
      </w:r>
      <w:r>
        <w:t xml:space="preserve">note </w:t>
      </w:r>
      <w:r>
        <w:fldChar w:fldCharType="begin"/>
      </w:r>
      <w:r>
        <w:instrText xml:space="preserve"> NOTEREF _Ref15376562 \h </w:instrText>
      </w:r>
      <w:r>
        <w:fldChar w:fldCharType="separate"/>
      </w:r>
      <w:r>
        <w:t>246</w:t>
      </w:r>
      <w:r>
        <w:fldChar w:fldCharType="end"/>
      </w:r>
      <w:r>
        <w:t xml:space="preserve"> at para 98.</w:t>
      </w:r>
    </w:p>
  </w:footnote>
  <w:footnote w:id="1044">
    <w:p w14:paraId="5B887048" w14:textId="193ACAA2" w:rsidR="002774A4" w:rsidRDefault="002774A4">
      <w:pPr>
        <w:pStyle w:val="FootnoteText"/>
      </w:pPr>
      <w:r>
        <w:rPr>
          <w:rStyle w:val="FootnoteReference"/>
        </w:rPr>
        <w:footnoteRef/>
      </w:r>
      <w:r>
        <w:t xml:space="preserve"> Cortés, </w:t>
      </w:r>
      <w:r>
        <w:rPr>
          <w:i/>
        </w:rPr>
        <w:t xml:space="preserve">supra </w:t>
      </w:r>
      <w:r>
        <w:t xml:space="preserve">note </w:t>
      </w:r>
      <w:r>
        <w:fldChar w:fldCharType="begin"/>
      </w:r>
      <w:r>
        <w:instrText xml:space="preserve"> NOTEREF _Ref15652424 \h </w:instrText>
      </w:r>
      <w:r>
        <w:fldChar w:fldCharType="separate"/>
      </w:r>
      <w:r>
        <w:t>152</w:t>
      </w:r>
      <w:r>
        <w:fldChar w:fldCharType="end"/>
      </w:r>
      <w:r>
        <w:t>.</w:t>
      </w:r>
    </w:p>
  </w:footnote>
  <w:footnote w:id="1045">
    <w:p w14:paraId="598C0C47" w14:textId="77777777" w:rsidR="002774A4" w:rsidRPr="00EA556A" w:rsidRDefault="002774A4" w:rsidP="00D31577">
      <w:pPr>
        <w:pStyle w:val="FootnoteText"/>
        <w:rPr>
          <w:i/>
        </w:rPr>
      </w:pPr>
      <w:r>
        <w:rPr>
          <w:rStyle w:val="FootnoteReference"/>
        </w:rPr>
        <w:footnoteRef/>
      </w:r>
      <w:r>
        <w:t xml:space="preserve"> </w:t>
      </w:r>
      <w:r>
        <w:rPr>
          <w:i/>
        </w:rPr>
        <w:t>Ibid.</w:t>
      </w:r>
    </w:p>
  </w:footnote>
  <w:footnote w:id="1046">
    <w:p w14:paraId="76C8C27C" w14:textId="5ED370AA" w:rsidR="002774A4" w:rsidRPr="00182D52" w:rsidRDefault="002774A4" w:rsidP="00623A6E">
      <w:pPr>
        <w:pStyle w:val="FootnoteText"/>
      </w:pPr>
      <w:r>
        <w:rPr>
          <w:rStyle w:val="FootnoteReference"/>
        </w:rPr>
        <w:footnoteRef/>
      </w:r>
      <w:r>
        <w:t xml:space="preserve"> Public Defender (Ombudsman) of Georgia, </w:t>
      </w:r>
      <w:r>
        <w:rPr>
          <w:i/>
        </w:rPr>
        <w:t xml:space="preserve">supra </w:t>
      </w:r>
      <w:r>
        <w:t xml:space="preserve">note </w:t>
      </w:r>
      <w:r>
        <w:fldChar w:fldCharType="begin"/>
      </w:r>
      <w:r>
        <w:instrText xml:space="preserve"> NOTEREF _Ref15299442 \h </w:instrText>
      </w:r>
      <w:r>
        <w:fldChar w:fldCharType="separate"/>
      </w:r>
      <w:r>
        <w:t>366</w:t>
      </w:r>
      <w:r>
        <w:fldChar w:fldCharType="end"/>
      </w:r>
      <w:r>
        <w:t xml:space="preserve"> at 39.</w:t>
      </w:r>
    </w:p>
  </w:footnote>
  <w:footnote w:id="1047">
    <w:p w14:paraId="2CE2B5F4" w14:textId="1B65344C" w:rsidR="002774A4" w:rsidRPr="00916404" w:rsidRDefault="002774A4">
      <w:pPr>
        <w:pStyle w:val="FootnoteText"/>
      </w:pPr>
      <w:r>
        <w:rPr>
          <w:rStyle w:val="FootnoteReference"/>
        </w:rPr>
        <w:footnoteRef/>
      </w:r>
      <w:r>
        <w:t xml:space="preserve"> </w:t>
      </w:r>
      <w:proofErr w:type="gramStart"/>
      <w:r>
        <w:rPr>
          <w:lang w:val="en-GB"/>
        </w:rPr>
        <w:t xml:space="preserve">See also </w:t>
      </w:r>
      <w:r>
        <w:t>Mental Health Europe</w:t>
      </w:r>
      <w:proofErr w:type="gramEnd"/>
      <w:r>
        <w:t xml:space="preserve">, </w:t>
      </w:r>
      <w:proofErr w:type="gramStart"/>
      <w:r>
        <w:rPr>
          <w:i/>
        </w:rPr>
        <w:t xml:space="preserve">supra </w:t>
      </w:r>
      <w:r>
        <w:t xml:space="preserve">note </w:t>
      </w:r>
      <w:r>
        <w:fldChar w:fldCharType="begin"/>
      </w:r>
      <w:r>
        <w:instrText xml:space="preserve"> NOTEREF _Ref15394698 \h </w:instrText>
      </w:r>
      <w:r>
        <w:fldChar w:fldCharType="separate"/>
      </w:r>
      <w:r>
        <w:t>597</w:t>
      </w:r>
      <w:r>
        <w:fldChar w:fldCharType="end"/>
      </w:r>
      <w:r>
        <w:t xml:space="preserve"> at 15</w:t>
      </w:r>
      <w:proofErr w:type="gramEnd"/>
      <w:r>
        <w:t>.</w:t>
      </w:r>
    </w:p>
  </w:footnote>
  <w:footnote w:id="1048">
    <w:p w14:paraId="486ABF69" w14:textId="53223204" w:rsidR="002774A4" w:rsidRPr="00BD36E0" w:rsidRDefault="002774A4">
      <w:pPr>
        <w:pStyle w:val="FootnoteText"/>
      </w:pPr>
      <w:r>
        <w:rPr>
          <w:rStyle w:val="FootnoteReference"/>
        </w:rPr>
        <w:footnoteRef/>
      </w:r>
      <w:r>
        <w:t xml:space="preserve"> </w:t>
      </w:r>
      <w:proofErr w:type="gramStart"/>
      <w:r>
        <w:t>See Quip</w:t>
      </w:r>
      <w:proofErr w:type="gramEnd"/>
      <w:r>
        <w:t xml:space="preserve">, </w:t>
      </w:r>
      <w:proofErr w:type="gramStart"/>
      <w:r>
        <w:rPr>
          <w:i/>
        </w:rPr>
        <w:t xml:space="preserve">supra </w:t>
      </w:r>
      <w:r>
        <w:t xml:space="preserve">note </w:t>
      </w:r>
      <w:r>
        <w:fldChar w:fldCharType="begin"/>
      </w:r>
      <w:r>
        <w:instrText xml:space="preserve"> NOTEREF _Ref15479976 \h </w:instrText>
      </w:r>
      <w:r>
        <w:fldChar w:fldCharType="separate"/>
      </w:r>
      <w:r>
        <w:t>422</w:t>
      </w:r>
      <w:r>
        <w:fldChar w:fldCharType="end"/>
      </w:r>
      <w:r>
        <w:t xml:space="preserve"> at 34</w:t>
      </w:r>
      <w:proofErr w:type="gramEnd"/>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singleLevel"/>
    <w:tmpl w:val="0000000A"/>
    <w:lvl w:ilvl="0">
      <w:start w:val="1"/>
      <w:numFmt w:val="decimal"/>
      <w:lvlText w:val="%1."/>
      <w:lvlJc w:val="left"/>
      <w:pPr>
        <w:tabs>
          <w:tab w:val="num" w:pos="0"/>
        </w:tabs>
        <w:ind w:left="360" w:hanging="360"/>
      </w:pPr>
      <w:rPr>
        <w:rFonts w:ascii="Times New Roman" w:eastAsia="Times New Roman" w:hAnsi="Times New Roman" w:cs="Times New Roman"/>
        <w:b w:val="0"/>
        <w:bCs/>
        <w:i w:val="0"/>
        <w:iCs/>
        <w:color w:val="000000"/>
        <w:spacing w:val="-4"/>
        <w:sz w:val="24"/>
        <w:szCs w:val="24"/>
        <w:lang w:val="en-GB" w:eastAsia="lt-LT"/>
      </w:rPr>
    </w:lvl>
  </w:abstractNum>
  <w:abstractNum w:abstractNumId="1" w15:restartNumberingAfterBreak="0">
    <w:nsid w:val="020A7218"/>
    <w:multiLevelType w:val="hybridMultilevel"/>
    <w:tmpl w:val="7FEC1134"/>
    <w:lvl w:ilvl="0" w:tplc="0078742E">
      <w:start w:val="125"/>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9A2888"/>
    <w:multiLevelType w:val="hybridMultilevel"/>
    <w:tmpl w:val="5024C7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73B6B25"/>
    <w:multiLevelType w:val="hybridMultilevel"/>
    <w:tmpl w:val="575019D8"/>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BBD6545"/>
    <w:multiLevelType w:val="hybridMultilevel"/>
    <w:tmpl w:val="D7A449BC"/>
    <w:lvl w:ilvl="0" w:tplc="5A2A5358">
      <w:start w:val="1"/>
      <w:numFmt w:val="decimal"/>
      <w:lvlText w:val="%1."/>
      <w:lvlJc w:val="left"/>
      <w:pPr>
        <w:ind w:left="0" w:hanging="567"/>
      </w:pPr>
      <w:rPr>
        <w:rFonts w:ascii="Times New Roman" w:hAnsi="Times New Roman" w:cs="Times New Roman" w:hint="default"/>
        <w:b w:val="0"/>
        <w:bCs w:val="0"/>
        <w:i w:val="0"/>
        <w:iCs w:val="0"/>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E1E3675"/>
    <w:multiLevelType w:val="hybridMultilevel"/>
    <w:tmpl w:val="CBCE5742"/>
    <w:lvl w:ilvl="0" w:tplc="0409000F">
      <w:start w:val="1"/>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proofState w:spelling="clean" w:grammar="clean"/>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F0E"/>
    <w:rsid w:val="000001BB"/>
    <w:rsid w:val="00000323"/>
    <w:rsid w:val="000005F4"/>
    <w:rsid w:val="000006B7"/>
    <w:rsid w:val="00000E3E"/>
    <w:rsid w:val="00001108"/>
    <w:rsid w:val="00001293"/>
    <w:rsid w:val="00001374"/>
    <w:rsid w:val="00001412"/>
    <w:rsid w:val="00001462"/>
    <w:rsid w:val="000017CB"/>
    <w:rsid w:val="000018DE"/>
    <w:rsid w:val="000019FB"/>
    <w:rsid w:val="00001A3A"/>
    <w:rsid w:val="00001A90"/>
    <w:rsid w:val="00001C5E"/>
    <w:rsid w:val="00001C67"/>
    <w:rsid w:val="0000235A"/>
    <w:rsid w:val="00002396"/>
    <w:rsid w:val="000024D8"/>
    <w:rsid w:val="00002883"/>
    <w:rsid w:val="000029DE"/>
    <w:rsid w:val="00002A48"/>
    <w:rsid w:val="00002BA9"/>
    <w:rsid w:val="0000300D"/>
    <w:rsid w:val="00003B2E"/>
    <w:rsid w:val="00003C32"/>
    <w:rsid w:val="00003C45"/>
    <w:rsid w:val="00003DF9"/>
    <w:rsid w:val="0000431A"/>
    <w:rsid w:val="0000434B"/>
    <w:rsid w:val="000043B0"/>
    <w:rsid w:val="00004463"/>
    <w:rsid w:val="00004589"/>
    <w:rsid w:val="00004A1C"/>
    <w:rsid w:val="00004BD8"/>
    <w:rsid w:val="00004DC0"/>
    <w:rsid w:val="00004E0A"/>
    <w:rsid w:val="00004FF2"/>
    <w:rsid w:val="000050EC"/>
    <w:rsid w:val="000052AD"/>
    <w:rsid w:val="0000543E"/>
    <w:rsid w:val="00005576"/>
    <w:rsid w:val="000055D5"/>
    <w:rsid w:val="00005A67"/>
    <w:rsid w:val="00005BB5"/>
    <w:rsid w:val="00005BD3"/>
    <w:rsid w:val="00005EF3"/>
    <w:rsid w:val="00005FA4"/>
    <w:rsid w:val="000062BF"/>
    <w:rsid w:val="0000650D"/>
    <w:rsid w:val="0000663C"/>
    <w:rsid w:val="00006650"/>
    <w:rsid w:val="00006BF0"/>
    <w:rsid w:val="00006C13"/>
    <w:rsid w:val="00006C91"/>
    <w:rsid w:val="00006D2F"/>
    <w:rsid w:val="000070AC"/>
    <w:rsid w:val="0000722C"/>
    <w:rsid w:val="000072D6"/>
    <w:rsid w:val="00007367"/>
    <w:rsid w:val="00007773"/>
    <w:rsid w:val="000077AD"/>
    <w:rsid w:val="00007863"/>
    <w:rsid w:val="000079C5"/>
    <w:rsid w:val="00007D95"/>
    <w:rsid w:val="00007E8A"/>
    <w:rsid w:val="0001016A"/>
    <w:rsid w:val="000104F0"/>
    <w:rsid w:val="00010678"/>
    <w:rsid w:val="0001070C"/>
    <w:rsid w:val="00010774"/>
    <w:rsid w:val="000109F4"/>
    <w:rsid w:val="00010A62"/>
    <w:rsid w:val="00010AB4"/>
    <w:rsid w:val="00010E9D"/>
    <w:rsid w:val="00010F5D"/>
    <w:rsid w:val="000114D0"/>
    <w:rsid w:val="000119D1"/>
    <w:rsid w:val="00011DFA"/>
    <w:rsid w:val="00012009"/>
    <w:rsid w:val="00012230"/>
    <w:rsid w:val="00012635"/>
    <w:rsid w:val="0001295B"/>
    <w:rsid w:val="00012B76"/>
    <w:rsid w:val="00012CEE"/>
    <w:rsid w:val="00012D62"/>
    <w:rsid w:val="00012DB3"/>
    <w:rsid w:val="0001301C"/>
    <w:rsid w:val="000131C5"/>
    <w:rsid w:val="00013243"/>
    <w:rsid w:val="00013798"/>
    <w:rsid w:val="00013822"/>
    <w:rsid w:val="0001398C"/>
    <w:rsid w:val="00013C7B"/>
    <w:rsid w:val="00013E99"/>
    <w:rsid w:val="00014196"/>
    <w:rsid w:val="00014210"/>
    <w:rsid w:val="0001462A"/>
    <w:rsid w:val="00014CFC"/>
    <w:rsid w:val="00014E55"/>
    <w:rsid w:val="00014E62"/>
    <w:rsid w:val="00014F08"/>
    <w:rsid w:val="00014FE5"/>
    <w:rsid w:val="000150F4"/>
    <w:rsid w:val="00015162"/>
    <w:rsid w:val="00015190"/>
    <w:rsid w:val="0001522D"/>
    <w:rsid w:val="00015389"/>
    <w:rsid w:val="00015804"/>
    <w:rsid w:val="00015806"/>
    <w:rsid w:val="00015A28"/>
    <w:rsid w:val="00015D89"/>
    <w:rsid w:val="00015FFF"/>
    <w:rsid w:val="0001610E"/>
    <w:rsid w:val="0001613B"/>
    <w:rsid w:val="0001646E"/>
    <w:rsid w:val="000166CF"/>
    <w:rsid w:val="00016A1D"/>
    <w:rsid w:val="00016AF8"/>
    <w:rsid w:val="00016B68"/>
    <w:rsid w:val="00016BA9"/>
    <w:rsid w:val="00016BBA"/>
    <w:rsid w:val="00016D19"/>
    <w:rsid w:val="00016F0B"/>
    <w:rsid w:val="000175CF"/>
    <w:rsid w:val="00017605"/>
    <w:rsid w:val="00017908"/>
    <w:rsid w:val="00017EDC"/>
    <w:rsid w:val="000200B5"/>
    <w:rsid w:val="00020208"/>
    <w:rsid w:val="0002037D"/>
    <w:rsid w:val="00020607"/>
    <w:rsid w:val="000208F7"/>
    <w:rsid w:val="00020C21"/>
    <w:rsid w:val="00020E9A"/>
    <w:rsid w:val="0002110F"/>
    <w:rsid w:val="00021116"/>
    <w:rsid w:val="000211B6"/>
    <w:rsid w:val="0002125F"/>
    <w:rsid w:val="0002144E"/>
    <w:rsid w:val="00021731"/>
    <w:rsid w:val="00022349"/>
    <w:rsid w:val="00022563"/>
    <w:rsid w:val="00022855"/>
    <w:rsid w:val="0002285E"/>
    <w:rsid w:val="00022BA5"/>
    <w:rsid w:val="00022D46"/>
    <w:rsid w:val="0002310D"/>
    <w:rsid w:val="00023287"/>
    <w:rsid w:val="00023B7F"/>
    <w:rsid w:val="00023D7D"/>
    <w:rsid w:val="00023F9F"/>
    <w:rsid w:val="000245F6"/>
    <w:rsid w:val="00024A20"/>
    <w:rsid w:val="00024A71"/>
    <w:rsid w:val="00024B9F"/>
    <w:rsid w:val="00024BC4"/>
    <w:rsid w:val="00024D54"/>
    <w:rsid w:val="00024DC1"/>
    <w:rsid w:val="00024EAC"/>
    <w:rsid w:val="00025132"/>
    <w:rsid w:val="000255E6"/>
    <w:rsid w:val="000255EA"/>
    <w:rsid w:val="00025918"/>
    <w:rsid w:val="00025AAA"/>
    <w:rsid w:val="00025DE4"/>
    <w:rsid w:val="00025E7C"/>
    <w:rsid w:val="00025F77"/>
    <w:rsid w:val="00026071"/>
    <w:rsid w:val="000261B4"/>
    <w:rsid w:val="00026374"/>
    <w:rsid w:val="0002637B"/>
    <w:rsid w:val="0002637E"/>
    <w:rsid w:val="000265A7"/>
    <w:rsid w:val="000266C5"/>
    <w:rsid w:val="0002678F"/>
    <w:rsid w:val="00026836"/>
    <w:rsid w:val="0002697A"/>
    <w:rsid w:val="00026B5A"/>
    <w:rsid w:val="00026C2F"/>
    <w:rsid w:val="00026EED"/>
    <w:rsid w:val="0002701D"/>
    <w:rsid w:val="000271DE"/>
    <w:rsid w:val="00027363"/>
    <w:rsid w:val="0002740C"/>
    <w:rsid w:val="00027755"/>
    <w:rsid w:val="00027A51"/>
    <w:rsid w:val="00027DF5"/>
    <w:rsid w:val="000309A1"/>
    <w:rsid w:val="00030B4C"/>
    <w:rsid w:val="00030B84"/>
    <w:rsid w:val="00030C03"/>
    <w:rsid w:val="000310A0"/>
    <w:rsid w:val="0003120D"/>
    <w:rsid w:val="0003141E"/>
    <w:rsid w:val="000316D2"/>
    <w:rsid w:val="000317B7"/>
    <w:rsid w:val="00031A02"/>
    <w:rsid w:val="00031C79"/>
    <w:rsid w:val="00031DF0"/>
    <w:rsid w:val="0003200A"/>
    <w:rsid w:val="00032050"/>
    <w:rsid w:val="0003210E"/>
    <w:rsid w:val="000322FD"/>
    <w:rsid w:val="00032545"/>
    <w:rsid w:val="0003299C"/>
    <w:rsid w:val="00032A30"/>
    <w:rsid w:val="00032B20"/>
    <w:rsid w:val="00033170"/>
    <w:rsid w:val="00033188"/>
    <w:rsid w:val="000336A3"/>
    <w:rsid w:val="00033A7E"/>
    <w:rsid w:val="00033B2F"/>
    <w:rsid w:val="00033BDD"/>
    <w:rsid w:val="00033E64"/>
    <w:rsid w:val="0003417A"/>
    <w:rsid w:val="00034445"/>
    <w:rsid w:val="00034650"/>
    <w:rsid w:val="00034DFC"/>
    <w:rsid w:val="00034FF6"/>
    <w:rsid w:val="0003502B"/>
    <w:rsid w:val="00035308"/>
    <w:rsid w:val="000354D0"/>
    <w:rsid w:val="00035668"/>
    <w:rsid w:val="000356F5"/>
    <w:rsid w:val="00035883"/>
    <w:rsid w:val="00035E33"/>
    <w:rsid w:val="00035FAF"/>
    <w:rsid w:val="0003646E"/>
    <w:rsid w:val="000367E2"/>
    <w:rsid w:val="0003682F"/>
    <w:rsid w:val="0003684A"/>
    <w:rsid w:val="00036933"/>
    <w:rsid w:val="000369F2"/>
    <w:rsid w:val="00036AAB"/>
    <w:rsid w:val="00036B9C"/>
    <w:rsid w:val="00036C66"/>
    <w:rsid w:val="00036E9C"/>
    <w:rsid w:val="00036F7C"/>
    <w:rsid w:val="0003761E"/>
    <w:rsid w:val="000379E9"/>
    <w:rsid w:val="00037AFC"/>
    <w:rsid w:val="00037D43"/>
    <w:rsid w:val="00037DB2"/>
    <w:rsid w:val="00037E28"/>
    <w:rsid w:val="00040581"/>
    <w:rsid w:val="00040746"/>
    <w:rsid w:val="00040923"/>
    <w:rsid w:val="00040D79"/>
    <w:rsid w:val="000416F6"/>
    <w:rsid w:val="00041866"/>
    <w:rsid w:val="00041DE7"/>
    <w:rsid w:val="00041F16"/>
    <w:rsid w:val="00041F49"/>
    <w:rsid w:val="00042158"/>
    <w:rsid w:val="0004234A"/>
    <w:rsid w:val="0004259C"/>
    <w:rsid w:val="00042699"/>
    <w:rsid w:val="00042711"/>
    <w:rsid w:val="000428AF"/>
    <w:rsid w:val="000428B7"/>
    <w:rsid w:val="00042B52"/>
    <w:rsid w:val="00042C4A"/>
    <w:rsid w:val="00042E09"/>
    <w:rsid w:val="00042EB0"/>
    <w:rsid w:val="00042EEA"/>
    <w:rsid w:val="00042F90"/>
    <w:rsid w:val="00043152"/>
    <w:rsid w:val="000433ED"/>
    <w:rsid w:val="00043525"/>
    <w:rsid w:val="0004381B"/>
    <w:rsid w:val="000438E0"/>
    <w:rsid w:val="00043A35"/>
    <w:rsid w:val="00043CBA"/>
    <w:rsid w:val="00043FAF"/>
    <w:rsid w:val="00044628"/>
    <w:rsid w:val="00044673"/>
    <w:rsid w:val="00044B57"/>
    <w:rsid w:val="00044C56"/>
    <w:rsid w:val="00044D94"/>
    <w:rsid w:val="00044E2E"/>
    <w:rsid w:val="00044F01"/>
    <w:rsid w:val="00044F06"/>
    <w:rsid w:val="000450A5"/>
    <w:rsid w:val="000450CE"/>
    <w:rsid w:val="00045109"/>
    <w:rsid w:val="00045308"/>
    <w:rsid w:val="0004532B"/>
    <w:rsid w:val="00045372"/>
    <w:rsid w:val="000454F2"/>
    <w:rsid w:val="0004570B"/>
    <w:rsid w:val="000458CD"/>
    <w:rsid w:val="000459AC"/>
    <w:rsid w:val="00045D1B"/>
    <w:rsid w:val="00045D78"/>
    <w:rsid w:val="00045E78"/>
    <w:rsid w:val="00045ED6"/>
    <w:rsid w:val="00045EF3"/>
    <w:rsid w:val="00045F22"/>
    <w:rsid w:val="000461CC"/>
    <w:rsid w:val="00046288"/>
    <w:rsid w:val="0004664F"/>
    <w:rsid w:val="00046730"/>
    <w:rsid w:val="00046E0A"/>
    <w:rsid w:val="00046EFD"/>
    <w:rsid w:val="00047091"/>
    <w:rsid w:val="00047243"/>
    <w:rsid w:val="0004772F"/>
    <w:rsid w:val="000479C9"/>
    <w:rsid w:val="00047BC3"/>
    <w:rsid w:val="00047BE4"/>
    <w:rsid w:val="00047CF1"/>
    <w:rsid w:val="00047F5F"/>
    <w:rsid w:val="0005022A"/>
    <w:rsid w:val="00050245"/>
    <w:rsid w:val="000504CA"/>
    <w:rsid w:val="00050504"/>
    <w:rsid w:val="0005064B"/>
    <w:rsid w:val="000507C1"/>
    <w:rsid w:val="00050C03"/>
    <w:rsid w:val="00050E49"/>
    <w:rsid w:val="0005127B"/>
    <w:rsid w:val="0005222D"/>
    <w:rsid w:val="0005264D"/>
    <w:rsid w:val="0005272A"/>
    <w:rsid w:val="0005274F"/>
    <w:rsid w:val="000529CC"/>
    <w:rsid w:val="00052B56"/>
    <w:rsid w:val="00052DB4"/>
    <w:rsid w:val="00052F2D"/>
    <w:rsid w:val="000531B2"/>
    <w:rsid w:val="000531C3"/>
    <w:rsid w:val="000532C8"/>
    <w:rsid w:val="00053345"/>
    <w:rsid w:val="000537EC"/>
    <w:rsid w:val="00053AA1"/>
    <w:rsid w:val="00053E49"/>
    <w:rsid w:val="00053E50"/>
    <w:rsid w:val="0005407F"/>
    <w:rsid w:val="0005485E"/>
    <w:rsid w:val="000549F5"/>
    <w:rsid w:val="00054D8F"/>
    <w:rsid w:val="00054D90"/>
    <w:rsid w:val="00054E7B"/>
    <w:rsid w:val="00055034"/>
    <w:rsid w:val="0005510E"/>
    <w:rsid w:val="000553BA"/>
    <w:rsid w:val="00055536"/>
    <w:rsid w:val="000555A6"/>
    <w:rsid w:val="000555F3"/>
    <w:rsid w:val="00055635"/>
    <w:rsid w:val="00055837"/>
    <w:rsid w:val="0005604C"/>
    <w:rsid w:val="00056296"/>
    <w:rsid w:val="00056364"/>
    <w:rsid w:val="000566E8"/>
    <w:rsid w:val="00056A8F"/>
    <w:rsid w:val="000570B5"/>
    <w:rsid w:val="000570BC"/>
    <w:rsid w:val="0005723B"/>
    <w:rsid w:val="00057473"/>
    <w:rsid w:val="0005754A"/>
    <w:rsid w:val="0005759E"/>
    <w:rsid w:val="0005769F"/>
    <w:rsid w:val="00057790"/>
    <w:rsid w:val="00057816"/>
    <w:rsid w:val="000579F1"/>
    <w:rsid w:val="00057D6E"/>
    <w:rsid w:val="00057EF6"/>
    <w:rsid w:val="000600DF"/>
    <w:rsid w:val="0006028E"/>
    <w:rsid w:val="00060573"/>
    <w:rsid w:val="00060726"/>
    <w:rsid w:val="00060A11"/>
    <w:rsid w:val="00060A2A"/>
    <w:rsid w:val="00060BF1"/>
    <w:rsid w:val="000610BF"/>
    <w:rsid w:val="000611CD"/>
    <w:rsid w:val="000614A0"/>
    <w:rsid w:val="000616B3"/>
    <w:rsid w:val="000617DC"/>
    <w:rsid w:val="00061BB1"/>
    <w:rsid w:val="00061E50"/>
    <w:rsid w:val="0006204E"/>
    <w:rsid w:val="00062680"/>
    <w:rsid w:val="0006276A"/>
    <w:rsid w:val="00062920"/>
    <w:rsid w:val="00062A15"/>
    <w:rsid w:val="00062A8F"/>
    <w:rsid w:val="00062B73"/>
    <w:rsid w:val="00062F86"/>
    <w:rsid w:val="00062FFC"/>
    <w:rsid w:val="0006361F"/>
    <w:rsid w:val="00063C92"/>
    <w:rsid w:val="00063D4B"/>
    <w:rsid w:val="00063DBF"/>
    <w:rsid w:val="00064140"/>
    <w:rsid w:val="00064191"/>
    <w:rsid w:val="00064209"/>
    <w:rsid w:val="00064655"/>
    <w:rsid w:val="00064873"/>
    <w:rsid w:val="00064C1D"/>
    <w:rsid w:val="00065123"/>
    <w:rsid w:val="000651D6"/>
    <w:rsid w:val="000653A0"/>
    <w:rsid w:val="000658AA"/>
    <w:rsid w:val="00065BBC"/>
    <w:rsid w:val="00065E20"/>
    <w:rsid w:val="0006620F"/>
    <w:rsid w:val="00066577"/>
    <w:rsid w:val="00066642"/>
    <w:rsid w:val="000666CC"/>
    <w:rsid w:val="0006697E"/>
    <w:rsid w:val="00066AF6"/>
    <w:rsid w:val="00066B8A"/>
    <w:rsid w:val="00066B9D"/>
    <w:rsid w:val="00066BEF"/>
    <w:rsid w:val="00066C82"/>
    <w:rsid w:val="00066D29"/>
    <w:rsid w:val="00066DE6"/>
    <w:rsid w:val="00066E92"/>
    <w:rsid w:val="00067340"/>
    <w:rsid w:val="000673CA"/>
    <w:rsid w:val="000675F0"/>
    <w:rsid w:val="0006769F"/>
    <w:rsid w:val="000676EB"/>
    <w:rsid w:val="00067702"/>
    <w:rsid w:val="00067B72"/>
    <w:rsid w:val="00067F56"/>
    <w:rsid w:val="00067FD2"/>
    <w:rsid w:val="000702E7"/>
    <w:rsid w:val="000702EC"/>
    <w:rsid w:val="000702F7"/>
    <w:rsid w:val="0007035F"/>
    <w:rsid w:val="00070540"/>
    <w:rsid w:val="00070809"/>
    <w:rsid w:val="00070899"/>
    <w:rsid w:val="00070A23"/>
    <w:rsid w:val="00070DD2"/>
    <w:rsid w:val="00070E0F"/>
    <w:rsid w:val="00070E4A"/>
    <w:rsid w:val="00071082"/>
    <w:rsid w:val="000710BF"/>
    <w:rsid w:val="0007156D"/>
    <w:rsid w:val="000715C3"/>
    <w:rsid w:val="00071B1F"/>
    <w:rsid w:val="00071D31"/>
    <w:rsid w:val="00071F86"/>
    <w:rsid w:val="000722BB"/>
    <w:rsid w:val="0007252D"/>
    <w:rsid w:val="000725A8"/>
    <w:rsid w:val="000726DF"/>
    <w:rsid w:val="00072738"/>
    <w:rsid w:val="00072E76"/>
    <w:rsid w:val="000732E1"/>
    <w:rsid w:val="00073366"/>
    <w:rsid w:val="000734A1"/>
    <w:rsid w:val="000737B5"/>
    <w:rsid w:val="000739A3"/>
    <w:rsid w:val="00073F00"/>
    <w:rsid w:val="00073F37"/>
    <w:rsid w:val="000741E3"/>
    <w:rsid w:val="0007473B"/>
    <w:rsid w:val="000747B5"/>
    <w:rsid w:val="000748B4"/>
    <w:rsid w:val="000749D7"/>
    <w:rsid w:val="00074AE6"/>
    <w:rsid w:val="00074CF0"/>
    <w:rsid w:val="00074FFE"/>
    <w:rsid w:val="00075015"/>
    <w:rsid w:val="0007509C"/>
    <w:rsid w:val="00075141"/>
    <w:rsid w:val="00075246"/>
    <w:rsid w:val="00075284"/>
    <w:rsid w:val="00075490"/>
    <w:rsid w:val="000756A3"/>
    <w:rsid w:val="00075829"/>
    <w:rsid w:val="00075A49"/>
    <w:rsid w:val="00075C11"/>
    <w:rsid w:val="00075E5A"/>
    <w:rsid w:val="00075E63"/>
    <w:rsid w:val="00075F1B"/>
    <w:rsid w:val="00075FDA"/>
    <w:rsid w:val="000760A1"/>
    <w:rsid w:val="000761B4"/>
    <w:rsid w:val="000762EE"/>
    <w:rsid w:val="0007649C"/>
    <w:rsid w:val="00076BF8"/>
    <w:rsid w:val="00076DB2"/>
    <w:rsid w:val="00076E8F"/>
    <w:rsid w:val="00076F76"/>
    <w:rsid w:val="000770A1"/>
    <w:rsid w:val="000775A8"/>
    <w:rsid w:val="00077707"/>
    <w:rsid w:val="0007798B"/>
    <w:rsid w:val="00077ACD"/>
    <w:rsid w:val="00077E20"/>
    <w:rsid w:val="00077F53"/>
    <w:rsid w:val="000804E6"/>
    <w:rsid w:val="00080859"/>
    <w:rsid w:val="000808B3"/>
    <w:rsid w:val="00080E6B"/>
    <w:rsid w:val="00080E6F"/>
    <w:rsid w:val="00080F28"/>
    <w:rsid w:val="00080F52"/>
    <w:rsid w:val="00080F8F"/>
    <w:rsid w:val="000811F9"/>
    <w:rsid w:val="00081262"/>
    <w:rsid w:val="0008128E"/>
    <w:rsid w:val="000814B0"/>
    <w:rsid w:val="000814BB"/>
    <w:rsid w:val="000815EA"/>
    <w:rsid w:val="000816DA"/>
    <w:rsid w:val="000816EB"/>
    <w:rsid w:val="00081961"/>
    <w:rsid w:val="00081993"/>
    <w:rsid w:val="00081C72"/>
    <w:rsid w:val="00081E0D"/>
    <w:rsid w:val="0008202C"/>
    <w:rsid w:val="00082053"/>
    <w:rsid w:val="000823E2"/>
    <w:rsid w:val="00082472"/>
    <w:rsid w:val="000824E4"/>
    <w:rsid w:val="000826A1"/>
    <w:rsid w:val="00082769"/>
    <w:rsid w:val="000827C1"/>
    <w:rsid w:val="000828E2"/>
    <w:rsid w:val="00082E8D"/>
    <w:rsid w:val="00082ECA"/>
    <w:rsid w:val="0008301F"/>
    <w:rsid w:val="000830D1"/>
    <w:rsid w:val="00083266"/>
    <w:rsid w:val="000834C8"/>
    <w:rsid w:val="000835B6"/>
    <w:rsid w:val="000837B1"/>
    <w:rsid w:val="00083B1E"/>
    <w:rsid w:val="00083ED3"/>
    <w:rsid w:val="000842F6"/>
    <w:rsid w:val="00084603"/>
    <w:rsid w:val="0008466F"/>
    <w:rsid w:val="00084905"/>
    <w:rsid w:val="000849FD"/>
    <w:rsid w:val="00084DFD"/>
    <w:rsid w:val="00084EA2"/>
    <w:rsid w:val="00085161"/>
    <w:rsid w:val="000851E0"/>
    <w:rsid w:val="0008570D"/>
    <w:rsid w:val="00085CF2"/>
    <w:rsid w:val="00085D1A"/>
    <w:rsid w:val="00086148"/>
    <w:rsid w:val="000861AC"/>
    <w:rsid w:val="000861C5"/>
    <w:rsid w:val="0008620F"/>
    <w:rsid w:val="0008642B"/>
    <w:rsid w:val="00086777"/>
    <w:rsid w:val="000867CC"/>
    <w:rsid w:val="000868BD"/>
    <w:rsid w:val="000868E6"/>
    <w:rsid w:val="000869C1"/>
    <w:rsid w:val="00086A48"/>
    <w:rsid w:val="00086C5D"/>
    <w:rsid w:val="00086CC9"/>
    <w:rsid w:val="00087038"/>
    <w:rsid w:val="0008743B"/>
    <w:rsid w:val="00087617"/>
    <w:rsid w:val="0008778B"/>
    <w:rsid w:val="00087852"/>
    <w:rsid w:val="00087AE6"/>
    <w:rsid w:val="00087F42"/>
    <w:rsid w:val="00087F62"/>
    <w:rsid w:val="000902DB"/>
    <w:rsid w:val="00090387"/>
    <w:rsid w:val="00090436"/>
    <w:rsid w:val="00090491"/>
    <w:rsid w:val="000904FC"/>
    <w:rsid w:val="0009066B"/>
    <w:rsid w:val="00090680"/>
    <w:rsid w:val="000906E4"/>
    <w:rsid w:val="00090723"/>
    <w:rsid w:val="000908B2"/>
    <w:rsid w:val="00090AF7"/>
    <w:rsid w:val="00090FDB"/>
    <w:rsid w:val="0009122A"/>
    <w:rsid w:val="00091655"/>
    <w:rsid w:val="0009167F"/>
    <w:rsid w:val="00091690"/>
    <w:rsid w:val="00091987"/>
    <w:rsid w:val="00091991"/>
    <w:rsid w:val="00092246"/>
    <w:rsid w:val="000923B9"/>
    <w:rsid w:val="000923E2"/>
    <w:rsid w:val="00092730"/>
    <w:rsid w:val="00092774"/>
    <w:rsid w:val="00092803"/>
    <w:rsid w:val="00092B73"/>
    <w:rsid w:val="00092E32"/>
    <w:rsid w:val="00092EEE"/>
    <w:rsid w:val="00093096"/>
    <w:rsid w:val="0009345A"/>
    <w:rsid w:val="000938F4"/>
    <w:rsid w:val="00093977"/>
    <w:rsid w:val="00093AD9"/>
    <w:rsid w:val="00093AEE"/>
    <w:rsid w:val="000940E3"/>
    <w:rsid w:val="000940F7"/>
    <w:rsid w:val="0009452F"/>
    <w:rsid w:val="000945C5"/>
    <w:rsid w:val="00094681"/>
    <w:rsid w:val="0009480A"/>
    <w:rsid w:val="00094DE3"/>
    <w:rsid w:val="00094E15"/>
    <w:rsid w:val="00095013"/>
    <w:rsid w:val="000950D7"/>
    <w:rsid w:val="000952C6"/>
    <w:rsid w:val="000952FD"/>
    <w:rsid w:val="000955D6"/>
    <w:rsid w:val="00095782"/>
    <w:rsid w:val="00095857"/>
    <w:rsid w:val="00095939"/>
    <w:rsid w:val="00095B80"/>
    <w:rsid w:val="00095BE4"/>
    <w:rsid w:val="00095CA7"/>
    <w:rsid w:val="00095D4F"/>
    <w:rsid w:val="00096186"/>
    <w:rsid w:val="000963BA"/>
    <w:rsid w:val="00096432"/>
    <w:rsid w:val="00096459"/>
    <w:rsid w:val="000966C2"/>
    <w:rsid w:val="000966C6"/>
    <w:rsid w:val="000967BE"/>
    <w:rsid w:val="0009687A"/>
    <w:rsid w:val="0009699E"/>
    <w:rsid w:val="000969DE"/>
    <w:rsid w:val="00096B69"/>
    <w:rsid w:val="00096E28"/>
    <w:rsid w:val="0009730F"/>
    <w:rsid w:val="00097358"/>
    <w:rsid w:val="000974B7"/>
    <w:rsid w:val="0009773D"/>
    <w:rsid w:val="00097741"/>
    <w:rsid w:val="00097823"/>
    <w:rsid w:val="000978BE"/>
    <w:rsid w:val="0009797E"/>
    <w:rsid w:val="00097C21"/>
    <w:rsid w:val="00097CD1"/>
    <w:rsid w:val="00097CEA"/>
    <w:rsid w:val="000A031F"/>
    <w:rsid w:val="000A0375"/>
    <w:rsid w:val="000A07D7"/>
    <w:rsid w:val="000A09FD"/>
    <w:rsid w:val="000A10EA"/>
    <w:rsid w:val="000A124F"/>
    <w:rsid w:val="000A1B2F"/>
    <w:rsid w:val="000A1BD8"/>
    <w:rsid w:val="000A1EE9"/>
    <w:rsid w:val="000A20AB"/>
    <w:rsid w:val="000A241C"/>
    <w:rsid w:val="000A2758"/>
    <w:rsid w:val="000A2B40"/>
    <w:rsid w:val="000A2E2B"/>
    <w:rsid w:val="000A2FD1"/>
    <w:rsid w:val="000A30D2"/>
    <w:rsid w:val="000A3116"/>
    <w:rsid w:val="000A376B"/>
    <w:rsid w:val="000A3A4A"/>
    <w:rsid w:val="000A3D78"/>
    <w:rsid w:val="000A3EFA"/>
    <w:rsid w:val="000A404E"/>
    <w:rsid w:val="000A4176"/>
    <w:rsid w:val="000A42F2"/>
    <w:rsid w:val="000A438F"/>
    <w:rsid w:val="000A4465"/>
    <w:rsid w:val="000A44D0"/>
    <w:rsid w:val="000A4996"/>
    <w:rsid w:val="000A4A70"/>
    <w:rsid w:val="000A4C56"/>
    <w:rsid w:val="000A52B3"/>
    <w:rsid w:val="000A5450"/>
    <w:rsid w:val="000A5462"/>
    <w:rsid w:val="000A564C"/>
    <w:rsid w:val="000A56DD"/>
    <w:rsid w:val="000A5D81"/>
    <w:rsid w:val="000A5FF7"/>
    <w:rsid w:val="000A6086"/>
    <w:rsid w:val="000A61C9"/>
    <w:rsid w:val="000A6234"/>
    <w:rsid w:val="000A6461"/>
    <w:rsid w:val="000A67ED"/>
    <w:rsid w:val="000A6A43"/>
    <w:rsid w:val="000A7212"/>
    <w:rsid w:val="000A7725"/>
    <w:rsid w:val="000A7A33"/>
    <w:rsid w:val="000A7B45"/>
    <w:rsid w:val="000A7E37"/>
    <w:rsid w:val="000A7FAD"/>
    <w:rsid w:val="000B0066"/>
    <w:rsid w:val="000B015D"/>
    <w:rsid w:val="000B02BE"/>
    <w:rsid w:val="000B037C"/>
    <w:rsid w:val="000B062B"/>
    <w:rsid w:val="000B08FD"/>
    <w:rsid w:val="000B09D4"/>
    <w:rsid w:val="000B0D46"/>
    <w:rsid w:val="000B0F23"/>
    <w:rsid w:val="000B1085"/>
    <w:rsid w:val="000B1334"/>
    <w:rsid w:val="000B178C"/>
    <w:rsid w:val="000B17AA"/>
    <w:rsid w:val="000B17B1"/>
    <w:rsid w:val="000B1A0F"/>
    <w:rsid w:val="000B1CAB"/>
    <w:rsid w:val="000B1E31"/>
    <w:rsid w:val="000B1ED1"/>
    <w:rsid w:val="000B24D8"/>
    <w:rsid w:val="000B2622"/>
    <w:rsid w:val="000B2632"/>
    <w:rsid w:val="000B2655"/>
    <w:rsid w:val="000B27E8"/>
    <w:rsid w:val="000B2BD3"/>
    <w:rsid w:val="000B2C62"/>
    <w:rsid w:val="000B2CAC"/>
    <w:rsid w:val="000B2CF7"/>
    <w:rsid w:val="000B3184"/>
    <w:rsid w:val="000B32AF"/>
    <w:rsid w:val="000B343D"/>
    <w:rsid w:val="000B3497"/>
    <w:rsid w:val="000B3678"/>
    <w:rsid w:val="000B37B1"/>
    <w:rsid w:val="000B393B"/>
    <w:rsid w:val="000B39C4"/>
    <w:rsid w:val="000B3A76"/>
    <w:rsid w:val="000B3AB4"/>
    <w:rsid w:val="000B3C13"/>
    <w:rsid w:val="000B3D58"/>
    <w:rsid w:val="000B3E4E"/>
    <w:rsid w:val="000B3FEB"/>
    <w:rsid w:val="000B4049"/>
    <w:rsid w:val="000B40F0"/>
    <w:rsid w:val="000B4141"/>
    <w:rsid w:val="000B422D"/>
    <w:rsid w:val="000B42C0"/>
    <w:rsid w:val="000B42C6"/>
    <w:rsid w:val="000B44FD"/>
    <w:rsid w:val="000B45B8"/>
    <w:rsid w:val="000B4739"/>
    <w:rsid w:val="000B4A90"/>
    <w:rsid w:val="000B4BAF"/>
    <w:rsid w:val="000B53C1"/>
    <w:rsid w:val="000B5B9F"/>
    <w:rsid w:val="000B5FE4"/>
    <w:rsid w:val="000B6306"/>
    <w:rsid w:val="000B630B"/>
    <w:rsid w:val="000B65EF"/>
    <w:rsid w:val="000B66D2"/>
    <w:rsid w:val="000B6899"/>
    <w:rsid w:val="000B6AEA"/>
    <w:rsid w:val="000B6C8F"/>
    <w:rsid w:val="000B6F31"/>
    <w:rsid w:val="000B7073"/>
    <w:rsid w:val="000B74EB"/>
    <w:rsid w:val="000B753E"/>
    <w:rsid w:val="000B77FF"/>
    <w:rsid w:val="000B7AF9"/>
    <w:rsid w:val="000B7D66"/>
    <w:rsid w:val="000B7E32"/>
    <w:rsid w:val="000B7E7A"/>
    <w:rsid w:val="000C0079"/>
    <w:rsid w:val="000C00A7"/>
    <w:rsid w:val="000C01ED"/>
    <w:rsid w:val="000C06E0"/>
    <w:rsid w:val="000C089F"/>
    <w:rsid w:val="000C0A34"/>
    <w:rsid w:val="000C0BD9"/>
    <w:rsid w:val="000C0F28"/>
    <w:rsid w:val="000C10AF"/>
    <w:rsid w:val="000C1831"/>
    <w:rsid w:val="000C189D"/>
    <w:rsid w:val="000C1CD2"/>
    <w:rsid w:val="000C1D3A"/>
    <w:rsid w:val="000C2059"/>
    <w:rsid w:val="000C21EA"/>
    <w:rsid w:val="000C21F3"/>
    <w:rsid w:val="000C226C"/>
    <w:rsid w:val="000C2515"/>
    <w:rsid w:val="000C260B"/>
    <w:rsid w:val="000C2766"/>
    <w:rsid w:val="000C2776"/>
    <w:rsid w:val="000C287A"/>
    <w:rsid w:val="000C2A87"/>
    <w:rsid w:val="000C2C07"/>
    <w:rsid w:val="000C2C60"/>
    <w:rsid w:val="000C2D56"/>
    <w:rsid w:val="000C30F8"/>
    <w:rsid w:val="000C3259"/>
    <w:rsid w:val="000C3260"/>
    <w:rsid w:val="000C3283"/>
    <w:rsid w:val="000C372E"/>
    <w:rsid w:val="000C3815"/>
    <w:rsid w:val="000C3D37"/>
    <w:rsid w:val="000C3E90"/>
    <w:rsid w:val="000C4289"/>
    <w:rsid w:val="000C4656"/>
    <w:rsid w:val="000C48C8"/>
    <w:rsid w:val="000C4A1B"/>
    <w:rsid w:val="000C4AB9"/>
    <w:rsid w:val="000C4CE8"/>
    <w:rsid w:val="000C4DD9"/>
    <w:rsid w:val="000C4F99"/>
    <w:rsid w:val="000C537C"/>
    <w:rsid w:val="000C5418"/>
    <w:rsid w:val="000C5526"/>
    <w:rsid w:val="000C564E"/>
    <w:rsid w:val="000C5AE6"/>
    <w:rsid w:val="000C5D13"/>
    <w:rsid w:val="000C5D47"/>
    <w:rsid w:val="000C608D"/>
    <w:rsid w:val="000C651F"/>
    <w:rsid w:val="000C6546"/>
    <w:rsid w:val="000C66F2"/>
    <w:rsid w:val="000C679C"/>
    <w:rsid w:val="000C6BA6"/>
    <w:rsid w:val="000C6D63"/>
    <w:rsid w:val="000C728E"/>
    <w:rsid w:val="000C7334"/>
    <w:rsid w:val="000C7557"/>
    <w:rsid w:val="000C792E"/>
    <w:rsid w:val="000C7B5E"/>
    <w:rsid w:val="000D012F"/>
    <w:rsid w:val="000D03CB"/>
    <w:rsid w:val="000D0571"/>
    <w:rsid w:val="000D0FFD"/>
    <w:rsid w:val="000D101A"/>
    <w:rsid w:val="000D1131"/>
    <w:rsid w:val="000D12A9"/>
    <w:rsid w:val="000D12C2"/>
    <w:rsid w:val="000D1542"/>
    <w:rsid w:val="000D193E"/>
    <w:rsid w:val="000D2200"/>
    <w:rsid w:val="000D2431"/>
    <w:rsid w:val="000D2667"/>
    <w:rsid w:val="000D2793"/>
    <w:rsid w:val="000D2B97"/>
    <w:rsid w:val="000D310A"/>
    <w:rsid w:val="000D3123"/>
    <w:rsid w:val="000D31EB"/>
    <w:rsid w:val="000D32B5"/>
    <w:rsid w:val="000D3560"/>
    <w:rsid w:val="000D35B7"/>
    <w:rsid w:val="000D3712"/>
    <w:rsid w:val="000D37F7"/>
    <w:rsid w:val="000D3CF4"/>
    <w:rsid w:val="000D3DBB"/>
    <w:rsid w:val="000D3F26"/>
    <w:rsid w:val="000D3FA1"/>
    <w:rsid w:val="000D40E6"/>
    <w:rsid w:val="000D42EF"/>
    <w:rsid w:val="000D431E"/>
    <w:rsid w:val="000D4464"/>
    <w:rsid w:val="000D47AA"/>
    <w:rsid w:val="000D491F"/>
    <w:rsid w:val="000D4A28"/>
    <w:rsid w:val="000D4B4C"/>
    <w:rsid w:val="000D4E04"/>
    <w:rsid w:val="000D4F8C"/>
    <w:rsid w:val="000D5007"/>
    <w:rsid w:val="000D52A7"/>
    <w:rsid w:val="000D56AA"/>
    <w:rsid w:val="000D570D"/>
    <w:rsid w:val="000D57F9"/>
    <w:rsid w:val="000D5B48"/>
    <w:rsid w:val="000D5B7F"/>
    <w:rsid w:val="000D5D37"/>
    <w:rsid w:val="000D5EC3"/>
    <w:rsid w:val="000D60D7"/>
    <w:rsid w:val="000D6695"/>
    <w:rsid w:val="000D6742"/>
    <w:rsid w:val="000D6A39"/>
    <w:rsid w:val="000D6A3F"/>
    <w:rsid w:val="000D6CC1"/>
    <w:rsid w:val="000D733C"/>
    <w:rsid w:val="000D74DC"/>
    <w:rsid w:val="000D7912"/>
    <w:rsid w:val="000D7DFC"/>
    <w:rsid w:val="000D7E2D"/>
    <w:rsid w:val="000E001F"/>
    <w:rsid w:val="000E00B3"/>
    <w:rsid w:val="000E08D3"/>
    <w:rsid w:val="000E0E16"/>
    <w:rsid w:val="000E0F7A"/>
    <w:rsid w:val="000E1096"/>
    <w:rsid w:val="000E11AF"/>
    <w:rsid w:val="000E1217"/>
    <w:rsid w:val="000E1403"/>
    <w:rsid w:val="000E15A6"/>
    <w:rsid w:val="000E18D6"/>
    <w:rsid w:val="000E1F7C"/>
    <w:rsid w:val="000E2356"/>
    <w:rsid w:val="000E2508"/>
    <w:rsid w:val="000E259A"/>
    <w:rsid w:val="000E26E4"/>
    <w:rsid w:val="000E2898"/>
    <w:rsid w:val="000E2B53"/>
    <w:rsid w:val="000E2E1A"/>
    <w:rsid w:val="000E3219"/>
    <w:rsid w:val="000E3313"/>
    <w:rsid w:val="000E36E0"/>
    <w:rsid w:val="000E38B3"/>
    <w:rsid w:val="000E3968"/>
    <w:rsid w:val="000E39A1"/>
    <w:rsid w:val="000E3CCF"/>
    <w:rsid w:val="000E3CEC"/>
    <w:rsid w:val="000E40B2"/>
    <w:rsid w:val="000E42AA"/>
    <w:rsid w:val="000E43C6"/>
    <w:rsid w:val="000E4805"/>
    <w:rsid w:val="000E4C37"/>
    <w:rsid w:val="000E4C71"/>
    <w:rsid w:val="000E4FD5"/>
    <w:rsid w:val="000E5293"/>
    <w:rsid w:val="000E5475"/>
    <w:rsid w:val="000E558A"/>
    <w:rsid w:val="000E56CB"/>
    <w:rsid w:val="000E5738"/>
    <w:rsid w:val="000E5ABA"/>
    <w:rsid w:val="000E5ADF"/>
    <w:rsid w:val="000E5DB8"/>
    <w:rsid w:val="000E5F33"/>
    <w:rsid w:val="000E62BD"/>
    <w:rsid w:val="000E62D6"/>
    <w:rsid w:val="000E63DB"/>
    <w:rsid w:val="000E6415"/>
    <w:rsid w:val="000E6593"/>
    <w:rsid w:val="000E65F9"/>
    <w:rsid w:val="000E66B2"/>
    <w:rsid w:val="000E680C"/>
    <w:rsid w:val="000E711A"/>
    <w:rsid w:val="000E73C6"/>
    <w:rsid w:val="000E7580"/>
    <w:rsid w:val="000E7631"/>
    <w:rsid w:val="000E779B"/>
    <w:rsid w:val="000F0046"/>
    <w:rsid w:val="000F0838"/>
    <w:rsid w:val="000F0A05"/>
    <w:rsid w:val="000F0B9F"/>
    <w:rsid w:val="000F0D72"/>
    <w:rsid w:val="000F0DA9"/>
    <w:rsid w:val="000F0DD3"/>
    <w:rsid w:val="000F0FBC"/>
    <w:rsid w:val="000F123D"/>
    <w:rsid w:val="000F168B"/>
    <w:rsid w:val="000F1BAE"/>
    <w:rsid w:val="000F1C28"/>
    <w:rsid w:val="000F1D02"/>
    <w:rsid w:val="000F1F14"/>
    <w:rsid w:val="000F2021"/>
    <w:rsid w:val="000F20FC"/>
    <w:rsid w:val="000F2476"/>
    <w:rsid w:val="000F26EF"/>
    <w:rsid w:val="000F292C"/>
    <w:rsid w:val="000F316D"/>
    <w:rsid w:val="000F360B"/>
    <w:rsid w:val="000F375F"/>
    <w:rsid w:val="000F37D1"/>
    <w:rsid w:val="000F3DC1"/>
    <w:rsid w:val="000F3FD4"/>
    <w:rsid w:val="000F4281"/>
    <w:rsid w:val="000F43CD"/>
    <w:rsid w:val="000F44A1"/>
    <w:rsid w:val="000F45C9"/>
    <w:rsid w:val="000F4929"/>
    <w:rsid w:val="000F4BCC"/>
    <w:rsid w:val="000F4CD1"/>
    <w:rsid w:val="000F4D2A"/>
    <w:rsid w:val="000F4F84"/>
    <w:rsid w:val="000F5016"/>
    <w:rsid w:val="000F51E9"/>
    <w:rsid w:val="000F550D"/>
    <w:rsid w:val="000F5645"/>
    <w:rsid w:val="000F5730"/>
    <w:rsid w:val="000F581E"/>
    <w:rsid w:val="000F5A4E"/>
    <w:rsid w:val="000F5ABB"/>
    <w:rsid w:val="000F5BE0"/>
    <w:rsid w:val="000F5C2D"/>
    <w:rsid w:val="000F5F19"/>
    <w:rsid w:val="000F6221"/>
    <w:rsid w:val="000F62AD"/>
    <w:rsid w:val="000F66B9"/>
    <w:rsid w:val="000F680E"/>
    <w:rsid w:val="000F6A06"/>
    <w:rsid w:val="000F6A4E"/>
    <w:rsid w:val="000F6EBB"/>
    <w:rsid w:val="000F7242"/>
    <w:rsid w:val="000F7801"/>
    <w:rsid w:val="000F7AD4"/>
    <w:rsid w:val="000F7E0F"/>
    <w:rsid w:val="000F7FA5"/>
    <w:rsid w:val="00100214"/>
    <w:rsid w:val="0010049E"/>
    <w:rsid w:val="0010050C"/>
    <w:rsid w:val="001005D5"/>
    <w:rsid w:val="001007A1"/>
    <w:rsid w:val="00100E0A"/>
    <w:rsid w:val="00101090"/>
    <w:rsid w:val="001010D5"/>
    <w:rsid w:val="00101354"/>
    <w:rsid w:val="00101830"/>
    <w:rsid w:val="00101953"/>
    <w:rsid w:val="00101B82"/>
    <w:rsid w:val="001021DC"/>
    <w:rsid w:val="00102270"/>
    <w:rsid w:val="00102274"/>
    <w:rsid w:val="001022FA"/>
    <w:rsid w:val="001024A4"/>
    <w:rsid w:val="00102769"/>
    <w:rsid w:val="001027E6"/>
    <w:rsid w:val="00102D51"/>
    <w:rsid w:val="00102D69"/>
    <w:rsid w:val="00102FD1"/>
    <w:rsid w:val="00103051"/>
    <w:rsid w:val="001035FC"/>
    <w:rsid w:val="0010362D"/>
    <w:rsid w:val="00103632"/>
    <w:rsid w:val="00103A03"/>
    <w:rsid w:val="00103CDF"/>
    <w:rsid w:val="001040B8"/>
    <w:rsid w:val="00104148"/>
    <w:rsid w:val="001044B1"/>
    <w:rsid w:val="001045FC"/>
    <w:rsid w:val="00104733"/>
    <w:rsid w:val="001049C3"/>
    <w:rsid w:val="00104A39"/>
    <w:rsid w:val="00104D20"/>
    <w:rsid w:val="00104F5D"/>
    <w:rsid w:val="001050B5"/>
    <w:rsid w:val="0010541D"/>
    <w:rsid w:val="00105607"/>
    <w:rsid w:val="00105707"/>
    <w:rsid w:val="00105721"/>
    <w:rsid w:val="00105C9F"/>
    <w:rsid w:val="00105CE6"/>
    <w:rsid w:val="00105D60"/>
    <w:rsid w:val="00105FEF"/>
    <w:rsid w:val="00106063"/>
    <w:rsid w:val="00106150"/>
    <w:rsid w:val="001069E8"/>
    <w:rsid w:val="00106F9A"/>
    <w:rsid w:val="0010721B"/>
    <w:rsid w:val="00107456"/>
    <w:rsid w:val="00107555"/>
    <w:rsid w:val="0010757F"/>
    <w:rsid w:val="0010769B"/>
    <w:rsid w:val="001077E0"/>
    <w:rsid w:val="00107CA3"/>
    <w:rsid w:val="00107FBB"/>
    <w:rsid w:val="0011010B"/>
    <w:rsid w:val="00110285"/>
    <w:rsid w:val="00110418"/>
    <w:rsid w:val="00110A6F"/>
    <w:rsid w:val="00110FC2"/>
    <w:rsid w:val="0011117D"/>
    <w:rsid w:val="001112BA"/>
    <w:rsid w:val="00111390"/>
    <w:rsid w:val="001119B4"/>
    <w:rsid w:val="00111B23"/>
    <w:rsid w:val="00111EC0"/>
    <w:rsid w:val="00111F85"/>
    <w:rsid w:val="00111FF1"/>
    <w:rsid w:val="0011222E"/>
    <w:rsid w:val="00112306"/>
    <w:rsid w:val="001123E2"/>
    <w:rsid w:val="00112445"/>
    <w:rsid w:val="001125B5"/>
    <w:rsid w:val="0011303F"/>
    <w:rsid w:val="00113184"/>
    <w:rsid w:val="001133B8"/>
    <w:rsid w:val="001133D6"/>
    <w:rsid w:val="00113645"/>
    <w:rsid w:val="001137FF"/>
    <w:rsid w:val="00113821"/>
    <w:rsid w:val="00113F91"/>
    <w:rsid w:val="00114273"/>
    <w:rsid w:val="001146E5"/>
    <w:rsid w:val="00114732"/>
    <w:rsid w:val="00114749"/>
    <w:rsid w:val="001148AE"/>
    <w:rsid w:val="00115102"/>
    <w:rsid w:val="0011552E"/>
    <w:rsid w:val="00115545"/>
    <w:rsid w:val="00115958"/>
    <w:rsid w:val="0011597D"/>
    <w:rsid w:val="00115A92"/>
    <w:rsid w:val="00115C49"/>
    <w:rsid w:val="00115EAD"/>
    <w:rsid w:val="00115F3D"/>
    <w:rsid w:val="00116403"/>
    <w:rsid w:val="001164D3"/>
    <w:rsid w:val="001164EB"/>
    <w:rsid w:val="0011656B"/>
    <w:rsid w:val="0011669C"/>
    <w:rsid w:val="0011676B"/>
    <w:rsid w:val="00116938"/>
    <w:rsid w:val="00116BFF"/>
    <w:rsid w:val="00116E0D"/>
    <w:rsid w:val="00117438"/>
    <w:rsid w:val="00117CB8"/>
    <w:rsid w:val="00117FAE"/>
    <w:rsid w:val="0012004D"/>
    <w:rsid w:val="001200F1"/>
    <w:rsid w:val="00120146"/>
    <w:rsid w:val="00120386"/>
    <w:rsid w:val="00120450"/>
    <w:rsid w:val="001204BA"/>
    <w:rsid w:val="00120594"/>
    <w:rsid w:val="0012076B"/>
    <w:rsid w:val="001209B3"/>
    <w:rsid w:val="001211A2"/>
    <w:rsid w:val="001211D1"/>
    <w:rsid w:val="00121251"/>
    <w:rsid w:val="0012135C"/>
    <w:rsid w:val="001213E2"/>
    <w:rsid w:val="0012146D"/>
    <w:rsid w:val="00121615"/>
    <w:rsid w:val="00121761"/>
    <w:rsid w:val="00121A9F"/>
    <w:rsid w:val="00121C88"/>
    <w:rsid w:val="00121E99"/>
    <w:rsid w:val="00122027"/>
    <w:rsid w:val="0012257F"/>
    <w:rsid w:val="0012281A"/>
    <w:rsid w:val="00122A60"/>
    <w:rsid w:val="00122B7F"/>
    <w:rsid w:val="00123127"/>
    <w:rsid w:val="00123362"/>
    <w:rsid w:val="00123483"/>
    <w:rsid w:val="00123507"/>
    <w:rsid w:val="00123694"/>
    <w:rsid w:val="00123866"/>
    <w:rsid w:val="0012390D"/>
    <w:rsid w:val="00123F10"/>
    <w:rsid w:val="001242AC"/>
    <w:rsid w:val="0012434F"/>
    <w:rsid w:val="001247C3"/>
    <w:rsid w:val="0012495F"/>
    <w:rsid w:val="0012498E"/>
    <w:rsid w:val="00124FC2"/>
    <w:rsid w:val="00125199"/>
    <w:rsid w:val="0012525D"/>
    <w:rsid w:val="0012569D"/>
    <w:rsid w:val="001256CF"/>
    <w:rsid w:val="00125901"/>
    <w:rsid w:val="00125975"/>
    <w:rsid w:val="00125FB3"/>
    <w:rsid w:val="0012606D"/>
    <w:rsid w:val="00126246"/>
    <w:rsid w:val="001266A4"/>
    <w:rsid w:val="00126C8A"/>
    <w:rsid w:val="00126ED6"/>
    <w:rsid w:val="00126F2C"/>
    <w:rsid w:val="00126FC4"/>
    <w:rsid w:val="001270CF"/>
    <w:rsid w:val="00127600"/>
    <w:rsid w:val="0012762C"/>
    <w:rsid w:val="0012799E"/>
    <w:rsid w:val="00127B43"/>
    <w:rsid w:val="001304E5"/>
    <w:rsid w:val="00130710"/>
    <w:rsid w:val="00130931"/>
    <w:rsid w:val="00130938"/>
    <w:rsid w:val="00130A7C"/>
    <w:rsid w:val="00130AB6"/>
    <w:rsid w:val="00130DAA"/>
    <w:rsid w:val="00130EA0"/>
    <w:rsid w:val="00131139"/>
    <w:rsid w:val="001311C8"/>
    <w:rsid w:val="0013120D"/>
    <w:rsid w:val="00131235"/>
    <w:rsid w:val="0013132D"/>
    <w:rsid w:val="0013139B"/>
    <w:rsid w:val="0013169E"/>
    <w:rsid w:val="00131775"/>
    <w:rsid w:val="00131854"/>
    <w:rsid w:val="00131898"/>
    <w:rsid w:val="001318A6"/>
    <w:rsid w:val="00132070"/>
    <w:rsid w:val="00132201"/>
    <w:rsid w:val="00132351"/>
    <w:rsid w:val="001327A5"/>
    <w:rsid w:val="001329AD"/>
    <w:rsid w:val="00132A06"/>
    <w:rsid w:val="00133191"/>
    <w:rsid w:val="00133328"/>
    <w:rsid w:val="00133AA5"/>
    <w:rsid w:val="00133BD2"/>
    <w:rsid w:val="00133DD5"/>
    <w:rsid w:val="001341A4"/>
    <w:rsid w:val="001345F8"/>
    <w:rsid w:val="001346FE"/>
    <w:rsid w:val="0013476E"/>
    <w:rsid w:val="00134825"/>
    <w:rsid w:val="00134B54"/>
    <w:rsid w:val="00135011"/>
    <w:rsid w:val="00135BED"/>
    <w:rsid w:val="00136084"/>
    <w:rsid w:val="00136154"/>
    <w:rsid w:val="001362C8"/>
    <w:rsid w:val="0013643E"/>
    <w:rsid w:val="0013648D"/>
    <w:rsid w:val="001364A7"/>
    <w:rsid w:val="001364E8"/>
    <w:rsid w:val="001367AA"/>
    <w:rsid w:val="0013681D"/>
    <w:rsid w:val="0013689F"/>
    <w:rsid w:val="00136A62"/>
    <w:rsid w:val="00136A9D"/>
    <w:rsid w:val="00136ECC"/>
    <w:rsid w:val="00136F80"/>
    <w:rsid w:val="0013712A"/>
    <w:rsid w:val="001372D7"/>
    <w:rsid w:val="00137304"/>
    <w:rsid w:val="00137395"/>
    <w:rsid w:val="001373B5"/>
    <w:rsid w:val="00137D1F"/>
    <w:rsid w:val="001400A3"/>
    <w:rsid w:val="001400A8"/>
    <w:rsid w:val="0014019E"/>
    <w:rsid w:val="00140418"/>
    <w:rsid w:val="00140809"/>
    <w:rsid w:val="00140D25"/>
    <w:rsid w:val="001410EA"/>
    <w:rsid w:val="001412C4"/>
    <w:rsid w:val="001416B9"/>
    <w:rsid w:val="0014183D"/>
    <w:rsid w:val="0014184C"/>
    <w:rsid w:val="0014198C"/>
    <w:rsid w:val="001421B8"/>
    <w:rsid w:val="001425C1"/>
    <w:rsid w:val="0014290C"/>
    <w:rsid w:val="00142B85"/>
    <w:rsid w:val="00142C37"/>
    <w:rsid w:val="00142DA2"/>
    <w:rsid w:val="00142E5A"/>
    <w:rsid w:val="00142E6B"/>
    <w:rsid w:val="00143330"/>
    <w:rsid w:val="00143435"/>
    <w:rsid w:val="001434A7"/>
    <w:rsid w:val="00143880"/>
    <w:rsid w:val="00143A6A"/>
    <w:rsid w:val="00143CEC"/>
    <w:rsid w:val="00143CF8"/>
    <w:rsid w:val="00144045"/>
    <w:rsid w:val="00144521"/>
    <w:rsid w:val="0014493D"/>
    <w:rsid w:val="00144CD2"/>
    <w:rsid w:val="00144E9F"/>
    <w:rsid w:val="00144EE5"/>
    <w:rsid w:val="00144FCA"/>
    <w:rsid w:val="00144FFD"/>
    <w:rsid w:val="00145221"/>
    <w:rsid w:val="00145377"/>
    <w:rsid w:val="00145939"/>
    <w:rsid w:val="001459CC"/>
    <w:rsid w:val="00145A16"/>
    <w:rsid w:val="00146142"/>
    <w:rsid w:val="001461EC"/>
    <w:rsid w:val="00146242"/>
    <w:rsid w:val="0014629E"/>
    <w:rsid w:val="00146478"/>
    <w:rsid w:val="00146747"/>
    <w:rsid w:val="00146AB0"/>
    <w:rsid w:val="00146AF3"/>
    <w:rsid w:val="00146E85"/>
    <w:rsid w:val="00147143"/>
    <w:rsid w:val="00147391"/>
    <w:rsid w:val="0014744C"/>
    <w:rsid w:val="0014745A"/>
    <w:rsid w:val="00147ADE"/>
    <w:rsid w:val="001500AE"/>
    <w:rsid w:val="00150188"/>
    <w:rsid w:val="001506F9"/>
    <w:rsid w:val="00150AF2"/>
    <w:rsid w:val="00150D4B"/>
    <w:rsid w:val="001510DE"/>
    <w:rsid w:val="001511CA"/>
    <w:rsid w:val="0015188B"/>
    <w:rsid w:val="001518DA"/>
    <w:rsid w:val="00151A27"/>
    <w:rsid w:val="00151BB9"/>
    <w:rsid w:val="00151D95"/>
    <w:rsid w:val="00151DAF"/>
    <w:rsid w:val="00151E2B"/>
    <w:rsid w:val="00152006"/>
    <w:rsid w:val="001526CA"/>
    <w:rsid w:val="00152912"/>
    <w:rsid w:val="001529B6"/>
    <w:rsid w:val="00152A9E"/>
    <w:rsid w:val="00152C60"/>
    <w:rsid w:val="00153204"/>
    <w:rsid w:val="00153688"/>
    <w:rsid w:val="001537C5"/>
    <w:rsid w:val="001547FA"/>
    <w:rsid w:val="001548D3"/>
    <w:rsid w:val="00154BEC"/>
    <w:rsid w:val="00154CCB"/>
    <w:rsid w:val="00154DC1"/>
    <w:rsid w:val="00155083"/>
    <w:rsid w:val="00155203"/>
    <w:rsid w:val="001552ED"/>
    <w:rsid w:val="00155642"/>
    <w:rsid w:val="001558DD"/>
    <w:rsid w:val="00155C4D"/>
    <w:rsid w:val="0015605D"/>
    <w:rsid w:val="0015619D"/>
    <w:rsid w:val="0015639B"/>
    <w:rsid w:val="00156426"/>
    <w:rsid w:val="0015662A"/>
    <w:rsid w:val="001567A6"/>
    <w:rsid w:val="001567CB"/>
    <w:rsid w:val="00156A08"/>
    <w:rsid w:val="00156D12"/>
    <w:rsid w:val="00156FC4"/>
    <w:rsid w:val="0015702A"/>
    <w:rsid w:val="00157044"/>
    <w:rsid w:val="0015713B"/>
    <w:rsid w:val="00157335"/>
    <w:rsid w:val="00157423"/>
    <w:rsid w:val="0015757E"/>
    <w:rsid w:val="001575B1"/>
    <w:rsid w:val="00157AC5"/>
    <w:rsid w:val="001601D0"/>
    <w:rsid w:val="0016035A"/>
    <w:rsid w:val="00160371"/>
    <w:rsid w:val="0016039D"/>
    <w:rsid w:val="001603CD"/>
    <w:rsid w:val="001604C4"/>
    <w:rsid w:val="001605FF"/>
    <w:rsid w:val="001609D3"/>
    <w:rsid w:val="00160BE9"/>
    <w:rsid w:val="00160D58"/>
    <w:rsid w:val="00160EAC"/>
    <w:rsid w:val="001619B7"/>
    <w:rsid w:val="00161A6D"/>
    <w:rsid w:val="00161DCE"/>
    <w:rsid w:val="00161EC5"/>
    <w:rsid w:val="0016203A"/>
    <w:rsid w:val="00162514"/>
    <w:rsid w:val="001625A3"/>
    <w:rsid w:val="00162C01"/>
    <w:rsid w:val="00162C99"/>
    <w:rsid w:val="00162CCE"/>
    <w:rsid w:val="00162DA7"/>
    <w:rsid w:val="00162DC8"/>
    <w:rsid w:val="00162FEC"/>
    <w:rsid w:val="001630B3"/>
    <w:rsid w:val="0016347A"/>
    <w:rsid w:val="00163571"/>
    <w:rsid w:val="00163677"/>
    <w:rsid w:val="00163785"/>
    <w:rsid w:val="0016398B"/>
    <w:rsid w:val="001639E6"/>
    <w:rsid w:val="00164115"/>
    <w:rsid w:val="001641F8"/>
    <w:rsid w:val="001642D0"/>
    <w:rsid w:val="001645EC"/>
    <w:rsid w:val="00164654"/>
    <w:rsid w:val="00164A76"/>
    <w:rsid w:val="00164D71"/>
    <w:rsid w:val="00164E04"/>
    <w:rsid w:val="00165130"/>
    <w:rsid w:val="00165293"/>
    <w:rsid w:val="001655D0"/>
    <w:rsid w:val="00165E0B"/>
    <w:rsid w:val="00165E13"/>
    <w:rsid w:val="00165F40"/>
    <w:rsid w:val="00165FB3"/>
    <w:rsid w:val="00166008"/>
    <w:rsid w:val="00166094"/>
    <w:rsid w:val="001660E1"/>
    <w:rsid w:val="00166467"/>
    <w:rsid w:val="00166A99"/>
    <w:rsid w:val="00166C92"/>
    <w:rsid w:val="00166F1D"/>
    <w:rsid w:val="001670D1"/>
    <w:rsid w:val="00167570"/>
    <w:rsid w:val="001678FC"/>
    <w:rsid w:val="00167A2A"/>
    <w:rsid w:val="00167A3C"/>
    <w:rsid w:val="00167F4C"/>
    <w:rsid w:val="001700F9"/>
    <w:rsid w:val="00170284"/>
    <w:rsid w:val="001702FA"/>
    <w:rsid w:val="00170301"/>
    <w:rsid w:val="00170835"/>
    <w:rsid w:val="00170C25"/>
    <w:rsid w:val="00170F34"/>
    <w:rsid w:val="00170F5E"/>
    <w:rsid w:val="0017107F"/>
    <w:rsid w:val="0017124D"/>
    <w:rsid w:val="001713C0"/>
    <w:rsid w:val="0017156A"/>
    <w:rsid w:val="00171588"/>
    <w:rsid w:val="001716F8"/>
    <w:rsid w:val="0017182A"/>
    <w:rsid w:val="00171950"/>
    <w:rsid w:val="00171965"/>
    <w:rsid w:val="001720A5"/>
    <w:rsid w:val="00172368"/>
    <w:rsid w:val="0017238A"/>
    <w:rsid w:val="00172603"/>
    <w:rsid w:val="001726E0"/>
    <w:rsid w:val="0017275E"/>
    <w:rsid w:val="001727B0"/>
    <w:rsid w:val="00172A21"/>
    <w:rsid w:val="00172BA5"/>
    <w:rsid w:val="00172C7A"/>
    <w:rsid w:val="00172D24"/>
    <w:rsid w:val="001731CB"/>
    <w:rsid w:val="00173385"/>
    <w:rsid w:val="00173542"/>
    <w:rsid w:val="001736FB"/>
    <w:rsid w:val="00173B0F"/>
    <w:rsid w:val="0017405B"/>
    <w:rsid w:val="001740BC"/>
    <w:rsid w:val="00174113"/>
    <w:rsid w:val="001745F6"/>
    <w:rsid w:val="001747F2"/>
    <w:rsid w:val="00174CE3"/>
    <w:rsid w:val="00174DDF"/>
    <w:rsid w:val="001750C1"/>
    <w:rsid w:val="00175C9D"/>
    <w:rsid w:val="00175D86"/>
    <w:rsid w:val="00175F16"/>
    <w:rsid w:val="0017607C"/>
    <w:rsid w:val="0017656E"/>
    <w:rsid w:val="001766F4"/>
    <w:rsid w:val="001768A3"/>
    <w:rsid w:val="0017692C"/>
    <w:rsid w:val="00176B9F"/>
    <w:rsid w:val="00176E9B"/>
    <w:rsid w:val="00177086"/>
    <w:rsid w:val="0017753E"/>
    <w:rsid w:val="0017763E"/>
    <w:rsid w:val="001776A4"/>
    <w:rsid w:val="0017786D"/>
    <w:rsid w:val="00177A02"/>
    <w:rsid w:val="00177B32"/>
    <w:rsid w:val="00177C39"/>
    <w:rsid w:val="00177F19"/>
    <w:rsid w:val="00180463"/>
    <w:rsid w:val="0018055F"/>
    <w:rsid w:val="00180634"/>
    <w:rsid w:val="00180E59"/>
    <w:rsid w:val="00180F77"/>
    <w:rsid w:val="00181054"/>
    <w:rsid w:val="00181065"/>
    <w:rsid w:val="001811ED"/>
    <w:rsid w:val="001812AF"/>
    <w:rsid w:val="00181919"/>
    <w:rsid w:val="001819F0"/>
    <w:rsid w:val="00181A0B"/>
    <w:rsid w:val="00181BEA"/>
    <w:rsid w:val="00181BFE"/>
    <w:rsid w:val="00181EEF"/>
    <w:rsid w:val="00181FB1"/>
    <w:rsid w:val="001820BE"/>
    <w:rsid w:val="001820F9"/>
    <w:rsid w:val="00182146"/>
    <w:rsid w:val="00182326"/>
    <w:rsid w:val="00182444"/>
    <w:rsid w:val="001824FF"/>
    <w:rsid w:val="00182544"/>
    <w:rsid w:val="001825E8"/>
    <w:rsid w:val="00182669"/>
    <w:rsid w:val="00182A20"/>
    <w:rsid w:val="00182A8F"/>
    <w:rsid w:val="00182D52"/>
    <w:rsid w:val="00183068"/>
    <w:rsid w:val="001833A1"/>
    <w:rsid w:val="001833D1"/>
    <w:rsid w:val="001835B2"/>
    <w:rsid w:val="00183640"/>
    <w:rsid w:val="001836AA"/>
    <w:rsid w:val="001836EB"/>
    <w:rsid w:val="00183779"/>
    <w:rsid w:val="00183838"/>
    <w:rsid w:val="00183A02"/>
    <w:rsid w:val="00183AAD"/>
    <w:rsid w:val="00183C27"/>
    <w:rsid w:val="00183CE5"/>
    <w:rsid w:val="00183F6F"/>
    <w:rsid w:val="00183FC5"/>
    <w:rsid w:val="00184084"/>
    <w:rsid w:val="001841B3"/>
    <w:rsid w:val="001842B0"/>
    <w:rsid w:val="00184457"/>
    <w:rsid w:val="001845E3"/>
    <w:rsid w:val="001847EC"/>
    <w:rsid w:val="0018483A"/>
    <w:rsid w:val="00184AB9"/>
    <w:rsid w:val="00184ABB"/>
    <w:rsid w:val="00184CAB"/>
    <w:rsid w:val="00184CF1"/>
    <w:rsid w:val="00184D16"/>
    <w:rsid w:val="001850A0"/>
    <w:rsid w:val="00185240"/>
    <w:rsid w:val="001854DE"/>
    <w:rsid w:val="00185506"/>
    <w:rsid w:val="0018567D"/>
    <w:rsid w:val="00185AC2"/>
    <w:rsid w:val="00185C17"/>
    <w:rsid w:val="00185D70"/>
    <w:rsid w:val="00185DD6"/>
    <w:rsid w:val="00185DF7"/>
    <w:rsid w:val="00185E50"/>
    <w:rsid w:val="00186192"/>
    <w:rsid w:val="00186311"/>
    <w:rsid w:val="0018646E"/>
    <w:rsid w:val="0018650F"/>
    <w:rsid w:val="00186646"/>
    <w:rsid w:val="00186879"/>
    <w:rsid w:val="001868C8"/>
    <w:rsid w:val="00186AD2"/>
    <w:rsid w:val="00186D7B"/>
    <w:rsid w:val="00187123"/>
    <w:rsid w:val="00187132"/>
    <w:rsid w:val="00187185"/>
    <w:rsid w:val="001871B2"/>
    <w:rsid w:val="00187505"/>
    <w:rsid w:val="00187552"/>
    <w:rsid w:val="001875EC"/>
    <w:rsid w:val="00187740"/>
    <w:rsid w:val="001878CE"/>
    <w:rsid w:val="00187915"/>
    <w:rsid w:val="001903E6"/>
    <w:rsid w:val="00190421"/>
    <w:rsid w:val="001906B7"/>
    <w:rsid w:val="001906D6"/>
    <w:rsid w:val="00190827"/>
    <w:rsid w:val="00190954"/>
    <w:rsid w:val="00190D80"/>
    <w:rsid w:val="00190F01"/>
    <w:rsid w:val="00191021"/>
    <w:rsid w:val="00191043"/>
    <w:rsid w:val="0019107C"/>
    <w:rsid w:val="0019155F"/>
    <w:rsid w:val="00191646"/>
    <w:rsid w:val="001917E9"/>
    <w:rsid w:val="001918FC"/>
    <w:rsid w:val="0019190B"/>
    <w:rsid w:val="00191986"/>
    <w:rsid w:val="00191B03"/>
    <w:rsid w:val="00191D21"/>
    <w:rsid w:val="0019229F"/>
    <w:rsid w:val="001925ED"/>
    <w:rsid w:val="00192BF8"/>
    <w:rsid w:val="00192EF0"/>
    <w:rsid w:val="001933C9"/>
    <w:rsid w:val="001939D3"/>
    <w:rsid w:val="00193BC1"/>
    <w:rsid w:val="00193EEC"/>
    <w:rsid w:val="001942C3"/>
    <w:rsid w:val="00194685"/>
    <w:rsid w:val="00194885"/>
    <w:rsid w:val="00194CE1"/>
    <w:rsid w:val="00194EBD"/>
    <w:rsid w:val="001950EA"/>
    <w:rsid w:val="001952ED"/>
    <w:rsid w:val="001953A8"/>
    <w:rsid w:val="001955B0"/>
    <w:rsid w:val="001955CB"/>
    <w:rsid w:val="0019562C"/>
    <w:rsid w:val="0019565B"/>
    <w:rsid w:val="001956B1"/>
    <w:rsid w:val="00195C59"/>
    <w:rsid w:val="00195F38"/>
    <w:rsid w:val="00195FEF"/>
    <w:rsid w:val="00196202"/>
    <w:rsid w:val="001962A2"/>
    <w:rsid w:val="0019649B"/>
    <w:rsid w:val="001964E6"/>
    <w:rsid w:val="00196611"/>
    <w:rsid w:val="001966F1"/>
    <w:rsid w:val="001968A4"/>
    <w:rsid w:val="0019692A"/>
    <w:rsid w:val="00196B4D"/>
    <w:rsid w:val="00196DF0"/>
    <w:rsid w:val="00196E05"/>
    <w:rsid w:val="001971E4"/>
    <w:rsid w:val="001976B1"/>
    <w:rsid w:val="001977AB"/>
    <w:rsid w:val="001979DD"/>
    <w:rsid w:val="00197A5A"/>
    <w:rsid w:val="00197B12"/>
    <w:rsid w:val="00197DEF"/>
    <w:rsid w:val="00197E19"/>
    <w:rsid w:val="001A0058"/>
    <w:rsid w:val="001A0243"/>
    <w:rsid w:val="001A04D2"/>
    <w:rsid w:val="001A0531"/>
    <w:rsid w:val="001A065D"/>
    <w:rsid w:val="001A076A"/>
    <w:rsid w:val="001A0963"/>
    <w:rsid w:val="001A0967"/>
    <w:rsid w:val="001A0ADF"/>
    <w:rsid w:val="001A0BBF"/>
    <w:rsid w:val="001A0E72"/>
    <w:rsid w:val="001A0EA3"/>
    <w:rsid w:val="001A101C"/>
    <w:rsid w:val="001A1119"/>
    <w:rsid w:val="001A115C"/>
    <w:rsid w:val="001A1284"/>
    <w:rsid w:val="001A1559"/>
    <w:rsid w:val="001A1642"/>
    <w:rsid w:val="001A1832"/>
    <w:rsid w:val="001A1D85"/>
    <w:rsid w:val="001A1E13"/>
    <w:rsid w:val="001A1E89"/>
    <w:rsid w:val="001A2113"/>
    <w:rsid w:val="001A259E"/>
    <w:rsid w:val="001A2929"/>
    <w:rsid w:val="001A3435"/>
    <w:rsid w:val="001A365C"/>
    <w:rsid w:val="001A37A4"/>
    <w:rsid w:val="001A37F5"/>
    <w:rsid w:val="001A3D0C"/>
    <w:rsid w:val="001A3E19"/>
    <w:rsid w:val="001A3ED9"/>
    <w:rsid w:val="001A42A0"/>
    <w:rsid w:val="001A4377"/>
    <w:rsid w:val="001A466A"/>
    <w:rsid w:val="001A4995"/>
    <w:rsid w:val="001A4AF5"/>
    <w:rsid w:val="001A4B2D"/>
    <w:rsid w:val="001A4D12"/>
    <w:rsid w:val="001A5008"/>
    <w:rsid w:val="001A534D"/>
    <w:rsid w:val="001A5582"/>
    <w:rsid w:val="001A5797"/>
    <w:rsid w:val="001A58FB"/>
    <w:rsid w:val="001A5B06"/>
    <w:rsid w:val="001A5B83"/>
    <w:rsid w:val="001A5BEF"/>
    <w:rsid w:val="001A5D94"/>
    <w:rsid w:val="001A5F63"/>
    <w:rsid w:val="001A6111"/>
    <w:rsid w:val="001A6305"/>
    <w:rsid w:val="001A6393"/>
    <w:rsid w:val="001A63E6"/>
    <w:rsid w:val="001A65F8"/>
    <w:rsid w:val="001A669D"/>
    <w:rsid w:val="001A6793"/>
    <w:rsid w:val="001A6B5C"/>
    <w:rsid w:val="001A6D2C"/>
    <w:rsid w:val="001A6DA1"/>
    <w:rsid w:val="001A712B"/>
    <w:rsid w:val="001A73CC"/>
    <w:rsid w:val="001A74D6"/>
    <w:rsid w:val="001A78A3"/>
    <w:rsid w:val="001A7BC1"/>
    <w:rsid w:val="001A7C39"/>
    <w:rsid w:val="001A7F47"/>
    <w:rsid w:val="001B02B0"/>
    <w:rsid w:val="001B03E3"/>
    <w:rsid w:val="001B04AC"/>
    <w:rsid w:val="001B05B0"/>
    <w:rsid w:val="001B0913"/>
    <w:rsid w:val="001B0FB9"/>
    <w:rsid w:val="001B1392"/>
    <w:rsid w:val="001B145A"/>
    <w:rsid w:val="001B16FA"/>
    <w:rsid w:val="001B1AB4"/>
    <w:rsid w:val="001B1E81"/>
    <w:rsid w:val="001B1EBE"/>
    <w:rsid w:val="001B1EEF"/>
    <w:rsid w:val="001B2033"/>
    <w:rsid w:val="001B2181"/>
    <w:rsid w:val="001B22AC"/>
    <w:rsid w:val="001B2409"/>
    <w:rsid w:val="001B2691"/>
    <w:rsid w:val="001B2753"/>
    <w:rsid w:val="001B2854"/>
    <w:rsid w:val="001B2887"/>
    <w:rsid w:val="001B2959"/>
    <w:rsid w:val="001B2E57"/>
    <w:rsid w:val="001B303B"/>
    <w:rsid w:val="001B3118"/>
    <w:rsid w:val="001B3142"/>
    <w:rsid w:val="001B342B"/>
    <w:rsid w:val="001B395E"/>
    <w:rsid w:val="001B399F"/>
    <w:rsid w:val="001B3BC2"/>
    <w:rsid w:val="001B3CB0"/>
    <w:rsid w:val="001B3F9A"/>
    <w:rsid w:val="001B4402"/>
    <w:rsid w:val="001B4BA4"/>
    <w:rsid w:val="001B4C47"/>
    <w:rsid w:val="001B4F14"/>
    <w:rsid w:val="001B4F90"/>
    <w:rsid w:val="001B509B"/>
    <w:rsid w:val="001B516D"/>
    <w:rsid w:val="001B53A3"/>
    <w:rsid w:val="001B55A4"/>
    <w:rsid w:val="001B5616"/>
    <w:rsid w:val="001B57FA"/>
    <w:rsid w:val="001B5CE9"/>
    <w:rsid w:val="001B5D4B"/>
    <w:rsid w:val="001B5E5D"/>
    <w:rsid w:val="001B60CC"/>
    <w:rsid w:val="001B6101"/>
    <w:rsid w:val="001B628D"/>
    <w:rsid w:val="001B68CA"/>
    <w:rsid w:val="001B6A64"/>
    <w:rsid w:val="001B70BF"/>
    <w:rsid w:val="001B72BD"/>
    <w:rsid w:val="001B73CD"/>
    <w:rsid w:val="001B73D8"/>
    <w:rsid w:val="001B77E5"/>
    <w:rsid w:val="001B78E5"/>
    <w:rsid w:val="001B7E70"/>
    <w:rsid w:val="001B7FB9"/>
    <w:rsid w:val="001C002A"/>
    <w:rsid w:val="001C0218"/>
    <w:rsid w:val="001C042C"/>
    <w:rsid w:val="001C048A"/>
    <w:rsid w:val="001C05CC"/>
    <w:rsid w:val="001C0806"/>
    <w:rsid w:val="001C0878"/>
    <w:rsid w:val="001C0A01"/>
    <w:rsid w:val="001C0A53"/>
    <w:rsid w:val="001C0CC4"/>
    <w:rsid w:val="001C0D88"/>
    <w:rsid w:val="001C0E01"/>
    <w:rsid w:val="001C11DD"/>
    <w:rsid w:val="001C11FF"/>
    <w:rsid w:val="001C1298"/>
    <w:rsid w:val="001C149B"/>
    <w:rsid w:val="001C14DE"/>
    <w:rsid w:val="001C169F"/>
    <w:rsid w:val="001C1F0C"/>
    <w:rsid w:val="001C1F93"/>
    <w:rsid w:val="001C243F"/>
    <w:rsid w:val="001C2511"/>
    <w:rsid w:val="001C2951"/>
    <w:rsid w:val="001C2C9A"/>
    <w:rsid w:val="001C2E95"/>
    <w:rsid w:val="001C2F0B"/>
    <w:rsid w:val="001C30F3"/>
    <w:rsid w:val="001C3373"/>
    <w:rsid w:val="001C3615"/>
    <w:rsid w:val="001C372F"/>
    <w:rsid w:val="001C3A70"/>
    <w:rsid w:val="001C40A6"/>
    <w:rsid w:val="001C40D7"/>
    <w:rsid w:val="001C4278"/>
    <w:rsid w:val="001C4314"/>
    <w:rsid w:val="001C4490"/>
    <w:rsid w:val="001C4527"/>
    <w:rsid w:val="001C4555"/>
    <w:rsid w:val="001C4565"/>
    <w:rsid w:val="001C46E8"/>
    <w:rsid w:val="001C4879"/>
    <w:rsid w:val="001C4A5A"/>
    <w:rsid w:val="001C4E57"/>
    <w:rsid w:val="001C54DE"/>
    <w:rsid w:val="001C55E6"/>
    <w:rsid w:val="001C5860"/>
    <w:rsid w:val="001C5E23"/>
    <w:rsid w:val="001C5F43"/>
    <w:rsid w:val="001C618E"/>
    <w:rsid w:val="001C650F"/>
    <w:rsid w:val="001C663F"/>
    <w:rsid w:val="001C6B1C"/>
    <w:rsid w:val="001C6FD4"/>
    <w:rsid w:val="001C7114"/>
    <w:rsid w:val="001C73CD"/>
    <w:rsid w:val="001C745F"/>
    <w:rsid w:val="001C75EA"/>
    <w:rsid w:val="001C7798"/>
    <w:rsid w:val="001C7CDF"/>
    <w:rsid w:val="001C7F71"/>
    <w:rsid w:val="001D0012"/>
    <w:rsid w:val="001D0123"/>
    <w:rsid w:val="001D04DC"/>
    <w:rsid w:val="001D05A4"/>
    <w:rsid w:val="001D065A"/>
    <w:rsid w:val="001D07A2"/>
    <w:rsid w:val="001D081A"/>
    <w:rsid w:val="001D0A48"/>
    <w:rsid w:val="001D0A5D"/>
    <w:rsid w:val="001D0C02"/>
    <w:rsid w:val="001D0C4B"/>
    <w:rsid w:val="001D0E94"/>
    <w:rsid w:val="001D107F"/>
    <w:rsid w:val="001D13AE"/>
    <w:rsid w:val="001D1500"/>
    <w:rsid w:val="001D1AAA"/>
    <w:rsid w:val="001D1BDE"/>
    <w:rsid w:val="001D1E66"/>
    <w:rsid w:val="001D1E98"/>
    <w:rsid w:val="001D2150"/>
    <w:rsid w:val="001D2337"/>
    <w:rsid w:val="001D2469"/>
    <w:rsid w:val="001D25CA"/>
    <w:rsid w:val="001D277B"/>
    <w:rsid w:val="001D2F03"/>
    <w:rsid w:val="001D3008"/>
    <w:rsid w:val="001D3054"/>
    <w:rsid w:val="001D3220"/>
    <w:rsid w:val="001D3593"/>
    <w:rsid w:val="001D3598"/>
    <w:rsid w:val="001D35C5"/>
    <w:rsid w:val="001D3DE8"/>
    <w:rsid w:val="001D3FB4"/>
    <w:rsid w:val="001D44E4"/>
    <w:rsid w:val="001D463E"/>
    <w:rsid w:val="001D48C9"/>
    <w:rsid w:val="001D48FC"/>
    <w:rsid w:val="001D49B0"/>
    <w:rsid w:val="001D49B4"/>
    <w:rsid w:val="001D4D24"/>
    <w:rsid w:val="001D50A3"/>
    <w:rsid w:val="001D52FA"/>
    <w:rsid w:val="001D5457"/>
    <w:rsid w:val="001D5655"/>
    <w:rsid w:val="001D56A8"/>
    <w:rsid w:val="001D5C29"/>
    <w:rsid w:val="001D5D3B"/>
    <w:rsid w:val="001D5ECC"/>
    <w:rsid w:val="001D6450"/>
    <w:rsid w:val="001D6497"/>
    <w:rsid w:val="001D64D0"/>
    <w:rsid w:val="001D6AEC"/>
    <w:rsid w:val="001D6DA1"/>
    <w:rsid w:val="001D73D7"/>
    <w:rsid w:val="001D73DD"/>
    <w:rsid w:val="001D7419"/>
    <w:rsid w:val="001D797A"/>
    <w:rsid w:val="001D7A47"/>
    <w:rsid w:val="001D7B93"/>
    <w:rsid w:val="001D7B9B"/>
    <w:rsid w:val="001D7D02"/>
    <w:rsid w:val="001D7D74"/>
    <w:rsid w:val="001E01D9"/>
    <w:rsid w:val="001E0318"/>
    <w:rsid w:val="001E05E8"/>
    <w:rsid w:val="001E0737"/>
    <w:rsid w:val="001E0C34"/>
    <w:rsid w:val="001E113E"/>
    <w:rsid w:val="001E14A3"/>
    <w:rsid w:val="001E178C"/>
    <w:rsid w:val="001E1C5F"/>
    <w:rsid w:val="001E1E00"/>
    <w:rsid w:val="001E24A8"/>
    <w:rsid w:val="001E26AC"/>
    <w:rsid w:val="001E276E"/>
    <w:rsid w:val="001E2871"/>
    <w:rsid w:val="001E299A"/>
    <w:rsid w:val="001E2A11"/>
    <w:rsid w:val="001E2C26"/>
    <w:rsid w:val="001E2C3D"/>
    <w:rsid w:val="001E2CAD"/>
    <w:rsid w:val="001E2E3E"/>
    <w:rsid w:val="001E31E9"/>
    <w:rsid w:val="001E32CE"/>
    <w:rsid w:val="001E339E"/>
    <w:rsid w:val="001E3729"/>
    <w:rsid w:val="001E384C"/>
    <w:rsid w:val="001E3B0A"/>
    <w:rsid w:val="001E3C55"/>
    <w:rsid w:val="001E3C66"/>
    <w:rsid w:val="001E3CE0"/>
    <w:rsid w:val="001E3D11"/>
    <w:rsid w:val="001E410F"/>
    <w:rsid w:val="001E4462"/>
    <w:rsid w:val="001E4537"/>
    <w:rsid w:val="001E46E8"/>
    <w:rsid w:val="001E49FA"/>
    <w:rsid w:val="001E4C92"/>
    <w:rsid w:val="001E4CA9"/>
    <w:rsid w:val="001E52A4"/>
    <w:rsid w:val="001E5551"/>
    <w:rsid w:val="001E5917"/>
    <w:rsid w:val="001E5CC7"/>
    <w:rsid w:val="001E5DC7"/>
    <w:rsid w:val="001E62B4"/>
    <w:rsid w:val="001E6879"/>
    <w:rsid w:val="001E6B6F"/>
    <w:rsid w:val="001E6BCA"/>
    <w:rsid w:val="001E6C65"/>
    <w:rsid w:val="001E7355"/>
    <w:rsid w:val="001E74C1"/>
    <w:rsid w:val="001E74EA"/>
    <w:rsid w:val="001E7C7A"/>
    <w:rsid w:val="001E7D44"/>
    <w:rsid w:val="001E7FBA"/>
    <w:rsid w:val="001F045E"/>
    <w:rsid w:val="001F0491"/>
    <w:rsid w:val="001F0497"/>
    <w:rsid w:val="001F0661"/>
    <w:rsid w:val="001F091C"/>
    <w:rsid w:val="001F0C85"/>
    <w:rsid w:val="001F0E39"/>
    <w:rsid w:val="001F100A"/>
    <w:rsid w:val="001F1311"/>
    <w:rsid w:val="001F1488"/>
    <w:rsid w:val="001F149C"/>
    <w:rsid w:val="001F1973"/>
    <w:rsid w:val="001F1A62"/>
    <w:rsid w:val="001F1D13"/>
    <w:rsid w:val="001F1E5A"/>
    <w:rsid w:val="001F2051"/>
    <w:rsid w:val="001F2540"/>
    <w:rsid w:val="001F2AD2"/>
    <w:rsid w:val="001F2B88"/>
    <w:rsid w:val="001F2C6D"/>
    <w:rsid w:val="001F2C90"/>
    <w:rsid w:val="001F2D1C"/>
    <w:rsid w:val="001F3365"/>
    <w:rsid w:val="001F3490"/>
    <w:rsid w:val="001F38B9"/>
    <w:rsid w:val="001F3A3B"/>
    <w:rsid w:val="001F3AA5"/>
    <w:rsid w:val="001F3C1C"/>
    <w:rsid w:val="001F3CBD"/>
    <w:rsid w:val="001F3E01"/>
    <w:rsid w:val="001F431D"/>
    <w:rsid w:val="001F43A6"/>
    <w:rsid w:val="001F44D8"/>
    <w:rsid w:val="001F45E7"/>
    <w:rsid w:val="001F46F1"/>
    <w:rsid w:val="001F4835"/>
    <w:rsid w:val="001F4E85"/>
    <w:rsid w:val="001F4E93"/>
    <w:rsid w:val="001F5130"/>
    <w:rsid w:val="001F5200"/>
    <w:rsid w:val="001F5402"/>
    <w:rsid w:val="001F57FB"/>
    <w:rsid w:val="001F5810"/>
    <w:rsid w:val="001F5962"/>
    <w:rsid w:val="001F5976"/>
    <w:rsid w:val="001F59A5"/>
    <w:rsid w:val="001F59C0"/>
    <w:rsid w:val="001F5FB1"/>
    <w:rsid w:val="001F617C"/>
    <w:rsid w:val="001F6334"/>
    <w:rsid w:val="001F64DB"/>
    <w:rsid w:val="001F656F"/>
    <w:rsid w:val="001F6CFF"/>
    <w:rsid w:val="001F72B8"/>
    <w:rsid w:val="001F73D2"/>
    <w:rsid w:val="001F7798"/>
    <w:rsid w:val="001F7B82"/>
    <w:rsid w:val="001F7C9B"/>
    <w:rsid w:val="001F7DA6"/>
    <w:rsid w:val="001F7FE5"/>
    <w:rsid w:val="00200056"/>
    <w:rsid w:val="00200402"/>
    <w:rsid w:val="00200C92"/>
    <w:rsid w:val="00200ED6"/>
    <w:rsid w:val="00201434"/>
    <w:rsid w:val="002014E2"/>
    <w:rsid w:val="00201971"/>
    <w:rsid w:val="00201AE3"/>
    <w:rsid w:val="00201BBF"/>
    <w:rsid w:val="00202969"/>
    <w:rsid w:val="00202A48"/>
    <w:rsid w:val="00202C0B"/>
    <w:rsid w:val="00202C18"/>
    <w:rsid w:val="00202C64"/>
    <w:rsid w:val="00203239"/>
    <w:rsid w:val="0020329D"/>
    <w:rsid w:val="00203424"/>
    <w:rsid w:val="0020344C"/>
    <w:rsid w:val="00203AA7"/>
    <w:rsid w:val="00203CB5"/>
    <w:rsid w:val="00203EAB"/>
    <w:rsid w:val="00204153"/>
    <w:rsid w:val="00204240"/>
    <w:rsid w:val="002045A5"/>
    <w:rsid w:val="002046F6"/>
    <w:rsid w:val="0020490E"/>
    <w:rsid w:val="002049B9"/>
    <w:rsid w:val="00204B52"/>
    <w:rsid w:val="00204C84"/>
    <w:rsid w:val="00204D31"/>
    <w:rsid w:val="00204E34"/>
    <w:rsid w:val="002056E0"/>
    <w:rsid w:val="00205A1C"/>
    <w:rsid w:val="00205E0C"/>
    <w:rsid w:val="0020627A"/>
    <w:rsid w:val="002062E4"/>
    <w:rsid w:val="002067C9"/>
    <w:rsid w:val="00206FCF"/>
    <w:rsid w:val="00207114"/>
    <w:rsid w:val="002071CE"/>
    <w:rsid w:val="0020794B"/>
    <w:rsid w:val="00207A61"/>
    <w:rsid w:val="00207C04"/>
    <w:rsid w:val="00207E18"/>
    <w:rsid w:val="00207EA2"/>
    <w:rsid w:val="0021055C"/>
    <w:rsid w:val="002109B7"/>
    <w:rsid w:val="002109C6"/>
    <w:rsid w:val="00210DD0"/>
    <w:rsid w:val="00210DF3"/>
    <w:rsid w:val="00211357"/>
    <w:rsid w:val="00211378"/>
    <w:rsid w:val="002113ED"/>
    <w:rsid w:val="00211470"/>
    <w:rsid w:val="00211967"/>
    <w:rsid w:val="00211BBD"/>
    <w:rsid w:val="00211EF8"/>
    <w:rsid w:val="0021205B"/>
    <w:rsid w:val="00212203"/>
    <w:rsid w:val="002126B9"/>
    <w:rsid w:val="00212877"/>
    <w:rsid w:val="002128F9"/>
    <w:rsid w:val="002129AF"/>
    <w:rsid w:val="002129E3"/>
    <w:rsid w:val="00212B95"/>
    <w:rsid w:val="002132F2"/>
    <w:rsid w:val="002134CF"/>
    <w:rsid w:val="002136F4"/>
    <w:rsid w:val="00213C64"/>
    <w:rsid w:val="0021410C"/>
    <w:rsid w:val="0021428E"/>
    <w:rsid w:val="0021494F"/>
    <w:rsid w:val="00214985"/>
    <w:rsid w:val="00214C47"/>
    <w:rsid w:val="00214D00"/>
    <w:rsid w:val="00214EFD"/>
    <w:rsid w:val="0021530E"/>
    <w:rsid w:val="00215371"/>
    <w:rsid w:val="00215742"/>
    <w:rsid w:val="00215833"/>
    <w:rsid w:val="00215B28"/>
    <w:rsid w:val="00215C07"/>
    <w:rsid w:val="00215E2D"/>
    <w:rsid w:val="0021603E"/>
    <w:rsid w:val="00216367"/>
    <w:rsid w:val="00216411"/>
    <w:rsid w:val="0021643E"/>
    <w:rsid w:val="0021697F"/>
    <w:rsid w:val="00216B86"/>
    <w:rsid w:val="00216CDA"/>
    <w:rsid w:val="00216EC1"/>
    <w:rsid w:val="0021702C"/>
    <w:rsid w:val="0021713F"/>
    <w:rsid w:val="00217496"/>
    <w:rsid w:val="00217AFD"/>
    <w:rsid w:val="00217CD1"/>
    <w:rsid w:val="00217DBF"/>
    <w:rsid w:val="00217EE9"/>
    <w:rsid w:val="00217F1E"/>
    <w:rsid w:val="00217F2D"/>
    <w:rsid w:val="00220144"/>
    <w:rsid w:val="0022034E"/>
    <w:rsid w:val="002203BC"/>
    <w:rsid w:val="00220AA1"/>
    <w:rsid w:val="00220F9F"/>
    <w:rsid w:val="00220FE6"/>
    <w:rsid w:val="00221260"/>
    <w:rsid w:val="00221326"/>
    <w:rsid w:val="0022132B"/>
    <w:rsid w:val="0022143D"/>
    <w:rsid w:val="0022147A"/>
    <w:rsid w:val="002214AD"/>
    <w:rsid w:val="00221520"/>
    <w:rsid w:val="00221585"/>
    <w:rsid w:val="00221766"/>
    <w:rsid w:val="00221883"/>
    <w:rsid w:val="002218E9"/>
    <w:rsid w:val="00221BC0"/>
    <w:rsid w:val="00221C87"/>
    <w:rsid w:val="00221E2C"/>
    <w:rsid w:val="002220D2"/>
    <w:rsid w:val="002223F0"/>
    <w:rsid w:val="00222550"/>
    <w:rsid w:val="0022259F"/>
    <w:rsid w:val="00222605"/>
    <w:rsid w:val="0022264C"/>
    <w:rsid w:val="0022269D"/>
    <w:rsid w:val="00222AA8"/>
    <w:rsid w:val="00222BD0"/>
    <w:rsid w:val="00222CDE"/>
    <w:rsid w:val="00222DDD"/>
    <w:rsid w:val="00223151"/>
    <w:rsid w:val="002231CD"/>
    <w:rsid w:val="002232C2"/>
    <w:rsid w:val="002236A9"/>
    <w:rsid w:val="002237E8"/>
    <w:rsid w:val="00223969"/>
    <w:rsid w:val="00223A16"/>
    <w:rsid w:val="00223A1A"/>
    <w:rsid w:val="00223AAE"/>
    <w:rsid w:val="00223AB6"/>
    <w:rsid w:val="00224187"/>
    <w:rsid w:val="002241C9"/>
    <w:rsid w:val="00224211"/>
    <w:rsid w:val="002243EC"/>
    <w:rsid w:val="00224856"/>
    <w:rsid w:val="00224AA0"/>
    <w:rsid w:val="00224AFA"/>
    <w:rsid w:val="00224B25"/>
    <w:rsid w:val="00224CC7"/>
    <w:rsid w:val="00224F0B"/>
    <w:rsid w:val="00225209"/>
    <w:rsid w:val="00225723"/>
    <w:rsid w:val="00225B87"/>
    <w:rsid w:val="00225EBB"/>
    <w:rsid w:val="002260E4"/>
    <w:rsid w:val="002261DA"/>
    <w:rsid w:val="0022639D"/>
    <w:rsid w:val="00226430"/>
    <w:rsid w:val="002264EE"/>
    <w:rsid w:val="00226901"/>
    <w:rsid w:val="00226909"/>
    <w:rsid w:val="00226986"/>
    <w:rsid w:val="00226D9F"/>
    <w:rsid w:val="00226F7E"/>
    <w:rsid w:val="00226FE0"/>
    <w:rsid w:val="00227057"/>
    <w:rsid w:val="002271E4"/>
    <w:rsid w:val="00227645"/>
    <w:rsid w:val="0022773E"/>
    <w:rsid w:val="00227997"/>
    <w:rsid w:val="00230829"/>
    <w:rsid w:val="00230868"/>
    <w:rsid w:val="00230962"/>
    <w:rsid w:val="00230A11"/>
    <w:rsid w:val="00230BBC"/>
    <w:rsid w:val="00230FEE"/>
    <w:rsid w:val="00231047"/>
    <w:rsid w:val="002313BB"/>
    <w:rsid w:val="00231AC3"/>
    <w:rsid w:val="00231B9A"/>
    <w:rsid w:val="002320B7"/>
    <w:rsid w:val="002326DF"/>
    <w:rsid w:val="0023274B"/>
    <w:rsid w:val="00232765"/>
    <w:rsid w:val="002328C0"/>
    <w:rsid w:val="00232A15"/>
    <w:rsid w:val="00232DE1"/>
    <w:rsid w:val="00233012"/>
    <w:rsid w:val="0023306E"/>
    <w:rsid w:val="0023314C"/>
    <w:rsid w:val="00233338"/>
    <w:rsid w:val="002335CC"/>
    <w:rsid w:val="002336C3"/>
    <w:rsid w:val="00233761"/>
    <w:rsid w:val="0023386D"/>
    <w:rsid w:val="002338F2"/>
    <w:rsid w:val="00233B75"/>
    <w:rsid w:val="00234162"/>
    <w:rsid w:val="00234302"/>
    <w:rsid w:val="002344DB"/>
    <w:rsid w:val="002346A8"/>
    <w:rsid w:val="0023470A"/>
    <w:rsid w:val="00234988"/>
    <w:rsid w:val="00234D2F"/>
    <w:rsid w:val="00234DFB"/>
    <w:rsid w:val="00234F82"/>
    <w:rsid w:val="0023510C"/>
    <w:rsid w:val="00235395"/>
    <w:rsid w:val="002353FF"/>
    <w:rsid w:val="002354DF"/>
    <w:rsid w:val="0023573E"/>
    <w:rsid w:val="00235A38"/>
    <w:rsid w:val="00235FB1"/>
    <w:rsid w:val="00236285"/>
    <w:rsid w:val="002362FF"/>
    <w:rsid w:val="00236491"/>
    <w:rsid w:val="00236586"/>
    <w:rsid w:val="0023667A"/>
    <w:rsid w:val="00236781"/>
    <w:rsid w:val="002369CD"/>
    <w:rsid w:val="002369FF"/>
    <w:rsid w:val="00236E73"/>
    <w:rsid w:val="00236E79"/>
    <w:rsid w:val="002370DF"/>
    <w:rsid w:val="00237228"/>
    <w:rsid w:val="002374C8"/>
    <w:rsid w:val="002374E1"/>
    <w:rsid w:val="00237528"/>
    <w:rsid w:val="0023753C"/>
    <w:rsid w:val="00237627"/>
    <w:rsid w:val="0023783A"/>
    <w:rsid w:val="00237A80"/>
    <w:rsid w:val="00237CBC"/>
    <w:rsid w:val="00237DE6"/>
    <w:rsid w:val="00237E69"/>
    <w:rsid w:val="00237F8D"/>
    <w:rsid w:val="00240072"/>
    <w:rsid w:val="002403D6"/>
    <w:rsid w:val="00240599"/>
    <w:rsid w:val="002407BC"/>
    <w:rsid w:val="002408F5"/>
    <w:rsid w:val="00240950"/>
    <w:rsid w:val="00240AF3"/>
    <w:rsid w:val="00240BFE"/>
    <w:rsid w:val="00240D3C"/>
    <w:rsid w:val="0024108B"/>
    <w:rsid w:val="002410B4"/>
    <w:rsid w:val="002410F1"/>
    <w:rsid w:val="00241191"/>
    <w:rsid w:val="00241199"/>
    <w:rsid w:val="002411FC"/>
    <w:rsid w:val="00241236"/>
    <w:rsid w:val="00241513"/>
    <w:rsid w:val="0024182A"/>
    <w:rsid w:val="00241885"/>
    <w:rsid w:val="002419F0"/>
    <w:rsid w:val="002419F4"/>
    <w:rsid w:val="00241A62"/>
    <w:rsid w:val="00241AFA"/>
    <w:rsid w:val="00241C57"/>
    <w:rsid w:val="00241C96"/>
    <w:rsid w:val="00241CCC"/>
    <w:rsid w:val="00241D6A"/>
    <w:rsid w:val="00241E01"/>
    <w:rsid w:val="00241ECE"/>
    <w:rsid w:val="00241F29"/>
    <w:rsid w:val="002421E3"/>
    <w:rsid w:val="00242992"/>
    <w:rsid w:val="002429C8"/>
    <w:rsid w:val="00242E02"/>
    <w:rsid w:val="00242FDE"/>
    <w:rsid w:val="002430CA"/>
    <w:rsid w:val="00243148"/>
    <w:rsid w:val="002432B9"/>
    <w:rsid w:val="002433AA"/>
    <w:rsid w:val="00243527"/>
    <w:rsid w:val="002437CA"/>
    <w:rsid w:val="00243861"/>
    <w:rsid w:val="0024395C"/>
    <w:rsid w:val="00243BD4"/>
    <w:rsid w:val="00243D04"/>
    <w:rsid w:val="00244215"/>
    <w:rsid w:val="0024443E"/>
    <w:rsid w:val="002444CF"/>
    <w:rsid w:val="00244569"/>
    <w:rsid w:val="00244912"/>
    <w:rsid w:val="00245115"/>
    <w:rsid w:val="0024537C"/>
    <w:rsid w:val="00245794"/>
    <w:rsid w:val="00245A9B"/>
    <w:rsid w:val="00245CF4"/>
    <w:rsid w:val="00245D6F"/>
    <w:rsid w:val="00245F5E"/>
    <w:rsid w:val="0024600C"/>
    <w:rsid w:val="002461AF"/>
    <w:rsid w:val="00246E2F"/>
    <w:rsid w:val="002471B5"/>
    <w:rsid w:val="002471CE"/>
    <w:rsid w:val="00247519"/>
    <w:rsid w:val="002476DF"/>
    <w:rsid w:val="002478DF"/>
    <w:rsid w:val="002479FD"/>
    <w:rsid w:val="00247AB7"/>
    <w:rsid w:val="00247ECE"/>
    <w:rsid w:val="00250112"/>
    <w:rsid w:val="0025015A"/>
    <w:rsid w:val="00250199"/>
    <w:rsid w:val="0025047D"/>
    <w:rsid w:val="002507CE"/>
    <w:rsid w:val="00250AAD"/>
    <w:rsid w:val="00250EAF"/>
    <w:rsid w:val="00251190"/>
    <w:rsid w:val="00251288"/>
    <w:rsid w:val="0025128B"/>
    <w:rsid w:val="00251601"/>
    <w:rsid w:val="0025178A"/>
    <w:rsid w:val="002517A8"/>
    <w:rsid w:val="0025184A"/>
    <w:rsid w:val="00251A14"/>
    <w:rsid w:val="00251B0E"/>
    <w:rsid w:val="00251BCB"/>
    <w:rsid w:val="00251D20"/>
    <w:rsid w:val="00251FE2"/>
    <w:rsid w:val="002520D9"/>
    <w:rsid w:val="00252132"/>
    <w:rsid w:val="00252373"/>
    <w:rsid w:val="00252407"/>
    <w:rsid w:val="0025268E"/>
    <w:rsid w:val="002526FB"/>
    <w:rsid w:val="00252791"/>
    <w:rsid w:val="002529BB"/>
    <w:rsid w:val="002529F9"/>
    <w:rsid w:val="00252B00"/>
    <w:rsid w:val="00252B18"/>
    <w:rsid w:val="00252B54"/>
    <w:rsid w:val="00252D1D"/>
    <w:rsid w:val="002530AD"/>
    <w:rsid w:val="002536F3"/>
    <w:rsid w:val="00253768"/>
    <w:rsid w:val="002537F9"/>
    <w:rsid w:val="0025387F"/>
    <w:rsid w:val="002539AC"/>
    <w:rsid w:val="00253A0C"/>
    <w:rsid w:val="00253E89"/>
    <w:rsid w:val="002540DC"/>
    <w:rsid w:val="00254245"/>
    <w:rsid w:val="002542BF"/>
    <w:rsid w:val="0025478C"/>
    <w:rsid w:val="002549AE"/>
    <w:rsid w:val="00254AF5"/>
    <w:rsid w:val="00254C98"/>
    <w:rsid w:val="002551E9"/>
    <w:rsid w:val="00255265"/>
    <w:rsid w:val="0025579B"/>
    <w:rsid w:val="00255812"/>
    <w:rsid w:val="002558DF"/>
    <w:rsid w:val="00255BB8"/>
    <w:rsid w:val="00255E8E"/>
    <w:rsid w:val="00256229"/>
    <w:rsid w:val="00256423"/>
    <w:rsid w:val="00256475"/>
    <w:rsid w:val="00256A99"/>
    <w:rsid w:val="00256E2D"/>
    <w:rsid w:val="00256FDF"/>
    <w:rsid w:val="00257057"/>
    <w:rsid w:val="002573A8"/>
    <w:rsid w:val="0025743C"/>
    <w:rsid w:val="00257547"/>
    <w:rsid w:val="002576E4"/>
    <w:rsid w:val="00257CB5"/>
    <w:rsid w:val="00257DDC"/>
    <w:rsid w:val="00257E60"/>
    <w:rsid w:val="00260705"/>
    <w:rsid w:val="00260738"/>
    <w:rsid w:val="00260876"/>
    <w:rsid w:val="0026094F"/>
    <w:rsid w:val="00260A98"/>
    <w:rsid w:val="00260AFB"/>
    <w:rsid w:val="00260CA8"/>
    <w:rsid w:val="00261147"/>
    <w:rsid w:val="0026119E"/>
    <w:rsid w:val="0026137D"/>
    <w:rsid w:val="002616CE"/>
    <w:rsid w:val="00261927"/>
    <w:rsid w:val="00261946"/>
    <w:rsid w:val="00261B31"/>
    <w:rsid w:val="00261BFD"/>
    <w:rsid w:val="00261F31"/>
    <w:rsid w:val="00261FEA"/>
    <w:rsid w:val="002624CB"/>
    <w:rsid w:val="00262674"/>
    <w:rsid w:val="00262734"/>
    <w:rsid w:val="002629A5"/>
    <w:rsid w:val="00262C24"/>
    <w:rsid w:val="00262D7B"/>
    <w:rsid w:val="00263382"/>
    <w:rsid w:val="002635A6"/>
    <w:rsid w:val="00263714"/>
    <w:rsid w:val="00263F89"/>
    <w:rsid w:val="00264270"/>
    <w:rsid w:val="00264293"/>
    <w:rsid w:val="002646F6"/>
    <w:rsid w:val="0026470D"/>
    <w:rsid w:val="002647F4"/>
    <w:rsid w:val="00264834"/>
    <w:rsid w:val="002649E7"/>
    <w:rsid w:val="00264B2E"/>
    <w:rsid w:val="00264DEA"/>
    <w:rsid w:val="002650C9"/>
    <w:rsid w:val="002650F8"/>
    <w:rsid w:val="00265253"/>
    <w:rsid w:val="00265C51"/>
    <w:rsid w:val="00266021"/>
    <w:rsid w:val="002660C3"/>
    <w:rsid w:val="0026630C"/>
    <w:rsid w:val="00266D1B"/>
    <w:rsid w:val="00266DD6"/>
    <w:rsid w:val="00266F8E"/>
    <w:rsid w:val="00266FE6"/>
    <w:rsid w:val="0026709E"/>
    <w:rsid w:val="00267404"/>
    <w:rsid w:val="002676DE"/>
    <w:rsid w:val="002678FB"/>
    <w:rsid w:val="00267A17"/>
    <w:rsid w:val="00267B8D"/>
    <w:rsid w:val="00267BAC"/>
    <w:rsid w:val="00267BC1"/>
    <w:rsid w:val="00267C24"/>
    <w:rsid w:val="00267C77"/>
    <w:rsid w:val="0027003C"/>
    <w:rsid w:val="00270312"/>
    <w:rsid w:val="002703A8"/>
    <w:rsid w:val="00270446"/>
    <w:rsid w:val="0027056C"/>
    <w:rsid w:val="00270BE5"/>
    <w:rsid w:val="00270E13"/>
    <w:rsid w:val="00270E1F"/>
    <w:rsid w:val="00270E60"/>
    <w:rsid w:val="00270EA3"/>
    <w:rsid w:val="0027102B"/>
    <w:rsid w:val="0027110B"/>
    <w:rsid w:val="00271217"/>
    <w:rsid w:val="0027188B"/>
    <w:rsid w:val="0027196B"/>
    <w:rsid w:val="002719A5"/>
    <w:rsid w:val="00272393"/>
    <w:rsid w:val="0027253B"/>
    <w:rsid w:val="00272C14"/>
    <w:rsid w:val="00272D00"/>
    <w:rsid w:val="002730C7"/>
    <w:rsid w:val="00273264"/>
    <w:rsid w:val="002734AB"/>
    <w:rsid w:val="00273D47"/>
    <w:rsid w:val="00273E36"/>
    <w:rsid w:val="00274497"/>
    <w:rsid w:val="002747AD"/>
    <w:rsid w:val="00274D7F"/>
    <w:rsid w:val="00274DFF"/>
    <w:rsid w:val="00275197"/>
    <w:rsid w:val="00275357"/>
    <w:rsid w:val="002755E5"/>
    <w:rsid w:val="002758CF"/>
    <w:rsid w:val="00275958"/>
    <w:rsid w:val="0027596A"/>
    <w:rsid w:val="00275CF4"/>
    <w:rsid w:val="00275D52"/>
    <w:rsid w:val="00275DA8"/>
    <w:rsid w:val="002765FD"/>
    <w:rsid w:val="002766C9"/>
    <w:rsid w:val="00276775"/>
    <w:rsid w:val="002769B4"/>
    <w:rsid w:val="00276A54"/>
    <w:rsid w:val="00276BCC"/>
    <w:rsid w:val="00276C87"/>
    <w:rsid w:val="00276F5F"/>
    <w:rsid w:val="002771B6"/>
    <w:rsid w:val="002772D9"/>
    <w:rsid w:val="002774A4"/>
    <w:rsid w:val="002774D3"/>
    <w:rsid w:val="00277501"/>
    <w:rsid w:val="00277727"/>
    <w:rsid w:val="00277765"/>
    <w:rsid w:val="00277835"/>
    <w:rsid w:val="0027789F"/>
    <w:rsid w:val="00277BC9"/>
    <w:rsid w:val="00277CFA"/>
    <w:rsid w:val="00277D78"/>
    <w:rsid w:val="00277E1E"/>
    <w:rsid w:val="00277E63"/>
    <w:rsid w:val="002802BB"/>
    <w:rsid w:val="002806B8"/>
    <w:rsid w:val="00280902"/>
    <w:rsid w:val="00280A02"/>
    <w:rsid w:val="00280CF9"/>
    <w:rsid w:val="00280E3C"/>
    <w:rsid w:val="00280E54"/>
    <w:rsid w:val="00281003"/>
    <w:rsid w:val="0028114D"/>
    <w:rsid w:val="002814EB"/>
    <w:rsid w:val="002818DF"/>
    <w:rsid w:val="00281C18"/>
    <w:rsid w:val="00281CBF"/>
    <w:rsid w:val="002821E3"/>
    <w:rsid w:val="0028259A"/>
    <w:rsid w:val="002825EF"/>
    <w:rsid w:val="00282755"/>
    <w:rsid w:val="00282A33"/>
    <w:rsid w:val="00282C8D"/>
    <w:rsid w:val="00282ED2"/>
    <w:rsid w:val="00282FE2"/>
    <w:rsid w:val="00283044"/>
    <w:rsid w:val="0028314B"/>
    <w:rsid w:val="00283291"/>
    <w:rsid w:val="002832FF"/>
    <w:rsid w:val="00283596"/>
    <w:rsid w:val="002836E9"/>
    <w:rsid w:val="00283834"/>
    <w:rsid w:val="00283841"/>
    <w:rsid w:val="002839E0"/>
    <w:rsid w:val="002839F7"/>
    <w:rsid w:val="00283A23"/>
    <w:rsid w:val="00283A30"/>
    <w:rsid w:val="00283D6A"/>
    <w:rsid w:val="00283E0E"/>
    <w:rsid w:val="002844F6"/>
    <w:rsid w:val="0028455F"/>
    <w:rsid w:val="002845CC"/>
    <w:rsid w:val="0028474E"/>
    <w:rsid w:val="002847F1"/>
    <w:rsid w:val="00285D40"/>
    <w:rsid w:val="00286076"/>
    <w:rsid w:val="0028621D"/>
    <w:rsid w:val="00286594"/>
    <w:rsid w:val="002865FA"/>
    <w:rsid w:val="00286862"/>
    <w:rsid w:val="00286EF1"/>
    <w:rsid w:val="00287631"/>
    <w:rsid w:val="002876B6"/>
    <w:rsid w:val="002876FA"/>
    <w:rsid w:val="00287896"/>
    <w:rsid w:val="00287C33"/>
    <w:rsid w:val="00287EB4"/>
    <w:rsid w:val="00287FCC"/>
    <w:rsid w:val="002901CA"/>
    <w:rsid w:val="0029055F"/>
    <w:rsid w:val="00290893"/>
    <w:rsid w:val="002909D7"/>
    <w:rsid w:val="00290DFD"/>
    <w:rsid w:val="0029132C"/>
    <w:rsid w:val="0029134F"/>
    <w:rsid w:val="00291472"/>
    <w:rsid w:val="002915A3"/>
    <w:rsid w:val="002916F8"/>
    <w:rsid w:val="00291984"/>
    <w:rsid w:val="00291B34"/>
    <w:rsid w:val="00291E32"/>
    <w:rsid w:val="00291FF6"/>
    <w:rsid w:val="002920D9"/>
    <w:rsid w:val="00292198"/>
    <w:rsid w:val="002922B8"/>
    <w:rsid w:val="002923B8"/>
    <w:rsid w:val="00292465"/>
    <w:rsid w:val="002924F6"/>
    <w:rsid w:val="00292DF3"/>
    <w:rsid w:val="0029358E"/>
    <w:rsid w:val="002936BF"/>
    <w:rsid w:val="0029385E"/>
    <w:rsid w:val="00293B18"/>
    <w:rsid w:val="00293B1B"/>
    <w:rsid w:val="00293CFD"/>
    <w:rsid w:val="00293DBF"/>
    <w:rsid w:val="00293E4E"/>
    <w:rsid w:val="00294023"/>
    <w:rsid w:val="002946B2"/>
    <w:rsid w:val="002946CF"/>
    <w:rsid w:val="00295212"/>
    <w:rsid w:val="00295386"/>
    <w:rsid w:val="00295866"/>
    <w:rsid w:val="00295922"/>
    <w:rsid w:val="00296166"/>
    <w:rsid w:val="0029620B"/>
    <w:rsid w:val="00296214"/>
    <w:rsid w:val="0029655F"/>
    <w:rsid w:val="00296A5D"/>
    <w:rsid w:val="00296AD3"/>
    <w:rsid w:val="00296B39"/>
    <w:rsid w:val="00296F20"/>
    <w:rsid w:val="002972F0"/>
    <w:rsid w:val="00297309"/>
    <w:rsid w:val="0029762C"/>
    <w:rsid w:val="00297742"/>
    <w:rsid w:val="002977CC"/>
    <w:rsid w:val="002978D3"/>
    <w:rsid w:val="0029791B"/>
    <w:rsid w:val="00297ABE"/>
    <w:rsid w:val="00297BD9"/>
    <w:rsid w:val="002A0261"/>
    <w:rsid w:val="002A07B2"/>
    <w:rsid w:val="002A0821"/>
    <w:rsid w:val="002A0991"/>
    <w:rsid w:val="002A0A54"/>
    <w:rsid w:val="002A0CFC"/>
    <w:rsid w:val="002A0E08"/>
    <w:rsid w:val="002A0E61"/>
    <w:rsid w:val="002A0ECA"/>
    <w:rsid w:val="002A11CB"/>
    <w:rsid w:val="002A11D8"/>
    <w:rsid w:val="002A12C4"/>
    <w:rsid w:val="002A14BA"/>
    <w:rsid w:val="002A177A"/>
    <w:rsid w:val="002A1878"/>
    <w:rsid w:val="002A1A70"/>
    <w:rsid w:val="002A2607"/>
    <w:rsid w:val="002A271E"/>
    <w:rsid w:val="002A2754"/>
    <w:rsid w:val="002A2818"/>
    <w:rsid w:val="002A28E1"/>
    <w:rsid w:val="002A2A63"/>
    <w:rsid w:val="002A2DA3"/>
    <w:rsid w:val="002A2E45"/>
    <w:rsid w:val="002A2E4D"/>
    <w:rsid w:val="002A2FF1"/>
    <w:rsid w:val="002A316F"/>
    <w:rsid w:val="002A32E9"/>
    <w:rsid w:val="002A333E"/>
    <w:rsid w:val="002A33F3"/>
    <w:rsid w:val="002A34F4"/>
    <w:rsid w:val="002A3D07"/>
    <w:rsid w:val="002A42FD"/>
    <w:rsid w:val="002A4466"/>
    <w:rsid w:val="002A4EA9"/>
    <w:rsid w:val="002A4F21"/>
    <w:rsid w:val="002A4F28"/>
    <w:rsid w:val="002A4FF7"/>
    <w:rsid w:val="002A53FF"/>
    <w:rsid w:val="002A55C6"/>
    <w:rsid w:val="002A5692"/>
    <w:rsid w:val="002A56F0"/>
    <w:rsid w:val="002A5D62"/>
    <w:rsid w:val="002A60AA"/>
    <w:rsid w:val="002A65C1"/>
    <w:rsid w:val="002A689B"/>
    <w:rsid w:val="002A6A3C"/>
    <w:rsid w:val="002A6B82"/>
    <w:rsid w:val="002A7217"/>
    <w:rsid w:val="002A734F"/>
    <w:rsid w:val="002A74E0"/>
    <w:rsid w:val="002A75AC"/>
    <w:rsid w:val="002A795B"/>
    <w:rsid w:val="002A79D8"/>
    <w:rsid w:val="002A7C2C"/>
    <w:rsid w:val="002A7FCF"/>
    <w:rsid w:val="002B0128"/>
    <w:rsid w:val="002B0306"/>
    <w:rsid w:val="002B05F9"/>
    <w:rsid w:val="002B09B4"/>
    <w:rsid w:val="002B0B2F"/>
    <w:rsid w:val="002B1696"/>
    <w:rsid w:val="002B1CE8"/>
    <w:rsid w:val="002B2072"/>
    <w:rsid w:val="002B2200"/>
    <w:rsid w:val="002B2240"/>
    <w:rsid w:val="002B23B6"/>
    <w:rsid w:val="002B2570"/>
    <w:rsid w:val="002B259C"/>
    <w:rsid w:val="002B260A"/>
    <w:rsid w:val="002B29EF"/>
    <w:rsid w:val="002B2AE8"/>
    <w:rsid w:val="002B30D0"/>
    <w:rsid w:val="002B3297"/>
    <w:rsid w:val="002B3553"/>
    <w:rsid w:val="002B36C1"/>
    <w:rsid w:val="002B38B3"/>
    <w:rsid w:val="002B3BE2"/>
    <w:rsid w:val="002B3C60"/>
    <w:rsid w:val="002B3CA7"/>
    <w:rsid w:val="002B413B"/>
    <w:rsid w:val="002B4197"/>
    <w:rsid w:val="002B41E5"/>
    <w:rsid w:val="002B43E4"/>
    <w:rsid w:val="002B46D2"/>
    <w:rsid w:val="002B48D2"/>
    <w:rsid w:val="002B4A3A"/>
    <w:rsid w:val="002B4C54"/>
    <w:rsid w:val="002B4EEF"/>
    <w:rsid w:val="002B5300"/>
    <w:rsid w:val="002B55D1"/>
    <w:rsid w:val="002B5796"/>
    <w:rsid w:val="002B57D1"/>
    <w:rsid w:val="002B57E5"/>
    <w:rsid w:val="002B5D49"/>
    <w:rsid w:val="002B5FC8"/>
    <w:rsid w:val="002B6036"/>
    <w:rsid w:val="002B6068"/>
    <w:rsid w:val="002B6078"/>
    <w:rsid w:val="002B666D"/>
    <w:rsid w:val="002B695B"/>
    <w:rsid w:val="002B743E"/>
    <w:rsid w:val="002B76B7"/>
    <w:rsid w:val="002B7AE1"/>
    <w:rsid w:val="002B7AF7"/>
    <w:rsid w:val="002C0496"/>
    <w:rsid w:val="002C05F9"/>
    <w:rsid w:val="002C068D"/>
    <w:rsid w:val="002C07DE"/>
    <w:rsid w:val="002C0A0A"/>
    <w:rsid w:val="002C0B8F"/>
    <w:rsid w:val="002C0D30"/>
    <w:rsid w:val="002C0ECF"/>
    <w:rsid w:val="002C0F5A"/>
    <w:rsid w:val="002C1494"/>
    <w:rsid w:val="002C16F3"/>
    <w:rsid w:val="002C1B72"/>
    <w:rsid w:val="002C1C73"/>
    <w:rsid w:val="002C1D9E"/>
    <w:rsid w:val="002C212A"/>
    <w:rsid w:val="002C22C0"/>
    <w:rsid w:val="002C2362"/>
    <w:rsid w:val="002C25D8"/>
    <w:rsid w:val="002C25E8"/>
    <w:rsid w:val="002C2832"/>
    <w:rsid w:val="002C29A3"/>
    <w:rsid w:val="002C2B04"/>
    <w:rsid w:val="002C2B7E"/>
    <w:rsid w:val="002C31DC"/>
    <w:rsid w:val="002C31EC"/>
    <w:rsid w:val="002C322C"/>
    <w:rsid w:val="002C38CE"/>
    <w:rsid w:val="002C399B"/>
    <w:rsid w:val="002C3AAE"/>
    <w:rsid w:val="002C3C3F"/>
    <w:rsid w:val="002C3DFF"/>
    <w:rsid w:val="002C3E41"/>
    <w:rsid w:val="002C4331"/>
    <w:rsid w:val="002C43C6"/>
    <w:rsid w:val="002C43C9"/>
    <w:rsid w:val="002C4884"/>
    <w:rsid w:val="002C4D15"/>
    <w:rsid w:val="002C4D27"/>
    <w:rsid w:val="002C4E4E"/>
    <w:rsid w:val="002C4F37"/>
    <w:rsid w:val="002C54DA"/>
    <w:rsid w:val="002C5B76"/>
    <w:rsid w:val="002C5C57"/>
    <w:rsid w:val="002C5E5E"/>
    <w:rsid w:val="002C5F56"/>
    <w:rsid w:val="002C6109"/>
    <w:rsid w:val="002C6613"/>
    <w:rsid w:val="002C676C"/>
    <w:rsid w:val="002C70F3"/>
    <w:rsid w:val="002C7286"/>
    <w:rsid w:val="002C7321"/>
    <w:rsid w:val="002C74ED"/>
    <w:rsid w:val="002C7659"/>
    <w:rsid w:val="002C7674"/>
    <w:rsid w:val="002C7675"/>
    <w:rsid w:val="002C7860"/>
    <w:rsid w:val="002C792C"/>
    <w:rsid w:val="002C7EAC"/>
    <w:rsid w:val="002C7F9A"/>
    <w:rsid w:val="002D0023"/>
    <w:rsid w:val="002D0466"/>
    <w:rsid w:val="002D05A7"/>
    <w:rsid w:val="002D05DA"/>
    <w:rsid w:val="002D0875"/>
    <w:rsid w:val="002D0894"/>
    <w:rsid w:val="002D0A77"/>
    <w:rsid w:val="002D0C0F"/>
    <w:rsid w:val="002D0CAC"/>
    <w:rsid w:val="002D0EF7"/>
    <w:rsid w:val="002D1803"/>
    <w:rsid w:val="002D2284"/>
    <w:rsid w:val="002D2485"/>
    <w:rsid w:val="002D2B4D"/>
    <w:rsid w:val="002D2C8A"/>
    <w:rsid w:val="002D2DF9"/>
    <w:rsid w:val="002D2E30"/>
    <w:rsid w:val="002D32AF"/>
    <w:rsid w:val="002D364C"/>
    <w:rsid w:val="002D3749"/>
    <w:rsid w:val="002D3D31"/>
    <w:rsid w:val="002D3DF3"/>
    <w:rsid w:val="002D4436"/>
    <w:rsid w:val="002D455B"/>
    <w:rsid w:val="002D457D"/>
    <w:rsid w:val="002D4A58"/>
    <w:rsid w:val="002D4BF8"/>
    <w:rsid w:val="002D4E0B"/>
    <w:rsid w:val="002D4E71"/>
    <w:rsid w:val="002D5064"/>
    <w:rsid w:val="002D5069"/>
    <w:rsid w:val="002D5227"/>
    <w:rsid w:val="002D52BA"/>
    <w:rsid w:val="002D5727"/>
    <w:rsid w:val="002D57EF"/>
    <w:rsid w:val="002D5EBB"/>
    <w:rsid w:val="002D5F90"/>
    <w:rsid w:val="002D60DB"/>
    <w:rsid w:val="002D60F7"/>
    <w:rsid w:val="002D6155"/>
    <w:rsid w:val="002D62D4"/>
    <w:rsid w:val="002D63E8"/>
    <w:rsid w:val="002D650E"/>
    <w:rsid w:val="002D6579"/>
    <w:rsid w:val="002D6582"/>
    <w:rsid w:val="002D65ED"/>
    <w:rsid w:val="002D6623"/>
    <w:rsid w:val="002D678B"/>
    <w:rsid w:val="002D680F"/>
    <w:rsid w:val="002D68B7"/>
    <w:rsid w:val="002D6A4C"/>
    <w:rsid w:val="002D6C87"/>
    <w:rsid w:val="002D6EE2"/>
    <w:rsid w:val="002D6F9C"/>
    <w:rsid w:val="002D6FBD"/>
    <w:rsid w:val="002D710A"/>
    <w:rsid w:val="002D712F"/>
    <w:rsid w:val="002D7198"/>
    <w:rsid w:val="002D7333"/>
    <w:rsid w:val="002D73FB"/>
    <w:rsid w:val="002D7797"/>
    <w:rsid w:val="002D79D1"/>
    <w:rsid w:val="002D7A93"/>
    <w:rsid w:val="002D7CA3"/>
    <w:rsid w:val="002D7EEE"/>
    <w:rsid w:val="002E01EE"/>
    <w:rsid w:val="002E0685"/>
    <w:rsid w:val="002E0873"/>
    <w:rsid w:val="002E08CE"/>
    <w:rsid w:val="002E0C1F"/>
    <w:rsid w:val="002E1337"/>
    <w:rsid w:val="002E1592"/>
    <w:rsid w:val="002E1ADF"/>
    <w:rsid w:val="002E1B04"/>
    <w:rsid w:val="002E1BB4"/>
    <w:rsid w:val="002E1C3C"/>
    <w:rsid w:val="002E1FAA"/>
    <w:rsid w:val="002E214E"/>
    <w:rsid w:val="002E25D1"/>
    <w:rsid w:val="002E26CC"/>
    <w:rsid w:val="002E2C13"/>
    <w:rsid w:val="002E2F76"/>
    <w:rsid w:val="002E3035"/>
    <w:rsid w:val="002E30EC"/>
    <w:rsid w:val="002E313E"/>
    <w:rsid w:val="002E3145"/>
    <w:rsid w:val="002E32C4"/>
    <w:rsid w:val="002E34CA"/>
    <w:rsid w:val="002E3745"/>
    <w:rsid w:val="002E37EB"/>
    <w:rsid w:val="002E39D3"/>
    <w:rsid w:val="002E3AD2"/>
    <w:rsid w:val="002E3F6A"/>
    <w:rsid w:val="002E3FEA"/>
    <w:rsid w:val="002E429B"/>
    <w:rsid w:val="002E42AB"/>
    <w:rsid w:val="002E42B1"/>
    <w:rsid w:val="002E4334"/>
    <w:rsid w:val="002E43C4"/>
    <w:rsid w:val="002E44AE"/>
    <w:rsid w:val="002E457E"/>
    <w:rsid w:val="002E485F"/>
    <w:rsid w:val="002E4958"/>
    <w:rsid w:val="002E49C6"/>
    <w:rsid w:val="002E5209"/>
    <w:rsid w:val="002E5404"/>
    <w:rsid w:val="002E55CF"/>
    <w:rsid w:val="002E57BE"/>
    <w:rsid w:val="002E584F"/>
    <w:rsid w:val="002E58B0"/>
    <w:rsid w:val="002E5910"/>
    <w:rsid w:val="002E5EBE"/>
    <w:rsid w:val="002E607B"/>
    <w:rsid w:val="002E61AE"/>
    <w:rsid w:val="002E6424"/>
    <w:rsid w:val="002E6862"/>
    <w:rsid w:val="002E6A2E"/>
    <w:rsid w:val="002E6D53"/>
    <w:rsid w:val="002E6D82"/>
    <w:rsid w:val="002E71A3"/>
    <w:rsid w:val="002E71DB"/>
    <w:rsid w:val="002E75BA"/>
    <w:rsid w:val="002E7751"/>
    <w:rsid w:val="002E7955"/>
    <w:rsid w:val="002E7E0D"/>
    <w:rsid w:val="002F0189"/>
    <w:rsid w:val="002F02BC"/>
    <w:rsid w:val="002F05BD"/>
    <w:rsid w:val="002F0853"/>
    <w:rsid w:val="002F0C64"/>
    <w:rsid w:val="002F1053"/>
    <w:rsid w:val="002F1524"/>
    <w:rsid w:val="002F1593"/>
    <w:rsid w:val="002F1698"/>
    <w:rsid w:val="002F1726"/>
    <w:rsid w:val="002F17CF"/>
    <w:rsid w:val="002F1F23"/>
    <w:rsid w:val="002F1F6B"/>
    <w:rsid w:val="002F260E"/>
    <w:rsid w:val="002F2D0F"/>
    <w:rsid w:val="002F2D5F"/>
    <w:rsid w:val="002F345D"/>
    <w:rsid w:val="002F361F"/>
    <w:rsid w:val="002F3796"/>
    <w:rsid w:val="002F37CC"/>
    <w:rsid w:val="002F38C8"/>
    <w:rsid w:val="002F3A14"/>
    <w:rsid w:val="002F3C21"/>
    <w:rsid w:val="002F3D50"/>
    <w:rsid w:val="002F3F39"/>
    <w:rsid w:val="002F3F9C"/>
    <w:rsid w:val="002F4213"/>
    <w:rsid w:val="002F4215"/>
    <w:rsid w:val="002F430D"/>
    <w:rsid w:val="002F4532"/>
    <w:rsid w:val="002F4B50"/>
    <w:rsid w:val="002F4C24"/>
    <w:rsid w:val="002F5128"/>
    <w:rsid w:val="002F5299"/>
    <w:rsid w:val="002F5329"/>
    <w:rsid w:val="002F557B"/>
    <w:rsid w:val="002F57D1"/>
    <w:rsid w:val="002F5953"/>
    <w:rsid w:val="002F596C"/>
    <w:rsid w:val="002F6009"/>
    <w:rsid w:val="002F60CD"/>
    <w:rsid w:val="002F6105"/>
    <w:rsid w:val="002F610B"/>
    <w:rsid w:val="002F6277"/>
    <w:rsid w:val="002F62B2"/>
    <w:rsid w:val="002F639D"/>
    <w:rsid w:val="002F66AC"/>
    <w:rsid w:val="002F66BA"/>
    <w:rsid w:val="002F69B3"/>
    <w:rsid w:val="002F6DB8"/>
    <w:rsid w:val="002F7097"/>
    <w:rsid w:val="002F7139"/>
    <w:rsid w:val="002F7188"/>
    <w:rsid w:val="002F769A"/>
    <w:rsid w:val="002F76E6"/>
    <w:rsid w:val="002F782E"/>
    <w:rsid w:val="002F7E26"/>
    <w:rsid w:val="002F7ED6"/>
    <w:rsid w:val="0030033E"/>
    <w:rsid w:val="00300653"/>
    <w:rsid w:val="0030078C"/>
    <w:rsid w:val="00300882"/>
    <w:rsid w:val="00300B2F"/>
    <w:rsid w:val="00300C27"/>
    <w:rsid w:val="00301006"/>
    <w:rsid w:val="003011CA"/>
    <w:rsid w:val="003011FF"/>
    <w:rsid w:val="0030152C"/>
    <w:rsid w:val="0030153C"/>
    <w:rsid w:val="00301691"/>
    <w:rsid w:val="0030187A"/>
    <w:rsid w:val="003019CB"/>
    <w:rsid w:val="00301B67"/>
    <w:rsid w:val="00301CF0"/>
    <w:rsid w:val="00301E72"/>
    <w:rsid w:val="003023E0"/>
    <w:rsid w:val="0030285E"/>
    <w:rsid w:val="003029A0"/>
    <w:rsid w:val="00302C59"/>
    <w:rsid w:val="00302C9D"/>
    <w:rsid w:val="00302E15"/>
    <w:rsid w:val="0030307A"/>
    <w:rsid w:val="0030331B"/>
    <w:rsid w:val="0030335A"/>
    <w:rsid w:val="00303398"/>
    <w:rsid w:val="00303751"/>
    <w:rsid w:val="003039EE"/>
    <w:rsid w:val="00303AB1"/>
    <w:rsid w:val="00303AFA"/>
    <w:rsid w:val="00303CEB"/>
    <w:rsid w:val="00303EC8"/>
    <w:rsid w:val="00304466"/>
    <w:rsid w:val="00304599"/>
    <w:rsid w:val="0030492E"/>
    <w:rsid w:val="00304FE5"/>
    <w:rsid w:val="00305483"/>
    <w:rsid w:val="003057A3"/>
    <w:rsid w:val="00305855"/>
    <w:rsid w:val="00305ACA"/>
    <w:rsid w:val="00305D08"/>
    <w:rsid w:val="00306187"/>
    <w:rsid w:val="003062A4"/>
    <w:rsid w:val="0030631A"/>
    <w:rsid w:val="0030645F"/>
    <w:rsid w:val="003064C2"/>
    <w:rsid w:val="00306AAD"/>
    <w:rsid w:val="00306ADF"/>
    <w:rsid w:val="00306C28"/>
    <w:rsid w:val="00306EBE"/>
    <w:rsid w:val="00307133"/>
    <w:rsid w:val="00307288"/>
    <w:rsid w:val="00307300"/>
    <w:rsid w:val="0030741E"/>
    <w:rsid w:val="00307682"/>
    <w:rsid w:val="00307A59"/>
    <w:rsid w:val="00307B06"/>
    <w:rsid w:val="00307E0A"/>
    <w:rsid w:val="00307E35"/>
    <w:rsid w:val="003106ED"/>
    <w:rsid w:val="003106F0"/>
    <w:rsid w:val="00310CC5"/>
    <w:rsid w:val="003118F4"/>
    <w:rsid w:val="00311A17"/>
    <w:rsid w:val="00311BD9"/>
    <w:rsid w:val="00311DFD"/>
    <w:rsid w:val="003122F2"/>
    <w:rsid w:val="0031297F"/>
    <w:rsid w:val="00312A0E"/>
    <w:rsid w:val="00312CF3"/>
    <w:rsid w:val="00312E64"/>
    <w:rsid w:val="00312E93"/>
    <w:rsid w:val="00313031"/>
    <w:rsid w:val="00313096"/>
    <w:rsid w:val="003131E5"/>
    <w:rsid w:val="003132AA"/>
    <w:rsid w:val="00313315"/>
    <w:rsid w:val="00313810"/>
    <w:rsid w:val="003138A2"/>
    <w:rsid w:val="003139B2"/>
    <w:rsid w:val="00313C3F"/>
    <w:rsid w:val="0031403A"/>
    <w:rsid w:val="0031410C"/>
    <w:rsid w:val="003141A8"/>
    <w:rsid w:val="003145F6"/>
    <w:rsid w:val="0031467E"/>
    <w:rsid w:val="003147B8"/>
    <w:rsid w:val="00314A6B"/>
    <w:rsid w:val="00314B85"/>
    <w:rsid w:val="00314D4F"/>
    <w:rsid w:val="003150AB"/>
    <w:rsid w:val="00315218"/>
    <w:rsid w:val="003153B4"/>
    <w:rsid w:val="00315486"/>
    <w:rsid w:val="00315ABC"/>
    <w:rsid w:val="00315B71"/>
    <w:rsid w:val="00316053"/>
    <w:rsid w:val="00316141"/>
    <w:rsid w:val="00316529"/>
    <w:rsid w:val="0031656E"/>
    <w:rsid w:val="003168D7"/>
    <w:rsid w:val="0031696A"/>
    <w:rsid w:val="0031699F"/>
    <w:rsid w:val="00316C04"/>
    <w:rsid w:val="00316D45"/>
    <w:rsid w:val="00317272"/>
    <w:rsid w:val="003172AB"/>
    <w:rsid w:val="003174B7"/>
    <w:rsid w:val="003175BA"/>
    <w:rsid w:val="00317643"/>
    <w:rsid w:val="00317964"/>
    <w:rsid w:val="00320019"/>
    <w:rsid w:val="003204F6"/>
    <w:rsid w:val="0032054A"/>
    <w:rsid w:val="003205BA"/>
    <w:rsid w:val="003207E5"/>
    <w:rsid w:val="00320919"/>
    <w:rsid w:val="00320D43"/>
    <w:rsid w:val="00320E7B"/>
    <w:rsid w:val="00320FB4"/>
    <w:rsid w:val="00321094"/>
    <w:rsid w:val="0032118C"/>
    <w:rsid w:val="0032120F"/>
    <w:rsid w:val="003212DE"/>
    <w:rsid w:val="003213D4"/>
    <w:rsid w:val="003214EA"/>
    <w:rsid w:val="0032159B"/>
    <w:rsid w:val="003215EA"/>
    <w:rsid w:val="0032194B"/>
    <w:rsid w:val="0032266C"/>
    <w:rsid w:val="00322B2D"/>
    <w:rsid w:val="00322F44"/>
    <w:rsid w:val="00323059"/>
    <w:rsid w:val="0032328D"/>
    <w:rsid w:val="0032334D"/>
    <w:rsid w:val="003233C5"/>
    <w:rsid w:val="00323470"/>
    <w:rsid w:val="0032353B"/>
    <w:rsid w:val="0032365E"/>
    <w:rsid w:val="00323875"/>
    <w:rsid w:val="00323A65"/>
    <w:rsid w:val="00323B9A"/>
    <w:rsid w:val="00323CC7"/>
    <w:rsid w:val="00323E43"/>
    <w:rsid w:val="003241FE"/>
    <w:rsid w:val="00324216"/>
    <w:rsid w:val="00324544"/>
    <w:rsid w:val="003247DD"/>
    <w:rsid w:val="00324A56"/>
    <w:rsid w:val="003250EB"/>
    <w:rsid w:val="003253D8"/>
    <w:rsid w:val="00325436"/>
    <w:rsid w:val="003255D8"/>
    <w:rsid w:val="003255FC"/>
    <w:rsid w:val="00325677"/>
    <w:rsid w:val="003257D3"/>
    <w:rsid w:val="0032588C"/>
    <w:rsid w:val="0032594F"/>
    <w:rsid w:val="00325DA2"/>
    <w:rsid w:val="00326184"/>
    <w:rsid w:val="00326631"/>
    <w:rsid w:val="00326708"/>
    <w:rsid w:val="00326730"/>
    <w:rsid w:val="003269BA"/>
    <w:rsid w:val="00326AB8"/>
    <w:rsid w:val="00326C35"/>
    <w:rsid w:val="00327213"/>
    <w:rsid w:val="00327574"/>
    <w:rsid w:val="00327586"/>
    <w:rsid w:val="00327831"/>
    <w:rsid w:val="0032785A"/>
    <w:rsid w:val="00327871"/>
    <w:rsid w:val="003278BB"/>
    <w:rsid w:val="003278DF"/>
    <w:rsid w:val="00327B55"/>
    <w:rsid w:val="00327BFB"/>
    <w:rsid w:val="00327E3E"/>
    <w:rsid w:val="0033041F"/>
    <w:rsid w:val="003304AB"/>
    <w:rsid w:val="0033053F"/>
    <w:rsid w:val="0033087C"/>
    <w:rsid w:val="00330B2A"/>
    <w:rsid w:val="00330BE6"/>
    <w:rsid w:val="00330DC5"/>
    <w:rsid w:val="00330FC5"/>
    <w:rsid w:val="0033108D"/>
    <w:rsid w:val="003313F4"/>
    <w:rsid w:val="003314FF"/>
    <w:rsid w:val="003317A6"/>
    <w:rsid w:val="00331A53"/>
    <w:rsid w:val="0033214B"/>
    <w:rsid w:val="0033252D"/>
    <w:rsid w:val="003325AB"/>
    <w:rsid w:val="00332A3B"/>
    <w:rsid w:val="00332E60"/>
    <w:rsid w:val="00333015"/>
    <w:rsid w:val="003339D9"/>
    <w:rsid w:val="00333A66"/>
    <w:rsid w:val="0033400C"/>
    <w:rsid w:val="00334021"/>
    <w:rsid w:val="00334087"/>
    <w:rsid w:val="003340D8"/>
    <w:rsid w:val="00334348"/>
    <w:rsid w:val="0033448F"/>
    <w:rsid w:val="00334499"/>
    <w:rsid w:val="003344AA"/>
    <w:rsid w:val="003346A1"/>
    <w:rsid w:val="00334D90"/>
    <w:rsid w:val="00334EAA"/>
    <w:rsid w:val="00334FA7"/>
    <w:rsid w:val="00335029"/>
    <w:rsid w:val="003350D0"/>
    <w:rsid w:val="0033517E"/>
    <w:rsid w:val="003351A0"/>
    <w:rsid w:val="00335201"/>
    <w:rsid w:val="00335256"/>
    <w:rsid w:val="00335502"/>
    <w:rsid w:val="00335526"/>
    <w:rsid w:val="003355D9"/>
    <w:rsid w:val="003356B9"/>
    <w:rsid w:val="00335B65"/>
    <w:rsid w:val="003365BD"/>
    <w:rsid w:val="0033663D"/>
    <w:rsid w:val="003367F0"/>
    <w:rsid w:val="00336AA4"/>
    <w:rsid w:val="00336B20"/>
    <w:rsid w:val="00336F1E"/>
    <w:rsid w:val="003370DA"/>
    <w:rsid w:val="0033775D"/>
    <w:rsid w:val="00337916"/>
    <w:rsid w:val="00337CF6"/>
    <w:rsid w:val="00337D77"/>
    <w:rsid w:val="00337E76"/>
    <w:rsid w:val="00340000"/>
    <w:rsid w:val="003402A2"/>
    <w:rsid w:val="003403DC"/>
    <w:rsid w:val="003403FD"/>
    <w:rsid w:val="00340493"/>
    <w:rsid w:val="003404D0"/>
    <w:rsid w:val="003405A0"/>
    <w:rsid w:val="003407F4"/>
    <w:rsid w:val="00340978"/>
    <w:rsid w:val="00340CA4"/>
    <w:rsid w:val="00341467"/>
    <w:rsid w:val="003415B3"/>
    <w:rsid w:val="00341726"/>
    <w:rsid w:val="00341791"/>
    <w:rsid w:val="00341CFE"/>
    <w:rsid w:val="00341E9E"/>
    <w:rsid w:val="0034223E"/>
    <w:rsid w:val="00342436"/>
    <w:rsid w:val="003425C9"/>
    <w:rsid w:val="0034269D"/>
    <w:rsid w:val="003427BC"/>
    <w:rsid w:val="003429A8"/>
    <w:rsid w:val="00342D3E"/>
    <w:rsid w:val="0034331E"/>
    <w:rsid w:val="0034336C"/>
    <w:rsid w:val="00343432"/>
    <w:rsid w:val="003434B6"/>
    <w:rsid w:val="0034352A"/>
    <w:rsid w:val="0034376F"/>
    <w:rsid w:val="003438A2"/>
    <w:rsid w:val="0034393F"/>
    <w:rsid w:val="00343A5C"/>
    <w:rsid w:val="00343B9C"/>
    <w:rsid w:val="00343E92"/>
    <w:rsid w:val="003442F3"/>
    <w:rsid w:val="00344889"/>
    <w:rsid w:val="00344EDF"/>
    <w:rsid w:val="00344EFB"/>
    <w:rsid w:val="00344F8A"/>
    <w:rsid w:val="00345134"/>
    <w:rsid w:val="003451FD"/>
    <w:rsid w:val="00345200"/>
    <w:rsid w:val="003453D6"/>
    <w:rsid w:val="003455F8"/>
    <w:rsid w:val="00345677"/>
    <w:rsid w:val="00345B37"/>
    <w:rsid w:val="00345BFA"/>
    <w:rsid w:val="00345CB6"/>
    <w:rsid w:val="00345D09"/>
    <w:rsid w:val="00345DB7"/>
    <w:rsid w:val="003468DF"/>
    <w:rsid w:val="0034690B"/>
    <w:rsid w:val="00346A6F"/>
    <w:rsid w:val="00346B23"/>
    <w:rsid w:val="00346B77"/>
    <w:rsid w:val="00346CD0"/>
    <w:rsid w:val="00346D78"/>
    <w:rsid w:val="00346E31"/>
    <w:rsid w:val="003472B2"/>
    <w:rsid w:val="00347723"/>
    <w:rsid w:val="00347C30"/>
    <w:rsid w:val="00347D89"/>
    <w:rsid w:val="00347DC6"/>
    <w:rsid w:val="00347F98"/>
    <w:rsid w:val="003503C2"/>
    <w:rsid w:val="003503FC"/>
    <w:rsid w:val="00350502"/>
    <w:rsid w:val="00350665"/>
    <w:rsid w:val="00350719"/>
    <w:rsid w:val="00350818"/>
    <w:rsid w:val="00350BC5"/>
    <w:rsid w:val="00350D28"/>
    <w:rsid w:val="00350D7D"/>
    <w:rsid w:val="00351186"/>
    <w:rsid w:val="00351187"/>
    <w:rsid w:val="003511BA"/>
    <w:rsid w:val="00351A36"/>
    <w:rsid w:val="00351F7B"/>
    <w:rsid w:val="003523B5"/>
    <w:rsid w:val="003523BC"/>
    <w:rsid w:val="003523D1"/>
    <w:rsid w:val="003524BA"/>
    <w:rsid w:val="003524DF"/>
    <w:rsid w:val="003524FF"/>
    <w:rsid w:val="0035256F"/>
    <w:rsid w:val="003526EA"/>
    <w:rsid w:val="00352A98"/>
    <w:rsid w:val="00352AE1"/>
    <w:rsid w:val="00352C39"/>
    <w:rsid w:val="00352CBA"/>
    <w:rsid w:val="00352F25"/>
    <w:rsid w:val="00352F9C"/>
    <w:rsid w:val="003531C1"/>
    <w:rsid w:val="00353918"/>
    <w:rsid w:val="00353A09"/>
    <w:rsid w:val="00353A12"/>
    <w:rsid w:val="00353B86"/>
    <w:rsid w:val="00353DF1"/>
    <w:rsid w:val="003543FD"/>
    <w:rsid w:val="00354621"/>
    <w:rsid w:val="00354702"/>
    <w:rsid w:val="003547DD"/>
    <w:rsid w:val="00354831"/>
    <w:rsid w:val="00354A65"/>
    <w:rsid w:val="00354B90"/>
    <w:rsid w:val="00354D29"/>
    <w:rsid w:val="00354D39"/>
    <w:rsid w:val="0035509E"/>
    <w:rsid w:val="003551DA"/>
    <w:rsid w:val="0035522C"/>
    <w:rsid w:val="00355361"/>
    <w:rsid w:val="0035537B"/>
    <w:rsid w:val="00355715"/>
    <w:rsid w:val="00355878"/>
    <w:rsid w:val="003558AB"/>
    <w:rsid w:val="003559BD"/>
    <w:rsid w:val="00355B7B"/>
    <w:rsid w:val="00355C0E"/>
    <w:rsid w:val="0035654D"/>
    <w:rsid w:val="0035658E"/>
    <w:rsid w:val="003569B8"/>
    <w:rsid w:val="00356BB6"/>
    <w:rsid w:val="00356EE8"/>
    <w:rsid w:val="0035707F"/>
    <w:rsid w:val="00357457"/>
    <w:rsid w:val="00357528"/>
    <w:rsid w:val="00357562"/>
    <w:rsid w:val="00357770"/>
    <w:rsid w:val="00357856"/>
    <w:rsid w:val="00357919"/>
    <w:rsid w:val="00360144"/>
    <w:rsid w:val="0036029A"/>
    <w:rsid w:val="003602DD"/>
    <w:rsid w:val="0036037A"/>
    <w:rsid w:val="00360486"/>
    <w:rsid w:val="0036077A"/>
    <w:rsid w:val="0036083C"/>
    <w:rsid w:val="003608A6"/>
    <w:rsid w:val="00360D4E"/>
    <w:rsid w:val="0036118B"/>
    <w:rsid w:val="00361313"/>
    <w:rsid w:val="003613BD"/>
    <w:rsid w:val="00361441"/>
    <w:rsid w:val="0036165C"/>
    <w:rsid w:val="00361AF7"/>
    <w:rsid w:val="00361D0E"/>
    <w:rsid w:val="00361D86"/>
    <w:rsid w:val="003623D2"/>
    <w:rsid w:val="00362505"/>
    <w:rsid w:val="003626DD"/>
    <w:rsid w:val="0036339D"/>
    <w:rsid w:val="00363491"/>
    <w:rsid w:val="00363785"/>
    <w:rsid w:val="00363909"/>
    <w:rsid w:val="003639F2"/>
    <w:rsid w:val="00363A53"/>
    <w:rsid w:val="00363C4B"/>
    <w:rsid w:val="00363D10"/>
    <w:rsid w:val="00363F8F"/>
    <w:rsid w:val="003640A0"/>
    <w:rsid w:val="003643FF"/>
    <w:rsid w:val="0036440E"/>
    <w:rsid w:val="003646E7"/>
    <w:rsid w:val="003647BB"/>
    <w:rsid w:val="0036482A"/>
    <w:rsid w:val="003648B4"/>
    <w:rsid w:val="0036492A"/>
    <w:rsid w:val="0036493E"/>
    <w:rsid w:val="00364D4A"/>
    <w:rsid w:val="00364E74"/>
    <w:rsid w:val="003651B7"/>
    <w:rsid w:val="00365288"/>
    <w:rsid w:val="0036548A"/>
    <w:rsid w:val="0036588B"/>
    <w:rsid w:val="00365AFD"/>
    <w:rsid w:val="00365EBC"/>
    <w:rsid w:val="0036615E"/>
    <w:rsid w:val="003664D7"/>
    <w:rsid w:val="00366774"/>
    <w:rsid w:val="00366790"/>
    <w:rsid w:val="0036695F"/>
    <w:rsid w:val="003669AD"/>
    <w:rsid w:val="00366BA7"/>
    <w:rsid w:val="00366C2D"/>
    <w:rsid w:val="00367103"/>
    <w:rsid w:val="003675D8"/>
    <w:rsid w:val="00367719"/>
    <w:rsid w:val="00367807"/>
    <w:rsid w:val="0036785D"/>
    <w:rsid w:val="003679B3"/>
    <w:rsid w:val="00367AC5"/>
    <w:rsid w:val="0037002E"/>
    <w:rsid w:val="00370346"/>
    <w:rsid w:val="00370513"/>
    <w:rsid w:val="00370585"/>
    <w:rsid w:val="00370745"/>
    <w:rsid w:val="0037084E"/>
    <w:rsid w:val="003708EA"/>
    <w:rsid w:val="00370900"/>
    <w:rsid w:val="00370C4B"/>
    <w:rsid w:val="00370CA2"/>
    <w:rsid w:val="00370D62"/>
    <w:rsid w:val="00370DD2"/>
    <w:rsid w:val="00370F7A"/>
    <w:rsid w:val="003710ED"/>
    <w:rsid w:val="003711CD"/>
    <w:rsid w:val="003718E8"/>
    <w:rsid w:val="00371934"/>
    <w:rsid w:val="00371B64"/>
    <w:rsid w:val="00371B75"/>
    <w:rsid w:val="00371BC3"/>
    <w:rsid w:val="00371C6B"/>
    <w:rsid w:val="00371E42"/>
    <w:rsid w:val="00371ECE"/>
    <w:rsid w:val="00371ED1"/>
    <w:rsid w:val="0037211F"/>
    <w:rsid w:val="00372559"/>
    <w:rsid w:val="003729F7"/>
    <w:rsid w:val="00372B2F"/>
    <w:rsid w:val="00372CE7"/>
    <w:rsid w:val="00373077"/>
    <w:rsid w:val="003731CF"/>
    <w:rsid w:val="003734D5"/>
    <w:rsid w:val="003735D2"/>
    <w:rsid w:val="00373629"/>
    <w:rsid w:val="00373633"/>
    <w:rsid w:val="003736D8"/>
    <w:rsid w:val="003737F5"/>
    <w:rsid w:val="00373997"/>
    <w:rsid w:val="00373C18"/>
    <w:rsid w:val="00374056"/>
    <w:rsid w:val="0037409D"/>
    <w:rsid w:val="00374237"/>
    <w:rsid w:val="003743B4"/>
    <w:rsid w:val="00374422"/>
    <w:rsid w:val="003746B4"/>
    <w:rsid w:val="00374813"/>
    <w:rsid w:val="0037495F"/>
    <w:rsid w:val="00374D3A"/>
    <w:rsid w:val="00374F53"/>
    <w:rsid w:val="00374F57"/>
    <w:rsid w:val="003756C3"/>
    <w:rsid w:val="003758D6"/>
    <w:rsid w:val="003758FC"/>
    <w:rsid w:val="00375A11"/>
    <w:rsid w:val="003760A4"/>
    <w:rsid w:val="003764CA"/>
    <w:rsid w:val="00376595"/>
    <w:rsid w:val="003767F4"/>
    <w:rsid w:val="00376D59"/>
    <w:rsid w:val="0037702C"/>
    <w:rsid w:val="00377B92"/>
    <w:rsid w:val="00377B97"/>
    <w:rsid w:val="00377D4A"/>
    <w:rsid w:val="00377DB1"/>
    <w:rsid w:val="00377E39"/>
    <w:rsid w:val="00377ED5"/>
    <w:rsid w:val="00377FE8"/>
    <w:rsid w:val="00380674"/>
    <w:rsid w:val="00380B68"/>
    <w:rsid w:val="00380E9C"/>
    <w:rsid w:val="003812C6"/>
    <w:rsid w:val="003814CC"/>
    <w:rsid w:val="003815BB"/>
    <w:rsid w:val="00381CED"/>
    <w:rsid w:val="00381D51"/>
    <w:rsid w:val="0038221F"/>
    <w:rsid w:val="00382631"/>
    <w:rsid w:val="0038283F"/>
    <w:rsid w:val="00382A37"/>
    <w:rsid w:val="00382C18"/>
    <w:rsid w:val="00382C64"/>
    <w:rsid w:val="00382DFC"/>
    <w:rsid w:val="00382E75"/>
    <w:rsid w:val="00383B9E"/>
    <w:rsid w:val="00383CEC"/>
    <w:rsid w:val="00383F5A"/>
    <w:rsid w:val="003840F3"/>
    <w:rsid w:val="00384193"/>
    <w:rsid w:val="00384D34"/>
    <w:rsid w:val="00384E6A"/>
    <w:rsid w:val="00384FC9"/>
    <w:rsid w:val="003851D1"/>
    <w:rsid w:val="003854CB"/>
    <w:rsid w:val="003854D4"/>
    <w:rsid w:val="00385562"/>
    <w:rsid w:val="003858B3"/>
    <w:rsid w:val="003859C6"/>
    <w:rsid w:val="00385A21"/>
    <w:rsid w:val="00385B03"/>
    <w:rsid w:val="00385B58"/>
    <w:rsid w:val="0038621B"/>
    <w:rsid w:val="00386239"/>
    <w:rsid w:val="00386426"/>
    <w:rsid w:val="0038645D"/>
    <w:rsid w:val="00386616"/>
    <w:rsid w:val="00386911"/>
    <w:rsid w:val="0038696B"/>
    <w:rsid w:val="00386D31"/>
    <w:rsid w:val="00386E0C"/>
    <w:rsid w:val="00386F5B"/>
    <w:rsid w:val="00387745"/>
    <w:rsid w:val="00387780"/>
    <w:rsid w:val="0038782A"/>
    <w:rsid w:val="00387C76"/>
    <w:rsid w:val="00387D00"/>
    <w:rsid w:val="00390150"/>
    <w:rsid w:val="003902B7"/>
    <w:rsid w:val="0039074C"/>
    <w:rsid w:val="0039080E"/>
    <w:rsid w:val="003908BE"/>
    <w:rsid w:val="00390BC4"/>
    <w:rsid w:val="003912C8"/>
    <w:rsid w:val="003914E6"/>
    <w:rsid w:val="00391645"/>
    <w:rsid w:val="00391717"/>
    <w:rsid w:val="003919F9"/>
    <w:rsid w:val="00391B47"/>
    <w:rsid w:val="00391CE7"/>
    <w:rsid w:val="00391EB1"/>
    <w:rsid w:val="00391F02"/>
    <w:rsid w:val="00391F5B"/>
    <w:rsid w:val="0039220D"/>
    <w:rsid w:val="0039266D"/>
    <w:rsid w:val="00392764"/>
    <w:rsid w:val="00392A5D"/>
    <w:rsid w:val="00392A89"/>
    <w:rsid w:val="00392B39"/>
    <w:rsid w:val="00392BFC"/>
    <w:rsid w:val="00392C0C"/>
    <w:rsid w:val="00392C50"/>
    <w:rsid w:val="00392CA9"/>
    <w:rsid w:val="00392EF7"/>
    <w:rsid w:val="00392F64"/>
    <w:rsid w:val="00393102"/>
    <w:rsid w:val="003932A6"/>
    <w:rsid w:val="00393317"/>
    <w:rsid w:val="0039343D"/>
    <w:rsid w:val="00393939"/>
    <w:rsid w:val="00393954"/>
    <w:rsid w:val="00393E45"/>
    <w:rsid w:val="003942B5"/>
    <w:rsid w:val="0039472B"/>
    <w:rsid w:val="0039490D"/>
    <w:rsid w:val="00394A98"/>
    <w:rsid w:val="00394FB7"/>
    <w:rsid w:val="0039502C"/>
    <w:rsid w:val="003952DB"/>
    <w:rsid w:val="003954B1"/>
    <w:rsid w:val="00395971"/>
    <w:rsid w:val="00395AD8"/>
    <w:rsid w:val="00395B6B"/>
    <w:rsid w:val="00395DD0"/>
    <w:rsid w:val="0039600D"/>
    <w:rsid w:val="003960FC"/>
    <w:rsid w:val="003961E3"/>
    <w:rsid w:val="003962DF"/>
    <w:rsid w:val="00396586"/>
    <w:rsid w:val="003967C1"/>
    <w:rsid w:val="00396914"/>
    <w:rsid w:val="00396AE8"/>
    <w:rsid w:val="00396F8E"/>
    <w:rsid w:val="003970F7"/>
    <w:rsid w:val="00397947"/>
    <w:rsid w:val="00397D18"/>
    <w:rsid w:val="00397DB2"/>
    <w:rsid w:val="00397DE1"/>
    <w:rsid w:val="003A027C"/>
    <w:rsid w:val="003A0637"/>
    <w:rsid w:val="003A077F"/>
    <w:rsid w:val="003A098F"/>
    <w:rsid w:val="003A0A49"/>
    <w:rsid w:val="003A0B7E"/>
    <w:rsid w:val="003A0BFB"/>
    <w:rsid w:val="003A10DC"/>
    <w:rsid w:val="003A10EB"/>
    <w:rsid w:val="003A1137"/>
    <w:rsid w:val="003A132E"/>
    <w:rsid w:val="003A13CB"/>
    <w:rsid w:val="003A154C"/>
    <w:rsid w:val="003A160E"/>
    <w:rsid w:val="003A1A5A"/>
    <w:rsid w:val="003A1CD6"/>
    <w:rsid w:val="003A1EB2"/>
    <w:rsid w:val="003A1F3C"/>
    <w:rsid w:val="003A2014"/>
    <w:rsid w:val="003A2286"/>
    <w:rsid w:val="003A25C2"/>
    <w:rsid w:val="003A265E"/>
    <w:rsid w:val="003A2660"/>
    <w:rsid w:val="003A299B"/>
    <w:rsid w:val="003A2AEE"/>
    <w:rsid w:val="003A2E71"/>
    <w:rsid w:val="003A2E7B"/>
    <w:rsid w:val="003A2EF1"/>
    <w:rsid w:val="003A3108"/>
    <w:rsid w:val="003A3250"/>
    <w:rsid w:val="003A3F45"/>
    <w:rsid w:val="003A40F3"/>
    <w:rsid w:val="003A415D"/>
    <w:rsid w:val="003A4290"/>
    <w:rsid w:val="003A447F"/>
    <w:rsid w:val="003A4504"/>
    <w:rsid w:val="003A4BF7"/>
    <w:rsid w:val="003A4EA9"/>
    <w:rsid w:val="003A53CB"/>
    <w:rsid w:val="003A5759"/>
    <w:rsid w:val="003A5C4D"/>
    <w:rsid w:val="003A5CDD"/>
    <w:rsid w:val="003A5E15"/>
    <w:rsid w:val="003A5F35"/>
    <w:rsid w:val="003A5FC1"/>
    <w:rsid w:val="003A643D"/>
    <w:rsid w:val="003A6657"/>
    <w:rsid w:val="003A6764"/>
    <w:rsid w:val="003A67A0"/>
    <w:rsid w:val="003A6ED1"/>
    <w:rsid w:val="003A70CA"/>
    <w:rsid w:val="003A7128"/>
    <w:rsid w:val="003A719B"/>
    <w:rsid w:val="003A7311"/>
    <w:rsid w:val="003A7902"/>
    <w:rsid w:val="003A7BEA"/>
    <w:rsid w:val="003A7E55"/>
    <w:rsid w:val="003B007E"/>
    <w:rsid w:val="003B0110"/>
    <w:rsid w:val="003B0119"/>
    <w:rsid w:val="003B0486"/>
    <w:rsid w:val="003B0A40"/>
    <w:rsid w:val="003B0F72"/>
    <w:rsid w:val="003B10C9"/>
    <w:rsid w:val="003B10F7"/>
    <w:rsid w:val="003B136A"/>
    <w:rsid w:val="003B153A"/>
    <w:rsid w:val="003B169F"/>
    <w:rsid w:val="003B1767"/>
    <w:rsid w:val="003B18AA"/>
    <w:rsid w:val="003B1B2B"/>
    <w:rsid w:val="003B1C60"/>
    <w:rsid w:val="003B1F61"/>
    <w:rsid w:val="003B213D"/>
    <w:rsid w:val="003B23A0"/>
    <w:rsid w:val="003B24B2"/>
    <w:rsid w:val="003B26D9"/>
    <w:rsid w:val="003B28E1"/>
    <w:rsid w:val="003B2CC9"/>
    <w:rsid w:val="003B2E11"/>
    <w:rsid w:val="003B2F79"/>
    <w:rsid w:val="003B3043"/>
    <w:rsid w:val="003B3093"/>
    <w:rsid w:val="003B309B"/>
    <w:rsid w:val="003B33EC"/>
    <w:rsid w:val="003B3494"/>
    <w:rsid w:val="003B369A"/>
    <w:rsid w:val="003B37C2"/>
    <w:rsid w:val="003B3C4D"/>
    <w:rsid w:val="003B3C69"/>
    <w:rsid w:val="003B3C84"/>
    <w:rsid w:val="003B3D6D"/>
    <w:rsid w:val="003B3D8D"/>
    <w:rsid w:val="003B4409"/>
    <w:rsid w:val="003B4936"/>
    <w:rsid w:val="003B4D98"/>
    <w:rsid w:val="003B4DBF"/>
    <w:rsid w:val="003B5118"/>
    <w:rsid w:val="003B558B"/>
    <w:rsid w:val="003B57DE"/>
    <w:rsid w:val="003B58C5"/>
    <w:rsid w:val="003B6281"/>
    <w:rsid w:val="003B64A3"/>
    <w:rsid w:val="003B6A49"/>
    <w:rsid w:val="003B6E24"/>
    <w:rsid w:val="003B70C3"/>
    <w:rsid w:val="003B781C"/>
    <w:rsid w:val="003B7CEC"/>
    <w:rsid w:val="003B7F1C"/>
    <w:rsid w:val="003C0125"/>
    <w:rsid w:val="003C015C"/>
    <w:rsid w:val="003C03A9"/>
    <w:rsid w:val="003C0490"/>
    <w:rsid w:val="003C0B26"/>
    <w:rsid w:val="003C0C6D"/>
    <w:rsid w:val="003C0FE9"/>
    <w:rsid w:val="003C1068"/>
    <w:rsid w:val="003C1349"/>
    <w:rsid w:val="003C1361"/>
    <w:rsid w:val="003C14AE"/>
    <w:rsid w:val="003C1874"/>
    <w:rsid w:val="003C18AD"/>
    <w:rsid w:val="003C1D42"/>
    <w:rsid w:val="003C1D75"/>
    <w:rsid w:val="003C20D9"/>
    <w:rsid w:val="003C2239"/>
    <w:rsid w:val="003C2864"/>
    <w:rsid w:val="003C28C0"/>
    <w:rsid w:val="003C2A65"/>
    <w:rsid w:val="003C2BE4"/>
    <w:rsid w:val="003C30CD"/>
    <w:rsid w:val="003C3A51"/>
    <w:rsid w:val="003C3AAF"/>
    <w:rsid w:val="003C3B14"/>
    <w:rsid w:val="003C410D"/>
    <w:rsid w:val="003C443E"/>
    <w:rsid w:val="003C4716"/>
    <w:rsid w:val="003C48FC"/>
    <w:rsid w:val="003C4AB6"/>
    <w:rsid w:val="003C4B0B"/>
    <w:rsid w:val="003C4C48"/>
    <w:rsid w:val="003C4D60"/>
    <w:rsid w:val="003C4E19"/>
    <w:rsid w:val="003C4E2C"/>
    <w:rsid w:val="003C51AB"/>
    <w:rsid w:val="003C53C2"/>
    <w:rsid w:val="003C54B8"/>
    <w:rsid w:val="003C55D5"/>
    <w:rsid w:val="003C5855"/>
    <w:rsid w:val="003C59D8"/>
    <w:rsid w:val="003C5A03"/>
    <w:rsid w:val="003C5D95"/>
    <w:rsid w:val="003C5F0F"/>
    <w:rsid w:val="003C6000"/>
    <w:rsid w:val="003C601B"/>
    <w:rsid w:val="003C6179"/>
    <w:rsid w:val="003C6504"/>
    <w:rsid w:val="003C6538"/>
    <w:rsid w:val="003C65F1"/>
    <w:rsid w:val="003C69DE"/>
    <w:rsid w:val="003C6C75"/>
    <w:rsid w:val="003C6FC2"/>
    <w:rsid w:val="003C72B9"/>
    <w:rsid w:val="003C73CA"/>
    <w:rsid w:val="003C76B8"/>
    <w:rsid w:val="003C781C"/>
    <w:rsid w:val="003C78B2"/>
    <w:rsid w:val="003C7B75"/>
    <w:rsid w:val="003D0152"/>
    <w:rsid w:val="003D0586"/>
    <w:rsid w:val="003D0615"/>
    <w:rsid w:val="003D076A"/>
    <w:rsid w:val="003D077D"/>
    <w:rsid w:val="003D08FA"/>
    <w:rsid w:val="003D10FA"/>
    <w:rsid w:val="003D1353"/>
    <w:rsid w:val="003D1569"/>
    <w:rsid w:val="003D1668"/>
    <w:rsid w:val="003D182C"/>
    <w:rsid w:val="003D187D"/>
    <w:rsid w:val="003D18DF"/>
    <w:rsid w:val="003D1A02"/>
    <w:rsid w:val="003D1AAA"/>
    <w:rsid w:val="003D1C49"/>
    <w:rsid w:val="003D1CF9"/>
    <w:rsid w:val="003D1D93"/>
    <w:rsid w:val="003D1F04"/>
    <w:rsid w:val="003D1F0C"/>
    <w:rsid w:val="003D1F55"/>
    <w:rsid w:val="003D227D"/>
    <w:rsid w:val="003D24D9"/>
    <w:rsid w:val="003D2604"/>
    <w:rsid w:val="003D288A"/>
    <w:rsid w:val="003D2D87"/>
    <w:rsid w:val="003D3124"/>
    <w:rsid w:val="003D34C0"/>
    <w:rsid w:val="003D3CB3"/>
    <w:rsid w:val="003D3D12"/>
    <w:rsid w:val="003D3E01"/>
    <w:rsid w:val="003D3F3C"/>
    <w:rsid w:val="003D410D"/>
    <w:rsid w:val="003D4146"/>
    <w:rsid w:val="003D454E"/>
    <w:rsid w:val="003D465D"/>
    <w:rsid w:val="003D4863"/>
    <w:rsid w:val="003D4BC4"/>
    <w:rsid w:val="003D5027"/>
    <w:rsid w:val="003D50FC"/>
    <w:rsid w:val="003D5111"/>
    <w:rsid w:val="003D5350"/>
    <w:rsid w:val="003D5539"/>
    <w:rsid w:val="003D571B"/>
    <w:rsid w:val="003D5924"/>
    <w:rsid w:val="003D5BD4"/>
    <w:rsid w:val="003D5DAC"/>
    <w:rsid w:val="003D6098"/>
    <w:rsid w:val="003D673D"/>
    <w:rsid w:val="003D6803"/>
    <w:rsid w:val="003D6FB4"/>
    <w:rsid w:val="003D7038"/>
    <w:rsid w:val="003D7185"/>
    <w:rsid w:val="003D7343"/>
    <w:rsid w:val="003D7819"/>
    <w:rsid w:val="003D786B"/>
    <w:rsid w:val="003D7F9A"/>
    <w:rsid w:val="003E0135"/>
    <w:rsid w:val="003E016E"/>
    <w:rsid w:val="003E04C9"/>
    <w:rsid w:val="003E0567"/>
    <w:rsid w:val="003E0BE6"/>
    <w:rsid w:val="003E1981"/>
    <w:rsid w:val="003E1F3F"/>
    <w:rsid w:val="003E1FEA"/>
    <w:rsid w:val="003E215B"/>
    <w:rsid w:val="003E2172"/>
    <w:rsid w:val="003E237D"/>
    <w:rsid w:val="003E24AB"/>
    <w:rsid w:val="003E24B7"/>
    <w:rsid w:val="003E2651"/>
    <w:rsid w:val="003E27C5"/>
    <w:rsid w:val="003E2AB2"/>
    <w:rsid w:val="003E2CD4"/>
    <w:rsid w:val="003E2D61"/>
    <w:rsid w:val="003E2DF6"/>
    <w:rsid w:val="003E302D"/>
    <w:rsid w:val="003E3264"/>
    <w:rsid w:val="003E3306"/>
    <w:rsid w:val="003E3403"/>
    <w:rsid w:val="003E380B"/>
    <w:rsid w:val="003E4040"/>
    <w:rsid w:val="003E413E"/>
    <w:rsid w:val="003E4371"/>
    <w:rsid w:val="003E46F8"/>
    <w:rsid w:val="003E4843"/>
    <w:rsid w:val="003E4B95"/>
    <w:rsid w:val="003E4CCA"/>
    <w:rsid w:val="003E4F92"/>
    <w:rsid w:val="003E4F96"/>
    <w:rsid w:val="003E5196"/>
    <w:rsid w:val="003E535E"/>
    <w:rsid w:val="003E57BD"/>
    <w:rsid w:val="003E5E42"/>
    <w:rsid w:val="003E5F62"/>
    <w:rsid w:val="003E611B"/>
    <w:rsid w:val="003E612F"/>
    <w:rsid w:val="003E656B"/>
    <w:rsid w:val="003E65EC"/>
    <w:rsid w:val="003E66A7"/>
    <w:rsid w:val="003E6B71"/>
    <w:rsid w:val="003E6F0C"/>
    <w:rsid w:val="003E706E"/>
    <w:rsid w:val="003E72A4"/>
    <w:rsid w:val="003E7557"/>
    <w:rsid w:val="003E7675"/>
    <w:rsid w:val="003E7A81"/>
    <w:rsid w:val="003E7BF7"/>
    <w:rsid w:val="003E7F47"/>
    <w:rsid w:val="003E7FBB"/>
    <w:rsid w:val="003F0170"/>
    <w:rsid w:val="003F0417"/>
    <w:rsid w:val="003F047C"/>
    <w:rsid w:val="003F053E"/>
    <w:rsid w:val="003F056D"/>
    <w:rsid w:val="003F0573"/>
    <w:rsid w:val="003F05AF"/>
    <w:rsid w:val="003F060F"/>
    <w:rsid w:val="003F0863"/>
    <w:rsid w:val="003F0BA2"/>
    <w:rsid w:val="003F0BC5"/>
    <w:rsid w:val="003F1052"/>
    <w:rsid w:val="003F110A"/>
    <w:rsid w:val="003F111E"/>
    <w:rsid w:val="003F1232"/>
    <w:rsid w:val="003F167D"/>
    <w:rsid w:val="003F1AE5"/>
    <w:rsid w:val="003F1DF4"/>
    <w:rsid w:val="003F21CD"/>
    <w:rsid w:val="003F22B2"/>
    <w:rsid w:val="003F282D"/>
    <w:rsid w:val="003F28A9"/>
    <w:rsid w:val="003F29D8"/>
    <w:rsid w:val="003F2B09"/>
    <w:rsid w:val="003F2D10"/>
    <w:rsid w:val="003F2E43"/>
    <w:rsid w:val="003F3077"/>
    <w:rsid w:val="003F344E"/>
    <w:rsid w:val="003F38F3"/>
    <w:rsid w:val="003F39E6"/>
    <w:rsid w:val="003F3DFB"/>
    <w:rsid w:val="003F3F46"/>
    <w:rsid w:val="003F401D"/>
    <w:rsid w:val="003F40F0"/>
    <w:rsid w:val="003F4678"/>
    <w:rsid w:val="003F4B65"/>
    <w:rsid w:val="003F4EC1"/>
    <w:rsid w:val="003F4ED5"/>
    <w:rsid w:val="003F51E1"/>
    <w:rsid w:val="003F5678"/>
    <w:rsid w:val="003F581E"/>
    <w:rsid w:val="003F5BA0"/>
    <w:rsid w:val="003F5E87"/>
    <w:rsid w:val="003F6018"/>
    <w:rsid w:val="003F6066"/>
    <w:rsid w:val="003F60FB"/>
    <w:rsid w:val="003F6150"/>
    <w:rsid w:val="003F626B"/>
    <w:rsid w:val="003F64B9"/>
    <w:rsid w:val="003F65F0"/>
    <w:rsid w:val="003F6670"/>
    <w:rsid w:val="003F6679"/>
    <w:rsid w:val="003F6A95"/>
    <w:rsid w:val="003F6E62"/>
    <w:rsid w:val="003F6F88"/>
    <w:rsid w:val="003F7121"/>
    <w:rsid w:val="003F7424"/>
    <w:rsid w:val="003F7498"/>
    <w:rsid w:val="003F74DD"/>
    <w:rsid w:val="003F75F2"/>
    <w:rsid w:val="003F764F"/>
    <w:rsid w:val="003F7A81"/>
    <w:rsid w:val="003F7E3D"/>
    <w:rsid w:val="00400093"/>
    <w:rsid w:val="00400440"/>
    <w:rsid w:val="00400460"/>
    <w:rsid w:val="0040087A"/>
    <w:rsid w:val="004008C8"/>
    <w:rsid w:val="00400BBE"/>
    <w:rsid w:val="00400C04"/>
    <w:rsid w:val="00401065"/>
    <w:rsid w:val="0040121B"/>
    <w:rsid w:val="004014EC"/>
    <w:rsid w:val="0040195E"/>
    <w:rsid w:val="004019BC"/>
    <w:rsid w:val="00401A52"/>
    <w:rsid w:val="00402038"/>
    <w:rsid w:val="00402220"/>
    <w:rsid w:val="0040230A"/>
    <w:rsid w:val="0040242B"/>
    <w:rsid w:val="00402507"/>
    <w:rsid w:val="00402794"/>
    <w:rsid w:val="0040295B"/>
    <w:rsid w:val="004029C6"/>
    <w:rsid w:val="00402AC7"/>
    <w:rsid w:val="004031BF"/>
    <w:rsid w:val="004031D0"/>
    <w:rsid w:val="00403229"/>
    <w:rsid w:val="0040323F"/>
    <w:rsid w:val="00403278"/>
    <w:rsid w:val="00403428"/>
    <w:rsid w:val="004034E2"/>
    <w:rsid w:val="0040368E"/>
    <w:rsid w:val="00403C0E"/>
    <w:rsid w:val="00404045"/>
    <w:rsid w:val="00404432"/>
    <w:rsid w:val="00404ABF"/>
    <w:rsid w:val="00404B3D"/>
    <w:rsid w:val="00404BD6"/>
    <w:rsid w:val="00404C35"/>
    <w:rsid w:val="00404D0B"/>
    <w:rsid w:val="00404FC5"/>
    <w:rsid w:val="00405872"/>
    <w:rsid w:val="0040587B"/>
    <w:rsid w:val="00405997"/>
    <w:rsid w:val="00405BC2"/>
    <w:rsid w:val="00405F26"/>
    <w:rsid w:val="00406005"/>
    <w:rsid w:val="00406131"/>
    <w:rsid w:val="00406769"/>
    <w:rsid w:val="00406A61"/>
    <w:rsid w:val="00406C6B"/>
    <w:rsid w:val="004070DB"/>
    <w:rsid w:val="0040727D"/>
    <w:rsid w:val="004072FB"/>
    <w:rsid w:val="00407550"/>
    <w:rsid w:val="00407BE4"/>
    <w:rsid w:val="00407DC5"/>
    <w:rsid w:val="00407E51"/>
    <w:rsid w:val="00407EA9"/>
    <w:rsid w:val="00410743"/>
    <w:rsid w:val="0041091A"/>
    <w:rsid w:val="00410A3C"/>
    <w:rsid w:val="00410AB1"/>
    <w:rsid w:val="00410CBD"/>
    <w:rsid w:val="00410E68"/>
    <w:rsid w:val="0041145C"/>
    <w:rsid w:val="00411607"/>
    <w:rsid w:val="00411DD7"/>
    <w:rsid w:val="00411DF7"/>
    <w:rsid w:val="00411F33"/>
    <w:rsid w:val="004120C5"/>
    <w:rsid w:val="004120D5"/>
    <w:rsid w:val="00412390"/>
    <w:rsid w:val="004124EF"/>
    <w:rsid w:val="0041271E"/>
    <w:rsid w:val="004127CA"/>
    <w:rsid w:val="0041290E"/>
    <w:rsid w:val="00412F82"/>
    <w:rsid w:val="0041325D"/>
    <w:rsid w:val="00413374"/>
    <w:rsid w:val="0041340C"/>
    <w:rsid w:val="00413525"/>
    <w:rsid w:val="00413581"/>
    <w:rsid w:val="00413894"/>
    <w:rsid w:val="00413ACE"/>
    <w:rsid w:val="004140CF"/>
    <w:rsid w:val="0041433B"/>
    <w:rsid w:val="0041446F"/>
    <w:rsid w:val="00414615"/>
    <w:rsid w:val="0041462C"/>
    <w:rsid w:val="00414E38"/>
    <w:rsid w:val="004150EA"/>
    <w:rsid w:val="004155F3"/>
    <w:rsid w:val="00415780"/>
    <w:rsid w:val="004158B2"/>
    <w:rsid w:val="004158C6"/>
    <w:rsid w:val="00415A4C"/>
    <w:rsid w:val="00415D30"/>
    <w:rsid w:val="00415F38"/>
    <w:rsid w:val="00415FC3"/>
    <w:rsid w:val="004161FD"/>
    <w:rsid w:val="0041635C"/>
    <w:rsid w:val="0041672A"/>
    <w:rsid w:val="004167E8"/>
    <w:rsid w:val="004169C8"/>
    <w:rsid w:val="004169E3"/>
    <w:rsid w:val="00416A20"/>
    <w:rsid w:val="00416AF5"/>
    <w:rsid w:val="00416B10"/>
    <w:rsid w:val="00416D96"/>
    <w:rsid w:val="00416ED4"/>
    <w:rsid w:val="00416F39"/>
    <w:rsid w:val="00417150"/>
    <w:rsid w:val="004172C1"/>
    <w:rsid w:val="004173AF"/>
    <w:rsid w:val="00417B1E"/>
    <w:rsid w:val="00417CEA"/>
    <w:rsid w:val="0042016D"/>
    <w:rsid w:val="00420338"/>
    <w:rsid w:val="00420346"/>
    <w:rsid w:val="00420BBD"/>
    <w:rsid w:val="00420D9D"/>
    <w:rsid w:val="004211D8"/>
    <w:rsid w:val="00421415"/>
    <w:rsid w:val="00421455"/>
    <w:rsid w:val="00421592"/>
    <w:rsid w:val="0042168B"/>
    <w:rsid w:val="004217B4"/>
    <w:rsid w:val="004217DA"/>
    <w:rsid w:val="00421A91"/>
    <w:rsid w:val="00421ADF"/>
    <w:rsid w:val="00421B24"/>
    <w:rsid w:val="00422532"/>
    <w:rsid w:val="004226A3"/>
    <w:rsid w:val="0042290E"/>
    <w:rsid w:val="00422923"/>
    <w:rsid w:val="00422AAA"/>
    <w:rsid w:val="00422AD3"/>
    <w:rsid w:val="00422CCC"/>
    <w:rsid w:val="00422EF0"/>
    <w:rsid w:val="00422FD3"/>
    <w:rsid w:val="004230CD"/>
    <w:rsid w:val="004230FE"/>
    <w:rsid w:val="004235DB"/>
    <w:rsid w:val="004236EE"/>
    <w:rsid w:val="00423A46"/>
    <w:rsid w:val="00423A49"/>
    <w:rsid w:val="00423B0A"/>
    <w:rsid w:val="00423CF6"/>
    <w:rsid w:val="00423E2F"/>
    <w:rsid w:val="00423ECF"/>
    <w:rsid w:val="00423ED3"/>
    <w:rsid w:val="004242C4"/>
    <w:rsid w:val="004243C6"/>
    <w:rsid w:val="004243D1"/>
    <w:rsid w:val="0042441A"/>
    <w:rsid w:val="004244EF"/>
    <w:rsid w:val="00424605"/>
    <w:rsid w:val="004249F6"/>
    <w:rsid w:val="004249FE"/>
    <w:rsid w:val="00424AC9"/>
    <w:rsid w:val="00424BBD"/>
    <w:rsid w:val="00424E4A"/>
    <w:rsid w:val="00425154"/>
    <w:rsid w:val="0042533F"/>
    <w:rsid w:val="0042562A"/>
    <w:rsid w:val="004256C5"/>
    <w:rsid w:val="00425848"/>
    <w:rsid w:val="00425AA5"/>
    <w:rsid w:val="00425ED9"/>
    <w:rsid w:val="00425F04"/>
    <w:rsid w:val="00425F49"/>
    <w:rsid w:val="0042671E"/>
    <w:rsid w:val="004268AD"/>
    <w:rsid w:val="004268DC"/>
    <w:rsid w:val="004268FB"/>
    <w:rsid w:val="00426B56"/>
    <w:rsid w:val="00426B5F"/>
    <w:rsid w:val="00426D7E"/>
    <w:rsid w:val="00426DA5"/>
    <w:rsid w:val="00426F8D"/>
    <w:rsid w:val="004270B5"/>
    <w:rsid w:val="00427105"/>
    <w:rsid w:val="00427148"/>
    <w:rsid w:val="00427157"/>
    <w:rsid w:val="004277DA"/>
    <w:rsid w:val="00427A43"/>
    <w:rsid w:val="00427B7D"/>
    <w:rsid w:val="00427D73"/>
    <w:rsid w:val="00430244"/>
    <w:rsid w:val="004307E4"/>
    <w:rsid w:val="004308D6"/>
    <w:rsid w:val="00430D58"/>
    <w:rsid w:val="00431241"/>
    <w:rsid w:val="00431402"/>
    <w:rsid w:val="00431429"/>
    <w:rsid w:val="004315AF"/>
    <w:rsid w:val="0043190E"/>
    <w:rsid w:val="00431A0B"/>
    <w:rsid w:val="00431CE7"/>
    <w:rsid w:val="00431ECE"/>
    <w:rsid w:val="00431F3E"/>
    <w:rsid w:val="0043204D"/>
    <w:rsid w:val="00432333"/>
    <w:rsid w:val="0043238F"/>
    <w:rsid w:val="00432867"/>
    <w:rsid w:val="0043289E"/>
    <w:rsid w:val="00432999"/>
    <w:rsid w:val="0043304A"/>
    <w:rsid w:val="0043309F"/>
    <w:rsid w:val="0043330C"/>
    <w:rsid w:val="00433888"/>
    <w:rsid w:val="004339F3"/>
    <w:rsid w:val="00433ACB"/>
    <w:rsid w:val="00433D8C"/>
    <w:rsid w:val="004342B9"/>
    <w:rsid w:val="004347BA"/>
    <w:rsid w:val="004347BD"/>
    <w:rsid w:val="00434BDB"/>
    <w:rsid w:val="00434E54"/>
    <w:rsid w:val="00434E68"/>
    <w:rsid w:val="00434FC1"/>
    <w:rsid w:val="00435220"/>
    <w:rsid w:val="0043541A"/>
    <w:rsid w:val="00435454"/>
    <w:rsid w:val="0043563F"/>
    <w:rsid w:val="00435931"/>
    <w:rsid w:val="00435A2E"/>
    <w:rsid w:val="00435A8F"/>
    <w:rsid w:val="00435FA3"/>
    <w:rsid w:val="00436268"/>
    <w:rsid w:val="004365A0"/>
    <w:rsid w:val="004369B1"/>
    <w:rsid w:val="00436AD1"/>
    <w:rsid w:val="00436B85"/>
    <w:rsid w:val="00436BB1"/>
    <w:rsid w:val="00436C8E"/>
    <w:rsid w:val="00436EC8"/>
    <w:rsid w:val="0043773B"/>
    <w:rsid w:val="004379D2"/>
    <w:rsid w:val="00437E0C"/>
    <w:rsid w:val="00437E41"/>
    <w:rsid w:val="00437EE1"/>
    <w:rsid w:val="004402AB"/>
    <w:rsid w:val="0044038C"/>
    <w:rsid w:val="004405E2"/>
    <w:rsid w:val="0044065D"/>
    <w:rsid w:val="004407F6"/>
    <w:rsid w:val="00440910"/>
    <w:rsid w:val="004409BB"/>
    <w:rsid w:val="00440A97"/>
    <w:rsid w:val="00440AE7"/>
    <w:rsid w:val="0044104D"/>
    <w:rsid w:val="004410E9"/>
    <w:rsid w:val="00441260"/>
    <w:rsid w:val="0044138A"/>
    <w:rsid w:val="00441619"/>
    <w:rsid w:val="0044172B"/>
    <w:rsid w:val="00441898"/>
    <w:rsid w:val="00441B07"/>
    <w:rsid w:val="00441F89"/>
    <w:rsid w:val="00441F8E"/>
    <w:rsid w:val="00442075"/>
    <w:rsid w:val="00442347"/>
    <w:rsid w:val="00442385"/>
    <w:rsid w:val="004425E0"/>
    <w:rsid w:val="0044265F"/>
    <w:rsid w:val="0044290E"/>
    <w:rsid w:val="00442B1F"/>
    <w:rsid w:val="00442E4D"/>
    <w:rsid w:val="0044325E"/>
    <w:rsid w:val="00443272"/>
    <w:rsid w:val="0044370F"/>
    <w:rsid w:val="00443810"/>
    <w:rsid w:val="004438D6"/>
    <w:rsid w:val="00443B8C"/>
    <w:rsid w:val="00443C9D"/>
    <w:rsid w:val="00443D61"/>
    <w:rsid w:val="00443EC8"/>
    <w:rsid w:val="00444024"/>
    <w:rsid w:val="0044405A"/>
    <w:rsid w:val="00444255"/>
    <w:rsid w:val="0044458E"/>
    <w:rsid w:val="00444A2F"/>
    <w:rsid w:val="00444A65"/>
    <w:rsid w:val="00444C87"/>
    <w:rsid w:val="00444CD6"/>
    <w:rsid w:val="00444D10"/>
    <w:rsid w:val="00445467"/>
    <w:rsid w:val="00445630"/>
    <w:rsid w:val="004456F7"/>
    <w:rsid w:val="004458C4"/>
    <w:rsid w:val="00445F87"/>
    <w:rsid w:val="0044612B"/>
    <w:rsid w:val="00446330"/>
    <w:rsid w:val="0044649C"/>
    <w:rsid w:val="00446500"/>
    <w:rsid w:val="004467EE"/>
    <w:rsid w:val="00446AE5"/>
    <w:rsid w:val="00446C7F"/>
    <w:rsid w:val="00446E3F"/>
    <w:rsid w:val="00447020"/>
    <w:rsid w:val="0044705D"/>
    <w:rsid w:val="00447157"/>
    <w:rsid w:val="00447163"/>
    <w:rsid w:val="00447388"/>
    <w:rsid w:val="00447588"/>
    <w:rsid w:val="004479AB"/>
    <w:rsid w:val="004479C5"/>
    <w:rsid w:val="00447A4B"/>
    <w:rsid w:val="00447B01"/>
    <w:rsid w:val="00447DD1"/>
    <w:rsid w:val="00447E2E"/>
    <w:rsid w:val="00447F68"/>
    <w:rsid w:val="00450552"/>
    <w:rsid w:val="0045095E"/>
    <w:rsid w:val="004509A6"/>
    <w:rsid w:val="00450BEB"/>
    <w:rsid w:val="00450CB0"/>
    <w:rsid w:val="00451104"/>
    <w:rsid w:val="00451412"/>
    <w:rsid w:val="00451D6A"/>
    <w:rsid w:val="00451F9B"/>
    <w:rsid w:val="00451FEC"/>
    <w:rsid w:val="00452177"/>
    <w:rsid w:val="004521A1"/>
    <w:rsid w:val="004521C6"/>
    <w:rsid w:val="00452499"/>
    <w:rsid w:val="00452649"/>
    <w:rsid w:val="00452752"/>
    <w:rsid w:val="004527F9"/>
    <w:rsid w:val="00452B7D"/>
    <w:rsid w:val="00452D0A"/>
    <w:rsid w:val="00452F20"/>
    <w:rsid w:val="0045320D"/>
    <w:rsid w:val="0045334D"/>
    <w:rsid w:val="0045350D"/>
    <w:rsid w:val="004535CB"/>
    <w:rsid w:val="004537D3"/>
    <w:rsid w:val="004537F8"/>
    <w:rsid w:val="00453AAF"/>
    <w:rsid w:val="00453B43"/>
    <w:rsid w:val="00453BB7"/>
    <w:rsid w:val="00453CE2"/>
    <w:rsid w:val="00453EBF"/>
    <w:rsid w:val="00453ECF"/>
    <w:rsid w:val="0045457D"/>
    <w:rsid w:val="00454643"/>
    <w:rsid w:val="00454841"/>
    <w:rsid w:val="00454C71"/>
    <w:rsid w:val="004550FD"/>
    <w:rsid w:val="004552B3"/>
    <w:rsid w:val="004556D1"/>
    <w:rsid w:val="00455B59"/>
    <w:rsid w:val="00456063"/>
    <w:rsid w:val="00456376"/>
    <w:rsid w:val="0045676A"/>
    <w:rsid w:val="00456882"/>
    <w:rsid w:val="00456909"/>
    <w:rsid w:val="00456A48"/>
    <w:rsid w:val="00456C20"/>
    <w:rsid w:val="00456C49"/>
    <w:rsid w:val="00457120"/>
    <w:rsid w:val="00457221"/>
    <w:rsid w:val="004574F7"/>
    <w:rsid w:val="0045755B"/>
    <w:rsid w:val="00457C81"/>
    <w:rsid w:val="00457C8B"/>
    <w:rsid w:val="00457CED"/>
    <w:rsid w:val="00457FE2"/>
    <w:rsid w:val="00460191"/>
    <w:rsid w:val="00460285"/>
    <w:rsid w:val="0046032E"/>
    <w:rsid w:val="0046037D"/>
    <w:rsid w:val="004603DC"/>
    <w:rsid w:val="00460627"/>
    <w:rsid w:val="00460692"/>
    <w:rsid w:val="004606BD"/>
    <w:rsid w:val="004608AA"/>
    <w:rsid w:val="00460996"/>
    <w:rsid w:val="00461089"/>
    <w:rsid w:val="0046112D"/>
    <w:rsid w:val="004611AB"/>
    <w:rsid w:val="00461310"/>
    <w:rsid w:val="00461821"/>
    <w:rsid w:val="00461919"/>
    <w:rsid w:val="00461D08"/>
    <w:rsid w:val="00461F49"/>
    <w:rsid w:val="00461F9A"/>
    <w:rsid w:val="0046204E"/>
    <w:rsid w:val="0046235E"/>
    <w:rsid w:val="00462476"/>
    <w:rsid w:val="00462477"/>
    <w:rsid w:val="004624CD"/>
    <w:rsid w:val="00462588"/>
    <w:rsid w:val="004626AB"/>
    <w:rsid w:val="00462700"/>
    <w:rsid w:val="00462AAD"/>
    <w:rsid w:val="00462BAC"/>
    <w:rsid w:val="00462D8B"/>
    <w:rsid w:val="00462E48"/>
    <w:rsid w:val="00463080"/>
    <w:rsid w:val="00463139"/>
    <w:rsid w:val="00463201"/>
    <w:rsid w:val="0046351D"/>
    <w:rsid w:val="00463686"/>
    <w:rsid w:val="00463BC6"/>
    <w:rsid w:val="00463ED9"/>
    <w:rsid w:val="00463F02"/>
    <w:rsid w:val="004641A9"/>
    <w:rsid w:val="004645ED"/>
    <w:rsid w:val="00464704"/>
    <w:rsid w:val="00464A18"/>
    <w:rsid w:val="00464B61"/>
    <w:rsid w:val="00464FC5"/>
    <w:rsid w:val="004650F2"/>
    <w:rsid w:val="0046512B"/>
    <w:rsid w:val="00465230"/>
    <w:rsid w:val="004655B0"/>
    <w:rsid w:val="00465620"/>
    <w:rsid w:val="00465680"/>
    <w:rsid w:val="00465754"/>
    <w:rsid w:val="00465C2F"/>
    <w:rsid w:val="004660BC"/>
    <w:rsid w:val="00466383"/>
    <w:rsid w:val="00466547"/>
    <w:rsid w:val="004668D3"/>
    <w:rsid w:val="004668DB"/>
    <w:rsid w:val="00466966"/>
    <w:rsid w:val="00466A28"/>
    <w:rsid w:val="00466C2E"/>
    <w:rsid w:val="00466D44"/>
    <w:rsid w:val="00467020"/>
    <w:rsid w:val="00467045"/>
    <w:rsid w:val="004674DF"/>
    <w:rsid w:val="004674F1"/>
    <w:rsid w:val="00467926"/>
    <w:rsid w:val="00467F1D"/>
    <w:rsid w:val="004700E7"/>
    <w:rsid w:val="00470261"/>
    <w:rsid w:val="00470378"/>
    <w:rsid w:val="00470779"/>
    <w:rsid w:val="00470C19"/>
    <w:rsid w:val="00470EBC"/>
    <w:rsid w:val="004716AA"/>
    <w:rsid w:val="00471785"/>
    <w:rsid w:val="00471897"/>
    <w:rsid w:val="00471CE4"/>
    <w:rsid w:val="00471D09"/>
    <w:rsid w:val="004721DA"/>
    <w:rsid w:val="004722CC"/>
    <w:rsid w:val="0047248E"/>
    <w:rsid w:val="0047273C"/>
    <w:rsid w:val="00472742"/>
    <w:rsid w:val="00472AA0"/>
    <w:rsid w:val="00472E3F"/>
    <w:rsid w:val="00472FEE"/>
    <w:rsid w:val="00473076"/>
    <w:rsid w:val="0047322F"/>
    <w:rsid w:val="004733D0"/>
    <w:rsid w:val="004734C5"/>
    <w:rsid w:val="0047363F"/>
    <w:rsid w:val="00473A84"/>
    <w:rsid w:val="00473C85"/>
    <w:rsid w:val="00473CEA"/>
    <w:rsid w:val="00473D75"/>
    <w:rsid w:val="00473FC3"/>
    <w:rsid w:val="00474008"/>
    <w:rsid w:val="00474217"/>
    <w:rsid w:val="004744DF"/>
    <w:rsid w:val="0047472C"/>
    <w:rsid w:val="004748B1"/>
    <w:rsid w:val="00474F64"/>
    <w:rsid w:val="0047510F"/>
    <w:rsid w:val="0047557E"/>
    <w:rsid w:val="0047559F"/>
    <w:rsid w:val="004755D9"/>
    <w:rsid w:val="004756FF"/>
    <w:rsid w:val="00475909"/>
    <w:rsid w:val="00475C94"/>
    <w:rsid w:val="004765E7"/>
    <w:rsid w:val="00476645"/>
    <w:rsid w:val="00476868"/>
    <w:rsid w:val="00476C09"/>
    <w:rsid w:val="00476D09"/>
    <w:rsid w:val="00476E46"/>
    <w:rsid w:val="00476EF7"/>
    <w:rsid w:val="00476F46"/>
    <w:rsid w:val="00477012"/>
    <w:rsid w:val="00477034"/>
    <w:rsid w:val="00477286"/>
    <w:rsid w:val="0047775B"/>
    <w:rsid w:val="00477776"/>
    <w:rsid w:val="004779CF"/>
    <w:rsid w:val="004779E5"/>
    <w:rsid w:val="00477CBA"/>
    <w:rsid w:val="00477FF2"/>
    <w:rsid w:val="00480064"/>
    <w:rsid w:val="00480199"/>
    <w:rsid w:val="00480226"/>
    <w:rsid w:val="00480326"/>
    <w:rsid w:val="00480372"/>
    <w:rsid w:val="00480866"/>
    <w:rsid w:val="004808ED"/>
    <w:rsid w:val="004808FF"/>
    <w:rsid w:val="00480B4B"/>
    <w:rsid w:val="00480BC8"/>
    <w:rsid w:val="004818F5"/>
    <w:rsid w:val="00481971"/>
    <w:rsid w:val="00481AF1"/>
    <w:rsid w:val="00481B2B"/>
    <w:rsid w:val="00482024"/>
    <w:rsid w:val="004823DC"/>
    <w:rsid w:val="00482D82"/>
    <w:rsid w:val="00483067"/>
    <w:rsid w:val="004831CB"/>
    <w:rsid w:val="00483559"/>
    <w:rsid w:val="00483753"/>
    <w:rsid w:val="00483812"/>
    <w:rsid w:val="004838C1"/>
    <w:rsid w:val="00483B3C"/>
    <w:rsid w:val="00483BE3"/>
    <w:rsid w:val="00483C49"/>
    <w:rsid w:val="00483DE2"/>
    <w:rsid w:val="00483EA4"/>
    <w:rsid w:val="00484114"/>
    <w:rsid w:val="0048420A"/>
    <w:rsid w:val="0048434C"/>
    <w:rsid w:val="00484359"/>
    <w:rsid w:val="004847A0"/>
    <w:rsid w:val="004847B4"/>
    <w:rsid w:val="00484856"/>
    <w:rsid w:val="00484A32"/>
    <w:rsid w:val="00484A68"/>
    <w:rsid w:val="00484FA5"/>
    <w:rsid w:val="004854B3"/>
    <w:rsid w:val="00485682"/>
    <w:rsid w:val="00485702"/>
    <w:rsid w:val="004857B2"/>
    <w:rsid w:val="004858FA"/>
    <w:rsid w:val="004859F6"/>
    <w:rsid w:val="00485B2E"/>
    <w:rsid w:val="00485C5C"/>
    <w:rsid w:val="004860B8"/>
    <w:rsid w:val="0048636F"/>
    <w:rsid w:val="0048639D"/>
    <w:rsid w:val="00486448"/>
    <w:rsid w:val="004864EF"/>
    <w:rsid w:val="004866B2"/>
    <w:rsid w:val="00486875"/>
    <w:rsid w:val="00486E3E"/>
    <w:rsid w:val="00486F56"/>
    <w:rsid w:val="00487450"/>
    <w:rsid w:val="0048757C"/>
    <w:rsid w:val="004875BA"/>
    <w:rsid w:val="00487737"/>
    <w:rsid w:val="004878A3"/>
    <w:rsid w:val="004879BF"/>
    <w:rsid w:val="004879F9"/>
    <w:rsid w:val="00487A1C"/>
    <w:rsid w:val="00487A6B"/>
    <w:rsid w:val="00487BE3"/>
    <w:rsid w:val="00487C2F"/>
    <w:rsid w:val="00487F84"/>
    <w:rsid w:val="004902B4"/>
    <w:rsid w:val="0049039A"/>
    <w:rsid w:val="004906B8"/>
    <w:rsid w:val="0049089A"/>
    <w:rsid w:val="00490CB7"/>
    <w:rsid w:val="00490DF7"/>
    <w:rsid w:val="00490E91"/>
    <w:rsid w:val="00490EA0"/>
    <w:rsid w:val="00491269"/>
    <w:rsid w:val="0049136B"/>
    <w:rsid w:val="00491487"/>
    <w:rsid w:val="004914D1"/>
    <w:rsid w:val="00491653"/>
    <w:rsid w:val="00491957"/>
    <w:rsid w:val="00491AEB"/>
    <w:rsid w:val="00491BE5"/>
    <w:rsid w:val="00491ED6"/>
    <w:rsid w:val="00491FCD"/>
    <w:rsid w:val="00491FE1"/>
    <w:rsid w:val="004920D1"/>
    <w:rsid w:val="00492865"/>
    <w:rsid w:val="00492CFF"/>
    <w:rsid w:val="00492EF7"/>
    <w:rsid w:val="0049309B"/>
    <w:rsid w:val="00493252"/>
    <w:rsid w:val="004932D7"/>
    <w:rsid w:val="00493881"/>
    <w:rsid w:val="004938BF"/>
    <w:rsid w:val="004938C9"/>
    <w:rsid w:val="00493CB6"/>
    <w:rsid w:val="00493D13"/>
    <w:rsid w:val="00493DA6"/>
    <w:rsid w:val="00493F29"/>
    <w:rsid w:val="004941C3"/>
    <w:rsid w:val="004941FF"/>
    <w:rsid w:val="004947C9"/>
    <w:rsid w:val="00494D0A"/>
    <w:rsid w:val="00494D53"/>
    <w:rsid w:val="0049507D"/>
    <w:rsid w:val="00495176"/>
    <w:rsid w:val="004952AE"/>
    <w:rsid w:val="0049532E"/>
    <w:rsid w:val="00495473"/>
    <w:rsid w:val="00495490"/>
    <w:rsid w:val="00495726"/>
    <w:rsid w:val="004957AF"/>
    <w:rsid w:val="00495AEF"/>
    <w:rsid w:val="00495C7E"/>
    <w:rsid w:val="00495ED3"/>
    <w:rsid w:val="00495F8F"/>
    <w:rsid w:val="00495F9A"/>
    <w:rsid w:val="0049625A"/>
    <w:rsid w:val="004966D7"/>
    <w:rsid w:val="00496BF4"/>
    <w:rsid w:val="00496C55"/>
    <w:rsid w:val="00496F20"/>
    <w:rsid w:val="00497165"/>
    <w:rsid w:val="004974DE"/>
    <w:rsid w:val="00497965"/>
    <w:rsid w:val="00497D02"/>
    <w:rsid w:val="00497EA7"/>
    <w:rsid w:val="00497FC8"/>
    <w:rsid w:val="004A0400"/>
    <w:rsid w:val="004A06EB"/>
    <w:rsid w:val="004A0D75"/>
    <w:rsid w:val="004A110E"/>
    <w:rsid w:val="004A114C"/>
    <w:rsid w:val="004A152B"/>
    <w:rsid w:val="004A1554"/>
    <w:rsid w:val="004A15C8"/>
    <w:rsid w:val="004A199E"/>
    <w:rsid w:val="004A19B8"/>
    <w:rsid w:val="004A1A4C"/>
    <w:rsid w:val="004A1A52"/>
    <w:rsid w:val="004A1B93"/>
    <w:rsid w:val="004A1BFE"/>
    <w:rsid w:val="004A200B"/>
    <w:rsid w:val="004A2076"/>
    <w:rsid w:val="004A21E4"/>
    <w:rsid w:val="004A2259"/>
    <w:rsid w:val="004A2619"/>
    <w:rsid w:val="004A2629"/>
    <w:rsid w:val="004A27BB"/>
    <w:rsid w:val="004A2994"/>
    <w:rsid w:val="004A2A04"/>
    <w:rsid w:val="004A2CED"/>
    <w:rsid w:val="004A2E98"/>
    <w:rsid w:val="004A3369"/>
    <w:rsid w:val="004A3746"/>
    <w:rsid w:val="004A3A21"/>
    <w:rsid w:val="004A3B97"/>
    <w:rsid w:val="004A3E7D"/>
    <w:rsid w:val="004A44E5"/>
    <w:rsid w:val="004A46E3"/>
    <w:rsid w:val="004A47F3"/>
    <w:rsid w:val="004A4901"/>
    <w:rsid w:val="004A4982"/>
    <w:rsid w:val="004A4C19"/>
    <w:rsid w:val="004A4C72"/>
    <w:rsid w:val="004A4CEB"/>
    <w:rsid w:val="004A4CF2"/>
    <w:rsid w:val="004A4F1C"/>
    <w:rsid w:val="004A50E5"/>
    <w:rsid w:val="004A54A9"/>
    <w:rsid w:val="004A5840"/>
    <w:rsid w:val="004A59AE"/>
    <w:rsid w:val="004A5A3B"/>
    <w:rsid w:val="004A5BFE"/>
    <w:rsid w:val="004A5DBB"/>
    <w:rsid w:val="004A5E9D"/>
    <w:rsid w:val="004A649C"/>
    <w:rsid w:val="004A6A0B"/>
    <w:rsid w:val="004A6EE5"/>
    <w:rsid w:val="004A706C"/>
    <w:rsid w:val="004A71ED"/>
    <w:rsid w:val="004A724B"/>
    <w:rsid w:val="004A75AF"/>
    <w:rsid w:val="004A7CB8"/>
    <w:rsid w:val="004A7E7D"/>
    <w:rsid w:val="004A7ED4"/>
    <w:rsid w:val="004B0238"/>
    <w:rsid w:val="004B04B0"/>
    <w:rsid w:val="004B06E6"/>
    <w:rsid w:val="004B0791"/>
    <w:rsid w:val="004B0A1B"/>
    <w:rsid w:val="004B0C7D"/>
    <w:rsid w:val="004B0D76"/>
    <w:rsid w:val="004B0E70"/>
    <w:rsid w:val="004B10C4"/>
    <w:rsid w:val="004B10FF"/>
    <w:rsid w:val="004B11C1"/>
    <w:rsid w:val="004B12BA"/>
    <w:rsid w:val="004B1384"/>
    <w:rsid w:val="004B1868"/>
    <w:rsid w:val="004B1957"/>
    <w:rsid w:val="004B196F"/>
    <w:rsid w:val="004B1B82"/>
    <w:rsid w:val="004B1BB8"/>
    <w:rsid w:val="004B1C0A"/>
    <w:rsid w:val="004B1E02"/>
    <w:rsid w:val="004B22E2"/>
    <w:rsid w:val="004B2532"/>
    <w:rsid w:val="004B273B"/>
    <w:rsid w:val="004B2787"/>
    <w:rsid w:val="004B29F1"/>
    <w:rsid w:val="004B2A7C"/>
    <w:rsid w:val="004B2B59"/>
    <w:rsid w:val="004B2B97"/>
    <w:rsid w:val="004B2C8E"/>
    <w:rsid w:val="004B2EB6"/>
    <w:rsid w:val="004B3019"/>
    <w:rsid w:val="004B3106"/>
    <w:rsid w:val="004B353A"/>
    <w:rsid w:val="004B3599"/>
    <w:rsid w:val="004B35CB"/>
    <w:rsid w:val="004B37BC"/>
    <w:rsid w:val="004B3AB8"/>
    <w:rsid w:val="004B3AE0"/>
    <w:rsid w:val="004B3B30"/>
    <w:rsid w:val="004B3C52"/>
    <w:rsid w:val="004B3C5B"/>
    <w:rsid w:val="004B3D3B"/>
    <w:rsid w:val="004B3E9F"/>
    <w:rsid w:val="004B3EB9"/>
    <w:rsid w:val="004B408F"/>
    <w:rsid w:val="004B4225"/>
    <w:rsid w:val="004B42EC"/>
    <w:rsid w:val="004B437F"/>
    <w:rsid w:val="004B442B"/>
    <w:rsid w:val="004B45FD"/>
    <w:rsid w:val="004B4BCA"/>
    <w:rsid w:val="004B4F78"/>
    <w:rsid w:val="004B51B6"/>
    <w:rsid w:val="004B526C"/>
    <w:rsid w:val="004B5539"/>
    <w:rsid w:val="004B5568"/>
    <w:rsid w:val="004B5667"/>
    <w:rsid w:val="004B5B34"/>
    <w:rsid w:val="004B5B55"/>
    <w:rsid w:val="004B5CCE"/>
    <w:rsid w:val="004B5E34"/>
    <w:rsid w:val="004B5ECE"/>
    <w:rsid w:val="004B5F3B"/>
    <w:rsid w:val="004B5FA4"/>
    <w:rsid w:val="004B6094"/>
    <w:rsid w:val="004B6217"/>
    <w:rsid w:val="004B62EE"/>
    <w:rsid w:val="004B6405"/>
    <w:rsid w:val="004B68B8"/>
    <w:rsid w:val="004B6B15"/>
    <w:rsid w:val="004B6B95"/>
    <w:rsid w:val="004B6CBA"/>
    <w:rsid w:val="004B6D25"/>
    <w:rsid w:val="004B7250"/>
    <w:rsid w:val="004B75B9"/>
    <w:rsid w:val="004B76D6"/>
    <w:rsid w:val="004B7771"/>
    <w:rsid w:val="004B789A"/>
    <w:rsid w:val="004B7A8B"/>
    <w:rsid w:val="004B7B0D"/>
    <w:rsid w:val="004B7C23"/>
    <w:rsid w:val="004B7E36"/>
    <w:rsid w:val="004B7E96"/>
    <w:rsid w:val="004B7F36"/>
    <w:rsid w:val="004C0531"/>
    <w:rsid w:val="004C081E"/>
    <w:rsid w:val="004C0AE7"/>
    <w:rsid w:val="004C0C20"/>
    <w:rsid w:val="004C0C49"/>
    <w:rsid w:val="004C0C56"/>
    <w:rsid w:val="004C0C9C"/>
    <w:rsid w:val="004C0CC5"/>
    <w:rsid w:val="004C0E1B"/>
    <w:rsid w:val="004C108C"/>
    <w:rsid w:val="004C11D9"/>
    <w:rsid w:val="004C160C"/>
    <w:rsid w:val="004C1734"/>
    <w:rsid w:val="004C1A74"/>
    <w:rsid w:val="004C1BBF"/>
    <w:rsid w:val="004C1CD6"/>
    <w:rsid w:val="004C216B"/>
    <w:rsid w:val="004C21DA"/>
    <w:rsid w:val="004C239D"/>
    <w:rsid w:val="004C2474"/>
    <w:rsid w:val="004C2D9A"/>
    <w:rsid w:val="004C2E56"/>
    <w:rsid w:val="004C2E9B"/>
    <w:rsid w:val="004C2F61"/>
    <w:rsid w:val="004C34BE"/>
    <w:rsid w:val="004C35B3"/>
    <w:rsid w:val="004C36E5"/>
    <w:rsid w:val="004C37CA"/>
    <w:rsid w:val="004C383C"/>
    <w:rsid w:val="004C38B4"/>
    <w:rsid w:val="004C39C2"/>
    <w:rsid w:val="004C3D59"/>
    <w:rsid w:val="004C401C"/>
    <w:rsid w:val="004C44CA"/>
    <w:rsid w:val="004C4651"/>
    <w:rsid w:val="004C49AE"/>
    <w:rsid w:val="004C4C44"/>
    <w:rsid w:val="004C4DB3"/>
    <w:rsid w:val="004C4E30"/>
    <w:rsid w:val="004C4E40"/>
    <w:rsid w:val="004C4EAC"/>
    <w:rsid w:val="004C4F1A"/>
    <w:rsid w:val="004C53F5"/>
    <w:rsid w:val="004C5856"/>
    <w:rsid w:val="004C5C1C"/>
    <w:rsid w:val="004C5DB6"/>
    <w:rsid w:val="004C61C9"/>
    <w:rsid w:val="004C6213"/>
    <w:rsid w:val="004C69C5"/>
    <w:rsid w:val="004C6AB8"/>
    <w:rsid w:val="004C6E05"/>
    <w:rsid w:val="004C6E4F"/>
    <w:rsid w:val="004C6E72"/>
    <w:rsid w:val="004C70FB"/>
    <w:rsid w:val="004C72D5"/>
    <w:rsid w:val="004C7540"/>
    <w:rsid w:val="004C760F"/>
    <w:rsid w:val="004C77FE"/>
    <w:rsid w:val="004C78D8"/>
    <w:rsid w:val="004C7B9B"/>
    <w:rsid w:val="004C7E64"/>
    <w:rsid w:val="004C7F26"/>
    <w:rsid w:val="004D00C5"/>
    <w:rsid w:val="004D02B9"/>
    <w:rsid w:val="004D064C"/>
    <w:rsid w:val="004D092B"/>
    <w:rsid w:val="004D09E3"/>
    <w:rsid w:val="004D0AEE"/>
    <w:rsid w:val="004D0B42"/>
    <w:rsid w:val="004D0FA9"/>
    <w:rsid w:val="004D11D6"/>
    <w:rsid w:val="004D12FF"/>
    <w:rsid w:val="004D1924"/>
    <w:rsid w:val="004D19AF"/>
    <w:rsid w:val="004D19D0"/>
    <w:rsid w:val="004D1A23"/>
    <w:rsid w:val="004D1BD4"/>
    <w:rsid w:val="004D2144"/>
    <w:rsid w:val="004D22D0"/>
    <w:rsid w:val="004D24E4"/>
    <w:rsid w:val="004D2514"/>
    <w:rsid w:val="004D25BC"/>
    <w:rsid w:val="004D2815"/>
    <w:rsid w:val="004D28B9"/>
    <w:rsid w:val="004D298A"/>
    <w:rsid w:val="004D2A8D"/>
    <w:rsid w:val="004D2DEC"/>
    <w:rsid w:val="004D2EF1"/>
    <w:rsid w:val="004D2F52"/>
    <w:rsid w:val="004D2FB0"/>
    <w:rsid w:val="004D30C0"/>
    <w:rsid w:val="004D3125"/>
    <w:rsid w:val="004D31F1"/>
    <w:rsid w:val="004D3EA3"/>
    <w:rsid w:val="004D4207"/>
    <w:rsid w:val="004D42AC"/>
    <w:rsid w:val="004D442B"/>
    <w:rsid w:val="004D4596"/>
    <w:rsid w:val="004D45AE"/>
    <w:rsid w:val="004D4633"/>
    <w:rsid w:val="004D47D6"/>
    <w:rsid w:val="004D4C1E"/>
    <w:rsid w:val="004D56BF"/>
    <w:rsid w:val="004D570B"/>
    <w:rsid w:val="004D573B"/>
    <w:rsid w:val="004D5851"/>
    <w:rsid w:val="004D5955"/>
    <w:rsid w:val="004D5B1B"/>
    <w:rsid w:val="004D5BD9"/>
    <w:rsid w:val="004D5C37"/>
    <w:rsid w:val="004D5F05"/>
    <w:rsid w:val="004D5F5F"/>
    <w:rsid w:val="004D5F84"/>
    <w:rsid w:val="004D5FB8"/>
    <w:rsid w:val="004D61AB"/>
    <w:rsid w:val="004D67C2"/>
    <w:rsid w:val="004D67EA"/>
    <w:rsid w:val="004D69A6"/>
    <w:rsid w:val="004D6A59"/>
    <w:rsid w:val="004D6B1F"/>
    <w:rsid w:val="004D70CA"/>
    <w:rsid w:val="004D71B9"/>
    <w:rsid w:val="004D7283"/>
    <w:rsid w:val="004D743B"/>
    <w:rsid w:val="004D7787"/>
    <w:rsid w:val="004E06CC"/>
    <w:rsid w:val="004E0BA4"/>
    <w:rsid w:val="004E0DA8"/>
    <w:rsid w:val="004E0F95"/>
    <w:rsid w:val="004E12D4"/>
    <w:rsid w:val="004E12DC"/>
    <w:rsid w:val="004E1478"/>
    <w:rsid w:val="004E15D9"/>
    <w:rsid w:val="004E17AF"/>
    <w:rsid w:val="004E192D"/>
    <w:rsid w:val="004E1934"/>
    <w:rsid w:val="004E25B7"/>
    <w:rsid w:val="004E26C8"/>
    <w:rsid w:val="004E2760"/>
    <w:rsid w:val="004E2AF3"/>
    <w:rsid w:val="004E2B80"/>
    <w:rsid w:val="004E2BA6"/>
    <w:rsid w:val="004E2C8A"/>
    <w:rsid w:val="004E2DAB"/>
    <w:rsid w:val="004E2EE2"/>
    <w:rsid w:val="004E2F0E"/>
    <w:rsid w:val="004E3199"/>
    <w:rsid w:val="004E35C9"/>
    <w:rsid w:val="004E3993"/>
    <w:rsid w:val="004E3AEA"/>
    <w:rsid w:val="004E3BD0"/>
    <w:rsid w:val="004E3CAE"/>
    <w:rsid w:val="004E3E91"/>
    <w:rsid w:val="004E405D"/>
    <w:rsid w:val="004E41B5"/>
    <w:rsid w:val="004E433D"/>
    <w:rsid w:val="004E453E"/>
    <w:rsid w:val="004E4A9D"/>
    <w:rsid w:val="004E4B38"/>
    <w:rsid w:val="004E4E3A"/>
    <w:rsid w:val="004E50AF"/>
    <w:rsid w:val="004E5264"/>
    <w:rsid w:val="004E570A"/>
    <w:rsid w:val="004E5757"/>
    <w:rsid w:val="004E575D"/>
    <w:rsid w:val="004E5772"/>
    <w:rsid w:val="004E5792"/>
    <w:rsid w:val="004E59F6"/>
    <w:rsid w:val="004E5A0F"/>
    <w:rsid w:val="004E5C12"/>
    <w:rsid w:val="004E5C47"/>
    <w:rsid w:val="004E5D3B"/>
    <w:rsid w:val="004E5DEC"/>
    <w:rsid w:val="004E5F7F"/>
    <w:rsid w:val="004E6029"/>
    <w:rsid w:val="004E6038"/>
    <w:rsid w:val="004E6250"/>
    <w:rsid w:val="004E672B"/>
    <w:rsid w:val="004E68A7"/>
    <w:rsid w:val="004E68EA"/>
    <w:rsid w:val="004E68F4"/>
    <w:rsid w:val="004E6B02"/>
    <w:rsid w:val="004E6BFF"/>
    <w:rsid w:val="004E6C6E"/>
    <w:rsid w:val="004E6F8A"/>
    <w:rsid w:val="004E6FA4"/>
    <w:rsid w:val="004E72F7"/>
    <w:rsid w:val="004E743B"/>
    <w:rsid w:val="004E7892"/>
    <w:rsid w:val="004F0264"/>
    <w:rsid w:val="004F092C"/>
    <w:rsid w:val="004F0CDE"/>
    <w:rsid w:val="004F1057"/>
    <w:rsid w:val="004F10FD"/>
    <w:rsid w:val="004F1208"/>
    <w:rsid w:val="004F1356"/>
    <w:rsid w:val="004F13A4"/>
    <w:rsid w:val="004F199B"/>
    <w:rsid w:val="004F1AB2"/>
    <w:rsid w:val="004F1B2E"/>
    <w:rsid w:val="004F1EAF"/>
    <w:rsid w:val="004F1F74"/>
    <w:rsid w:val="004F21DE"/>
    <w:rsid w:val="004F2413"/>
    <w:rsid w:val="004F29E7"/>
    <w:rsid w:val="004F29EC"/>
    <w:rsid w:val="004F2A04"/>
    <w:rsid w:val="004F2A17"/>
    <w:rsid w:val="004F2B36"/>
    <w:rsid w:val="004F2E58"/>
    <w:rsid w:val="004F2E60"/>
    <w:rsid w:val="004F2FDA"/>
    <w:rsid w:val="004F3223"/>
    <w:rsid w:val="004F329B"/>
    <w:rsid w:val="004F3351"/>
    <w:rsid w:val="004F36E0"/>
    <w:rsid w:val="004F3B1E"/>
    <w:rsid w:val="004F3B9D"/>
    <w:rsid w:val="004F3D0D"/>
    <w:rsid w:val="004F403A"/>
    <w:rsid w:val="004F4664"/>
    <w:rsid w:val="004F479D"/>
    <w:rsid w:val="004F491B"/>
    <w:rsid w:val="004F4921"/>
    <w:rsid w:val="004F4D05"/>
    <w:rsid w:val="004F4D59"/>
    <w:rsid w:val="004F4F04"/>
    <w:rsid w:val="004F5298"/>
    <w:rsid w:val="004F53C2"/>
    <w:rsid w:val="004F55FD"/>
    <w:rsid w:val="004F56A7"/>
    <w:rsid w:val="004F57D7"/>
    <w:rsid w:val="004F5BD8"/>
    <w:rsid w:val="004F5EAF"/>
    <w:rsid w:val="004F5F16"/>
    <w:rsid w:val="004F62E6"/>
    <w:rsid w:val="004F64A7"/>
    <w:rsid w:val="004F65A2"/>
    <w:rsid w:val="004F671F"/>
    <w:rsid w:val="004F687F"/>
    <w:rsid w:val="004F6BD1"/>
    <w:rsid w:val="004F6FE3"/>
    <w:rsid w:val="004F7106"/>
    <w:rsid w:val="004F7121"/>
    <w:rsid w:val="004F7169"/>
    <w:rsid w:val="004F7901"/>
    <w:rsid w:val="004F793F"/>
    <w:rsid w:val="004F79C1"/>
    <w:rsid w:val="004F7BF9"/>
    <w:rsid w:val="004F7D73"/>
    <w:rsid w:val="004F7E2E"/>
    <w:rsid w:val="004F7E64"/>
    <w:rsid w:val="004F7ED7"/>
    <w:rsid w:val="005007E3"/>
    <w:rsid w:val="005009A5"/>
    <w:rsid w:val="00500A4D"/>
    <w:rsid w:val="00500CA0"/>
    <w:rsid w:val="00501260"/>
    <w:rsid w:val="005016D9"/>
    <w:rsid w:val="0050179E"/>
    <w:rsid w:val="005018B8"/>
    <w:rsid w:val="00501BB4"/>
    <w:rsid w:val="00502007"/>
    <w:rsid w:val="0050213E"/>
    <w:rsid w:val="0050230A"/>
    <w:rsid w:val="0050270F"/>
    <w:rsid w:val="005028CA"/>
    <w:rsid w:val="00502E79"/>
    <w:rsid w:val="00502F88"/>
    <w:rsid w:val="005031ED"/>
    <w:rsid w:val="0050331E"/>
    <w:rsid w:val="0050349C"/>
    <w:rsid w:val="005034DA"/>
    <w:rsid w:val="00503508"/>
    <w:rsid w:val="005037DC"/>
    <w:rsid w:val="005037E4"/>
    <w:rsid w:val="00503CD2"/>
    <w:rsid w:val="00503DE0"/>
    <w:rsid w:val="00504070"/>
    <w:rsid w:val="00504297"/>
    <w:rsid w:val="00504508"/>
    <w:rsid w:val="00504779"/>
    <w:rsid w:val="0050483F"/>
    <w:rsid w:val="00504AD1"/>
    <w:rsid w:val="00504D50"/>
    <w:rsid w:val="00505294"/>
    <w:rsid w:val="0050534F"/>
    <w:rsid w:val="005055AE"/>
    <w:rsid w:val="0050565B"/>
    <w:rsid w:val="005058E7"/>
    <w:rsid w:val="00505B54"/>
    <w:rsid w:val="00505BE7"/>
    <w:rsid w:val="00505C76"/>
    <w:rsid w:val="00505FC8"/>
    <w:rsid w:val="00506023"/>
    <w:rsid w:val="00506114"/>
    <w:rsid w:val="0050619A"/>
    <w:rsid w:val="00506258"/>
    <w:rsid w:val="005065C6"/>
    <w:rsid w:val="00506633"/>
    <w:rsid w:val="0050674D"/>
    <w:rsid w:val="0050680C"/>
    <w:rsid w:val="005068D5"/>
    <w:rsid w:val="00506AB5"/>
    <w:rsid w:val="00506EDD"/>
    <w:rsid w:val="00506EE2"/>
    <w:rsid w:val="0050703A"/>
    <w:rsid w:val="005070F9"/>
    <w:rsid w:val="00507A8D"/>
    <w:rsid w:val="00507BCA"/>
    <w:rsid w:val="00507E3D"/>
    <w:rsid w:val="005103CE"/>
    <w:rsid w:val="0051094C"/>
    <w:rsid w:val="005109B8"/>
    <w:rsid w:val="00510AAF"/>
    <w:rsid w:val="00510C8C"/>
    <w:rsid w:val="00510E52"/>
    <w:rsid w:val="00510F21"/>
    <w:rsid w:val="00511200"/>
    <w:rsid w:val="0051140F"/>
    <w:rsid w:val="00511600"/>
    <w:rsid w:val="00511A55"/>
    <w:rsid w:val="0051216C"/>
    <w:rsid w:val="0051240C"/>
    <w:rsid w:val="00512415"/>
    <w:rsid w:val="0051253B"/>
    <w:rsid w:val="00512640"/>
    <w:rsid w:val="005128E1"/>
    <w:rsid w:val="005128E2"/>
    <w:rsid w:val="00512D6C"/>
    <w:rsid w:val="005131F9"/>
    <w:rsid w:val="0051321D"/>
    <w:rsid w:val="005134EF"/>
    <w:rsid w:val="005134F2"/>
    <w:rsid w:val="00513845"/>
    <w:rsid w:val="0051395B"/>
    <w:rsid w:val="005139E1"/>
    <w:rsid w:val="00513A9E"/>
    <w:rsid w:val="00513D16"/>
    <w:rsid w:val="00513D98"/>
    <w:rsid w:val="00513E6A"/>
    <w:rsid w:val="0051408B"/>
    <w:rsid w:val="005142EC"/>
    <w:rsid w:val="00514337"/>
    <w:rsid w:val="00514468"/>
    <w:rsid w:val="00514768"/>
    <w:rsid w:val="0051488F"/>
    <w:rsid w:val="005148F2"/>
    <w:rsid w:val="00514C48"/>
    <w:rsid w:val="00515128"/>
    <w:rsid w:val="00515450"/>
    <w:rsid w:val="0051579E"/>
    <w:rsid w:val="005158A8"/>
    <w:rsid w:val="00515AC3"/>
    <w:rsid w:val="00515DF6"/>
    <w:rsid w:val="0051626C"/>
    <w:rsid w:val="0051653B"/>
    <w:rsid w:val="005166D7"/>
    <w:rsid w:val="00516997"/>
    <w:rsid w:val="00516DAA"/>
    <w:rsid w:val="00516DCD"/>
    <w:rsid w:val="00516DDD"/>
    <w:rsid w:val="00517053"/>
    <w:rsid w:val="00517217"/>
    <w:rsid w:val="0051728C"/>
    <w:rsid w:val="005172C4"/>
    <w:rsid w:val="00517637"/>
    <w:rsid w:val="00517677"/>
    <w:rsid w:val="0051778F"/>
    <w:rsid w:val="00517AAA"/>
    <w:rsid w:val="00517D92"/>
    <w:rsid w:val="00517F76"/>
    <w:rsid w:val="00520104"/>
    <w:rsid w:val="0052023D"/>
    <w:rsid w:val="005202E5"/>
    <w:rsid w:val="00520813"/>
    <w:rsid w:val="00520A60"/>
    <w:rsid w:val="00520A6E"/>
    <w:rsid w:val="00520D80"/>
    <w:rsid w:val="00520F6F"/>
    <w:rsid w:val="00521330"/>
    <w:rsid w:val="005215DA"/>
    <w:rsid w:val="00521799"/>
    <w:rsid w:val="00521807"/>
    <w:rsid w:val="00521B3E"/>
    <w:rsid w:val="00521E96"/>
    <w:rsid w:val="0052221B"/>
    <w:rsid w:val="00522317"/>
    <w:rsid w:val="00522866"/>
    <w:rsid w:val="00522AC7"/>
    <w:rsid w:val="00522BEA"/>
    <w:rsid w:val="00523083"/>
    <w:rsid w:val="0052310B"/>
    <w:rsid w:val="005233D3"/>
    <w:rsid w:val="005233F6"/>
    <w:rsid w:val="0052354A"/>
    <w:rsid w:val="00523669"/>
    <w:rsid w:val="00523B30"/>
    <w:rsid w:val="00523D23"/>
    <w:rsid w:val="00523D3C"/>
    <w:rsid w:val="00523F52"/>
    <w:rsid w:val="00523FF4"/>
    <w:rsid w:val="0052407E"/>
    <w:rsid w:val="0052413D"/>
    <w:rsid w:val="005241C0"/>
    <w:rsid w:val="0052467F"/>
    <w:rsid w:val="00524777"/>
    <w:rsid w:val="00524849"/>
    <w:rsid w:val="00524959"/>
    <w:rsid w:val="00524983"/>
    <w:rsid w:val="00524DB8"/>
    <w:rsid w:val="005252FF"/>
    <w:rsid w:val="0052558D"/>
    <w:rsid w:val="00525753"/>
    <w:rsid w:val="00525938"/>
    <w:rsid w:val="00525B05"/>
    <w:rsid w:val="00525B51"/>
    <w:rsid w:val="00525DCA"/>
    <w:rsid w:val="00525E44"/>
    <w:rsid w:val="005260C1"/>
    <w:rsid w:val="0052616F"/>
    <w:rsid w:val="0052632D"/>
    <w:rsid w:val="005264E0"/>
    <w:rsid w:val="00526548"/>
    <w:rsid w:val="005266C6"/>
    <w:rsid w:val="00526A3F"/>
    <w:rsid w:val="00526B69"/>
    <w:rsid w:val="00526B9C"/>
    <w:rsid w:val="00526D4A"/>
    <w:rsid w:val="00526D72"/>
    <w:rsid w:val="005270B3"/>
    <w:rsid w:val="00527224"/>
    <w:rsid w:val="00527968"/>
    <w:rsid w:val="0053019A"/>
    <w:rsid w:val="005312CF"/>
    <w:rsid w:val="00531398"/>
    <w:rsid w:val="00531417"/>
    <w:rsid w:val="0053163A"/>
    <w:rsid w:val="005318E9"/>
    <w:rsid w:val="00531A58"/>
    <w:rsid w:val="00531AA5"/>
    <w:rsid w:val="00531AE1"/>
    <w:rsid w:val="00531B74"/>
    <w:rsid w:val="00531BF8"/>
    <w:rsid w:val="00532248"/>
    <w:rsid w:val="0053229B"/>
    <w:rsid w:val="0053235D"/>
    <w:rsid w:val="005325B1"/>
    <w:rsid w:val="00532891"/>
    <w:rsid w:val="005328FF"/>
    <w:rsid w:val="00532A64"/>
    <w:rsid w:val="00532F9B"/>
    <w:rsid w:val="005331E6"/>
    <w:rsid w:val="00533214"/>
    <w:rsid w:val="00533421"/>
    <w:rsid w:val="005334E9"/>
    <w:rsid w:val="00533861"/>
    <w:rsid w:val="0053395D"/>
    <w:rsid w:val="00533AD1"/>
    <w:rsid w:val="00533CB5"/>
    <w:rsid w:val="00533F0E"/>
    <w:rsid w:val="00534442"/>
    <w:rsid w:val="00534501"/>
    <w:rsid w:val="00534738"/>
    <w:rsid w:val="005347B3"/>
    <w:rsid w:val="0053483F"/>
    <w:rsid w:val="00534969"/>
    <w:rsid w:val="00534B58"/>
    <w:rsid w:val="00534BE9"/>
    <w:rsid w:val="00534BF4"/>
    <w:rsid w:val="00534CBA"/>
    <w:rsid w:val="00534EC8"/>
    <w:rsid w:val="0053524A"/>
    <w:rsid w:val="00535296"/>
    <w:rsid w:val="005352A1"/>
    <w:rsid w:val="005352E9"/>
    <w:rsid w:val="005355B3"/>
    <w:rsid w:val="005357AE"/>
    <w:rsid w:val="005359E9"/>
    <w:rsid w:val="00535AAD"/>
    <w:rsid w:val="00535CA3"/>
    <w:rsid w:val="00535D14"/>
    <w:rsid w:val="00535D1B"/>
    <w:rsid w:val="00536057"/>
    <w:rsid w:val="0053618E"/>
    <w:rsid w:val="005362C8"/>
    <w:rsid w:val="0053660B"/>
    <w:rsid w:val="00536789"/>
    <w:rsid w:val="005367BA"/>
    <w:rsid w:val="00536B53"/>
    <w:rsid w:val="00536BDB"/>
    <w:rsid w:val="00536CF5"/>
    <w:rsid w:val="00536D20"/>
    <w:rsid w:val="0053710B"/>
    <w:rsid w:val="005371F7"/>
    <w:rsid w:val="00537502"/>
    <w:rsid w:val="0053784E"/>
    <w:rsid w:val="0053785A"/>
    <w:rsid w:val="00537BCC"/>
    <w:rsid w:val="00537D83"/>
    <w:rsid w:val="0054010F"/>
    <w:rsid w:val="005409A1"/>
    <w:rsid w:val="00540A40"/>
    <w:rsid w:val="00540F68"/>
    <w:rsid w:val="0054122D"/>
    <w:rsid w:val="00541344"/>
    <w:rsid w:val="00541444"/>
    <w:rsid w:val="00541451"/>
    <w:rsid w:val="00541516"/>
    <w:rsid w:val="005417F4"/>
    <w:rsid w:val="00541878"/>
    <w:rsid w:val="00541A97"/>
    <w:rsid w:val="00541CE9"/>
    <w:rsid w:val="00541DBB"/>
    <w:rsid w:val="00541F99"/>
    <w:rsid w:val="00542126"/>
    <w:rsid w:val="00542254"/>
    <w:rsid w:val="0054282E"/>
    <w:rsid w:val="00542A0F"/>
    <w:rsid w:val="00542DFD"/>
    <w:rsid w:val="00542FE4"/>
    <w:rsid w:val="00543126"/>
    <w:rsid w:val="00543176"/>
    <w:rsid w:val="00543196"/>
    <w:rsid w:val="005433E4"/>
    <w:rsid w:val="00543A03"/>
    <w:rsid w:val="00543BA7"/>
    <w:rsid w:val="00543BB2"/>
    <w:rsid w:val="00543D42"/>
    <w:rsid w:val="00543DFD"/>
    <w:rsid w:val="00543EA5"/>
    <w:rsid w:val="00543F7B"/>
    <w:rsid w:val="0054409C"/>
    <w:rsid w:val="00544172"/>
    <w:rsid w:val="0054426E"/>
    <w:rsid w:val="00544824"/>
    <w:rsid w:val="0054490C"/>
    <w:rsid w:val="00544A2E"/>
    <w:rsid w:val="00544D46"/>
    <w:rsid w:val="00544ED5"/>
    <w:rsid w:val="00545220"/>
    <w:rsid w:val="0054540E"/>
    <w:rsid w:val="0054598B"/>
    <w:rsid w:val="00545C77"/>
    <w:rsid w:val="00545D82"/>
    <w:rsid w:val="0054630D"/>
    <w:rsid w:val="0054642D"/>
    <w:rsid w:val="00546782"/>
    <w:rsid w:val="005467B0"/>
    <w:rsid w:val="0054690D"/>
    <w:rsid w:val="00546C1C"/>
    <w:rsid w:val="00546ED6"/>
    <w:rsid w:val="0054720B"/>
    <w:rsid w:val="00547515"/>
    <w:rsid w:val="005476DB"/>
    <w:rsid w:val="005477A0"/>
    <w:rsid w:val="00547B41"/>
    <w:rsid w:val="00547D17"/>
    <w:rsid w:val="005502B6"/>
    <w:rsid w:val="00550817"/>
    <w:rsid w:val="005508CE"/>
    <w:rsid w:val="00550C88"/>
    <w:rsid w:val="005510B9"/>
    <w:rsid w:val="00551204"/>
    <w:rsid w:val="0055131E"/>
    <w:rsid w:val="005516AB"/>
    <w:rsid w:val="005517B5"/>
    <w:rsid w:val="00551AA0"/>
    <w:rsid w:val="00551CED"/>
    <w:rsid w:val="00551EC1"/>
    <w:rsid w:val="005520E9"/>
    <w:rsid w:val="0055230F"/>
    <w:rsid w:val="0055267B"/>
    <w:rsid w:val="005526F1"/>
    <w:rsid w:val="00552A26"/>
    <w:rsid w:val="00552A80"/>
    <w:rsid w:val="00552BC8"/>
    <w:rsid w:val="00552C37"/>
    <w:rsid w:val="00552CBB"/>
    <w:rsid w:val="00552CD7"/>
    <w:rsid w:val="00552E26"/>
    <w:rsid w:val="00553679"/>
    <w:rsid w:val="005537B1"/>
    <w:rsid w:val="00553920"/>
    <w:rsid w:val="0055394D"/>
    <w:rsid w:val="00553B2D"/>
    <w:rsid w:val="00553B72"/>
    <w:rsid w:val="00553D51"/>
    <w:rsid w:val="00553DD8"/>
    <w:rsid w:val="00553DF1"/>
    <w:rsid w:val="0055416F"/>
    <w:rsid w:val="005545C3"/>
    <w:rsid w:val="00554D46"/>
    <w:rsid w:val="00554F25"/>
    <w:rsid w:val="00555113"/>
    <w:rsid w:val="005551B6"/>
    <w:rsid w:val="00555403"/>
    <w:rsid w:val="00555576"/>
    <w:rsid w:val="00555AB8"/>
    <w:rsid w:val="00555BF9"/>
    <w:rsid w:val="00555EA0"/>
    <w:rsid w:val="0055602F"/>
    <w:rsid w:val="005561F9"/>
    <w:rsid w:val="00556364"/>
    <w:rsid w:val="005563E3"/>
    <w:rsid w:val="00556480"/>
    <w:rsid w:val="00556559"/>
    <w:rsid w:val="00556597"/>
    <w:rsid w:val="00556AAB"/>
    <w:rsid w:val="00556DF1"/>
    <w:rsid w:val="00556FD0"/>
    <w:rsid w:val="00557422"/>
    <w:rsid w:val="0055743B"/>
    <w:rsid w:val="00557525"/>
    <w:rsid w:val="00557768"/>
    <w:rsid w:val="005577B1"/>
    <w:rsid w:val="005577FB"/>
    <w:rsid w:val="00557A36"/>
    <w:rsid w:val="0056007E"/>
    <w:rsid w:val="0056020A"/>
    <w:rsid w:val="005602BA"/>
    <w:rsid w:val="005605F9"/>
    <w:rsid w:val="00560791"/>
    <w:rsid w:val="005607D0"/>
    <w:rsid w:val="00560838"/>
    <w:rsid w:val="00560924"/>
    <w:rsid w:val="00560B73"/>
    <w:rsid w:val="00560BE3"/>
    <w:rsid w:val="00560FCB"/>
    <w:rsid w:val="005611F5"/>
    <w:rsid w:val="0056123B"/>
    <w:rsid w:val="0056124D"/>
    <w:rsid w:val="00561B6B"/>
    <w:rsid w:val="00561C00"/>
    <w:rsid w:val="00561CC2"/>
    <w:rsid w:val="00561F7C"/>
    <w:rsid w:val="00562500"/>
    <w:rsid w:val="00562875"/>
    <w:rsid w:val="00562F33"/>
    <w:rsid w:val="005636EE"/>
    <w:rsid w:val="005639AF"/>
    <w:rsid w:val="005642FD"/>
    <w:rsid w:val="005643AC"/>
    <w:rsid w:val="005644EF"/>
    <w:rsid w:val="00564679"/>
    <w:rsid w:val="00564775"/>
    <w:rsid w:val="00564BF8"/>
    <w:rsid w:val="005651C4"/>
    <w:rsid w:val="00565222"/>
    <w:rsid w:val="0056529F"/>
    <w:rsid w:val="00565397"/>
    <w:rsid w:val="0056586D"/>
    <w:rsid w:val="00565B38"/>
    <w:rsid w:val="00565C9F"/>
    <w:rsid w:val="0056609F"/>
    <w:rsid w:val="005661B7"/>
    <w:rsid w:val="005661D3"/>
    <w:rsid w:val="00566264"/>
    <w:rsid w:val="005662A0"/>
    <w:rsid w:val="00566342"/>
    <w:rsid w:val="00566417"/>
    <w:rsid w:val="00566972"/>
    <w:rsid w:val="00566B72"/>
    <w:rsid w:val="00566B7B"/>
    <w:rsid w:val="00567199"/>
    <w:rsid w:val="00567365"/>
    <w:rsid w:val="0056741B"/>
    <w:rsid w:val="005674E9"/>
    <w:rsid w:val="0056753D"/>
    <w:rsid w:val="00567568"/>
    <w:rsid w:val="00567800"/>
    <w:rsid w:val="00567922"/>
    <w:rsid w:val="00567A06"/>
    <w:rsid w:val="00567B00"/>
    <w:rsid w:val="00567BA3"/>
    <w:rsid w:val="00567D3D"/>
    <w:rsid w:val="00567D6B"/>
    <w:rsid w:val="00567EB1"/>
    <w:rsid w:val="005701E9"/>
    <w:rsid w:val="005702F9"/>
    <w:rsid w:val="00570300"/>
    <w:rsid w:val="0057042B"/>
    <w:rsid w:val="00570448"/>
    <w:rsid w:val="00570691"/>
    <w:rsid w:val="00570AD0"/>
    <w:rsid w:val="00570B13"/>
    <w:rsid w:val="00570D5D"/>
    <w:rsid w:val="00570DC6"/>
    <w:rsid w:val="00570E43"/>
    <w:rsid w:val="00570E57"/>
    <w:rsid w:val="00570F34"/>
    <w:rsid w:val="00571170"/>
    <w:rsid w:val="00571309"/>
    <w:rsid w:val="00571418"/>
    <w:rsid w:val="005714B1"/>
    <w:rsid w:val="0057190E"/>
    <w:rsid w:val="0057199B"/>
    <w:rsid w:val="00572008"/>
    <w:rsid w:val="005722BB"/>
    <w:rsid w:val="005725CB"/>
    <w:rsid w:val="005728E0"/>
    <w:rsid w:val="00572A7A"/>
    <w:rsid w:val="00572AC5"/>
    <w:rsid w:val="00572E0B"/>
    <w:rsid w:val="005734B1"/>
    <w:rsid w:val="0057364D"/>
    <w:rsid w:val="005738DB"/>
    <w:rsid w:val="005738DF"/>
    <w:rsid w:val="005739FA"/>
    <w:rsid w:val="00573D1E"/>
    <w:rsid w:val="00573E5D"/>
    <w:rsid w:val="00574327"/>
    <w:rsid w:val="005743C0"/>
    <w:rsid w:val="005747C3"/>
    <w:rsid w:val="00574DA0"/>
    <w:rsid w:val="00574F48"/>
    <w:rsid w:val="0057548F"/>
    <w:rsid w:val="00575B91"/>
    <w:rsid w:val="00575E6F"/>
    <w:rsid w:val="00576151"/>
    <w:rsid w:val="005764C1"/>
    <w:rsid w:val="005765A7"/>
    <w:rsid w:val="005765AA"/>
    <w:rsid w:val="005765FD"/>
    <w:rsid w:val="00576612"/>
    <w:rsid w:val="005769F1"/>
    <w:rsid w:val="00576B42"/>
    <w:rsid w:val="00576E91"/>
    <w:rsid w:val="00577045"/>
    <w:rsid w:val="00577219"/>
    <w:rsid w:val="00577602"/>
    <w:rsid w:val="005776D7"/>
    <w:rsid w:val="00577770"/>
    <w:rsid w:val="00577782"/>
    <w:rsid w:val="005777D7"/>
    <w:rsid w:val="00577B9E"/>
    <w:rsid w:val="00577DD4"/>
    <w:rsid w:val="00577E84"/>
    <w:rsid w:val="00577F34"/>
    <w:rsid w:val="00580308"/>
    <w:rsid w:val="00580392"/>
    <w:rsid w:val="005807B4"/>
    <w:rsid w:val="005810CA"/>
    <w:rsid w:val="00581242"/>
    <w:rsid w:val="005817FC"/>
    <w:rsid w:val="00581969"/>
    <w:rsid w:val="00581A51"/>
    <w:rsid w:val="00581B5C"/>
    <w:rsid w:val="00581BFE"/>
    <w:rsid w:val="00581D4F"/>
    <w:rsid w:val="00581D78"/>
    <w:rsid w:val="00581E00"/>
    <w:rsid w:val="00581ECB"/>
    <w:rsid w:val="0058207D"/>
    <w:rsid w:val="00582186"/>
    <w:rsid w:val="0058233D"/>
    <w:rsid w:val="005823B7"/>
    <w:rsid w:val="005823F3"/>
    <w:rsid w:val="00582929"/>
    <w:rsid w:val="00582C2E"/>
    <w:rsid w:val="00582E04"/>
    <w:rsid w:val="00582E6C"/>
    <w:rsid w:val="0058331F"/>
    <w:rsid w:val="00583B21"/>
    <w:rsid w:val="00583C92"/>
    <w:rsid w:val="00583C99"/>
    <w:rsid w:val="00583CC2"/>
    <w:rsid w:val="00583D1B"/>
    <w:rsid w:val="00583E05"/>
    <w:rsid w:val="0058464E"/>
    <w:rsid w:val="00584678"/>
    <w:rsid w:val="00584885"/>
    <w:rsid w:val="00584977"/>
    <w:rsid w:val="00584B07"/>
    <w:rsid w:val="00584B46"/>
    <w:rsid w:val="00584D1D"/>
    <w:rsid w:val="00584F26"/>
    <w:rsid w:val="00584F2D"/>
    <w:rsid w:val="00585002"/>
    <w:rsid w:val="0058509E"/>
    <w:rsid w:val="0058528A"/>
    <w:rsid w:val="00585411"/>
    <w:rsid w:val="00585478"/>
    <w:rsid w:val="005854FD"/>
    <w:rsid w:val="00585BE9"/>
    <w:rsid w:val="005860D0"/>
    <w:rsid w:val="00586EB1"/>
    <w:rsid w:val="00586F24"/>
    <w:rsid w:val="00586FAF"/>
    <w:rsid w:val="0058717A"/>
    <w:rsid w:val="00587198"/>
    <w:rsid w:val="00587A90"/>
    <w:rsid w:val="00587AA3"/>
    <w:rsid w:val="00587BE0"/>
    <w:rsid w:val="00587EA2"/>
    <w:rsid w:val="005902B2"/>
    <w:rsid w:val="005903A3"/>
    <w:rsid w:val="00590414"/>
    <w:rsid w:val="0059051C"/>
    <w:rsid w:val="00590CF6"/>
    <w:rsid w:val="00590D33"/>
    <w:rsid w:val="00590FF3"/>
    <w:rsid w:val="0059109A"/>
    <w:rsid w:val="0059114A"/>
    <w:rsid w:val="00591535"/>
    <w:rsid w:val="0059177C"/>
    <w:rsid w:val="005917C4"/>
    <w:rsid w:val="005918A8"/>
    <w:rsid w:val="005919E9"/>
    <w:rsid w:val="00591C6B"/>
    <w:rsid w:val="00591E71"/>
    <w:rsid w:val="005924F4"/>
    <w:rsid w:val="0059264D"/>
    <w:rsid w:val="00592835"/>
    <w:rsid w:val="00592931"/>
    <w:rsid w:val="00592C1D"/>
    <w:rsid w:val="00592C26"/>
    <w:rsid w:val="00592D11"/>
    <w:rsid w:val="00592EB2"/>
    <w:rsid w:val="005932B3"/>
    <w:rsid w:val="005933E9"/>
    <w:rsid w:val="0059364D"/>
    <w:rsid w:val="00593686"/>
    <w:rsid w:val="005936C6"/>
    <w:rsid w:val="0059379D"/>
    <w:rsid w:val="005937AA"/>
    <w:rsid w:val="00593A47"/>
    <w:rsid w:val="00594355"/>
    <w:rsid w:val="00594466"/>
    <w:rsid w:val="0059469B"/>
    <w:rsid w:val="0059494F"/>
    <w:rsid w:val="00594C1B"/>
    <w:rsid w:val="00594C24"/>
    <w:rsid w:val="00594C33"/>
    <w:rsid w:val="00594D97"/>
    <w:rsid w:val="00594E12"/>
    <w:rsid w:val="00594F90"/>
    <w:rsid w:val="00595153"/>
    <w:rsid w:val="0059543F"/>
    <w:rsid w:val="005955D0"/>
    <w:rsid w:val="005955D5"/>
    <w:rsid w:val="00595619"/>
    <w:rsid w:val="005957CC"/>
    <w:rsid w:val="0059586E"/>
    <w:rsid w:val="00595C92"/>
    <w:rsid w:val="00595F04"/>
    <w:rsid w:val="00595F1E"/>
    <w:rsid w:val="005960A4"/>
    <w:rsid w:val="0059635A"/>
    <w:rsid w:val="00596452"/>
    <w:rsid w:val="0059689A"/>
    <w:rsid w:val="005968C0"/>
    <w:rsid w:val="00596956"/>
    <w:rsid w:val="00596FCC"/>
    <w:rsid w:val="0059771B"/>
    <w:rsid w:val="00597ABB"/>
    <w:rsid w:val="00597B48"/>
    <w:rsid w:val="00597BC2"/>
    <w:rsid w:val="00597C57"/>
    <w:rsid w:val="00597E28"/>
    <w:rsid w:val="00597FDA"/>
    <w:rsid w:val="005A02B3"/>
    <w:rsid w:val="005A054B"/>
    <w:rsid w:val="005A098B"/>
    <w:rsid w:val="005A0A90"/>
    <w:rsid w:val="005A0C09"/>
    <w:rsid w:val="005A13D8"/>
    <w:rsid w:val="005A14FB"/>
    <w:rsid w:val="005A1C91"/>
    <w:rsid w:val="005A1EE9"/>
    <w:rsid w:val="005A1F7E"/>
    <w:rsid w:val="005A2336"/>
    <w:rsid w:val="005A2465"/>
    <w:rsid w:val="005A253F"/>
    <w:rsid w:val="005A25BD"/>
    <w:rsid w:val="005A2607"/>
    <w:rsid w:val="005A263A"/>
    <w:rsid w:val="005A2730"/>
    <w:rsid w:val="005A2831"/>
    <w:rsid w:val="005A284B"/>
    <w:rsid w:val="005A2BA4"/>
    <w:rsid w:val="005A2C08"/>
    <w:rsid w:val="005A3331"/>
    <w:rsid w:val="005A33FE"/>
    <w:rsid w:val="005A3506"/>
    <w:rsid w:val="005A3700"/>
    <w:rsid w:val="005A38BC"/>
    <w:rsid w:val="005A38EB"/>
    <w:rsid w:val="005A3C0F"/>
    <w:rsid w:val="005A401D"/>
    <w:rsid w:val="005A4333"/>
    <w:rsid w:val="005A4365"/>
    <w:rsid w:val="005A437E"/>
    <w:rsid w:val="005A4413"/>
    <w:rsid w:val="005A499F"/>
    <w:rsid w:val="005A49B2"/>
    <w:rsid w:val="005A49E5"/>
    <w:rsid w:val="005A4A21"/>
    <w:rsid w:val="005A4BE6"/>
    <w:rsid w:val="005A4C03"/>
    <w:rsid w:val="005A4E54"/>
    <w:rsid w:val="005A4FC3"/>
    <w:rsid w:val="005A502F"/>
    <w:rsid w:val="005A51D9"/>
    <w:rsid w:val="005A523B"/>
    <w:rsid w:val="005A523C"/>
    <w:rsid w:val="005A5398"/>
    <w:rsid w:val="005A5831"/>
    <w:rsid w:val="005A593D"/>
    <w:rsid w:val="005A5B4C"/>
    <w:rsid w:val="005A5B5E"/>
    <w:rsid w:val="005A5BAD"/>
    <w:rsid w:val="005A5F37"/>
    <w:rsid w:val="005A63A9"/>
    <w:rsid w:val="005A6CBB"/>
    <w:rsid w:val="005A6CDB"/>
    <w:rsid w:val="005A6D48"/>
    <w:rsid w:val="005A75D3"/>
    <w:rsid w:val="005A77C8"/>
    <w:rsid w:val="005A77E6"/>
    <w:rsid w:val="005A77ED"/>
    <w:rsid w:val="005A7DC9"/>
    <w:rsid w:val="005A7F3A"/>
    <w:rsid w:val="005A7FA7"/>
    <w:rsid w:val="005B009F"/>
    <w:rsid w:val="005B033A"/>
    <w:rsid w:val="005B0745"/>
    <w:rsid w:val="005B0C05"/>
    <w:rsid w:val="005B0DB9"/>
    <w:rsid w:val="005B122F"/>
    <w:rsid w:val="005B12D1"/>
    <w:rsid w:val="005B1434"/>
    <w:rsid w:val="005B1436"/>
    <w:rsid w:val="005B173A"/>
    <w:rsid w:val="005B17F7"/>
    <w:rsid w:val="005B1A23"/>
    <w:rsid w:val="005B1BA9"/>
    <w:rsid w:val="005B1F71"/>
    <w:rsid w:val="005B21DC"/>
    <w:rsid w:val="005B2469"/>
    <w:rsid w:val="005B259A"/>
    <w:rsid w:val="005B2CEC"/>
    <w:rsid w:val="005B2DBC"/>
    <w:rsid w:val="005B2E5B"/>
    <w:rsid w:val="005B32A7"/>
    <w:rsid w:val="005B340F"/>
    <w:rsid w:val="005B3455"/>
    <w:rsid w:val="005B366A"/>
    <w:rsid w:val="005B3991"/>
    <w:rsid w:val="005B39D2"/>
    <w:rsid w:val="005B3B9C"/>
    <w:rsid w:val="005B3E50"/>
    <w:rsid w:val="005B3EF7"/>
    <w:rsid w:val="005B4246"/>
    <w:rsid w:val="005B4552"/>
    <w:rsid w:val="005B470A"/>
    <w:rsid w:val="005B4A96"/>
    <w:rsid w:val="005B4C20"/>
    <w:rsid w:val="005B4EAC"/>
    <w:rsid w:val="005B4FB2"/>
    <w:rsid w:val="005B54D1"/>
    <w:rsid w:val="005B55D6"/>
    <w:rsid w:val="005B5992"/>
    <w:rsid w:val="005B5B71"/>
    <w:rsid w:val="005B5C01"/>
    <w:rsid w:val="005B5C5E"/>
    <w:rsid w:val="005B5E04"/>
    <w:rsid w:val="005B61E6"/>
    <w:rsid w:val="005B63B4"/>
    <w:rsid w:val="005B651E"/>
    <w:rsid w:val="005B68FE"/>
    <w:rsid w:val="005B6AF7"/>
    <w:rsid w:val="005B6C9D"/>
    <w:rsid w:val="005B6DFB"/>
    <w:rsid w:val="005B6E06"/>
    <w:rsid w:val="005B726D"/>
    <w:rsid w:val="005B7346"/>
    <w:rsid w:val="005B749E"/>
    <w:rsid w:val="005B751E"/>
    <w:rsid w:val="005B7589"/>
    <w:rsid w:val="005B7709"/>
    <w:rsid w:val="005B7711"/>
    <w:rsid w:val="005B77B6"/>
    <w:rsid w:val="005B77EA"/>
    <w:rsid w:val="005B7838"/>
    <w:rsid w:val="005B7913"/>
    <w:rsid w:val="005B79C7"/>
    <w:rsid w:val="005B7A13"/>
    <w:rsid w:val="005B7C78"/>
    <w:rsid w:val="005B7CF3"/>
    <w:rsid w:val="005B7F0A"/>
    <w:rsid w:val="005C01C6"/>
    <w:rsid w:val="005C0632"/>
    <w:rsid w:val="005C0ACD"/>
    <w:rsid w:val="005C0BF2"/>
    <w:rsid w:val="005C0DAF"/>
    <w:rsid w:val="005C1098"/>
    <w:rsid w:val="005C1535"/>
    <w:rsid w:val="005C1538"/>
    <w:rsid w:val="005C1557"/>
    <w:rsid w:val="005C1562"/>
    <w:rsid w:val="005C1A16"/>
    <w:rsid w:val="005C1A99"/>
    <w:rsid w:val="005C1BC0"/>
    <w:rsid w:val="005C1D51"/>
    <w:rsid w:val="005C1D7F"/>
    <w:rsid w:val="005C242D"/>
    <w:rsid w:val="005C2731"/>
    <w:rsid w:val="005C27AE"/>
    <w:rsid w:val="005C2865"/>
    <w:rsid w:val="005C28C1"/>
    <w:rsid w:val="005C2AB6"/>
    <w:rsid w:val="005C2CC8"/>
    <w:rsid w:val="005C2E3F"/>
    <w:rsid w:val="005C3053"/>
    <w:rsid w:val="005C31D5"/>
    <w:rsid w:val="005C32A2"/>
    <w:rsid w:val="005C3C82"/>
    <w:rsid w:val="005C3E70"/>
    <w:rsid w:val="005C3F6E"/>
    <w:rsid w:val="005C40DC"/>
    <w:rsid w:val="005C41ED"/>
    <w:rsid w:val="005C4223"/>
    <w:rsid w:val="005C4236"/>
    <w:rsid w:val="005C4603"/>
    <w:rsid w:val="005C47A1"/>
    <w:rsid w:val="005C48B0"/>
    <w:rsid w:val="005C4C54"/>
    <w:rsid w:val="005C4F43"/>
    <w:rsid w:val="005C55C8"/>
    <w:rsid w:val="005C55E1"/>
    <w:rsid w:val="005C583B"/>
    <w:rsid w:val="005C5B88"/>
    <w:rsid w:val="005C5DD6"/>
    <w:rsid w:val="005C5EB6"/>
    <w:rsid w:val="005C5F9B"/>
    <w:rsid w:val="005C62DA"/>
    <w:rsid w:val="005C669C"/>
    <w:rsid w:val="005C66CA"/>
    <w:rsid w:val="005C66FA"/>
    <w:rsid w:val="005C683B"/>
    <w:rsid w:val="005C6B69"/>
    <w:rsid w:val="005C6C2C"/>
    <w:rsid w:val="005C6D61"/>
    <w:rsid w:val="005C6D67"/>
    <w:rsid w:val="005C6EE7"/>
    <w:rsid w:val="005C6F26"/>
    <w:rsid w:val="005C7229"/>
    <w:rsid w:val="005C74A1"/>
    <w:rsid w:val="005C75EA"/>
    <w:rsid w:val="005C7604"/>
    <w:rsid w:val="005C76FB"/>
    <w:rsid w:val="005C7731"/>
    <w:rsid w:val="005C7E3D"/>
    <w:rsid w:val="005D041F"/>
    <w:rsid w:val="005D0507"/>
    <w:rsid w:val="005D05E5"/>
    <w:rsid w:val="005D06A2"/>
    <w:rsid w:val="005D09FD"/>
    <w:rsid w:val="005D0AF8"/>
    <w:rsid w:val="005D0BB9"/>
    <w:rsid w:val="005D0D1A"/>
    <w:rsid w:val="005D0ED1"/>
    <w:rsid w:val="005D1109"/>
    <w:rsid w:val="005D1203"/>
    <w:rsid w:val="005D1256"/>
    <w:rsid w:val="005D131D"/>
    <w:rsid w:val="005D1364"/>
    <w:rsid w:val="005D149B"/>
    <w:rsid w:val="005D177B"/>
    <w:rsid w:val="005D1ACA"/>
    <w:rsid w:val="005D1C3B"/>
    <w:rsid w:val="005D1F1E"/>
    <w:rsid w:val="005D1F36"/>
    <w:rsid w:val="005D204D"/>
    <w:rsid w:val="005D20F3"/>
    <w:rsid w:val="005D219C"/>
    <w:rsid w:val="005D21E6"/>
    <w:rsid w:val="005D2365"/>
    <w:rsid w:val="005D240F"/>
    <w:rsid w:val="005D2ED9"/>
    <w:rsid w:val="005D3245"/>
    <w:rsid w:val="005D3379"/>
    <w:rsid w:val="005D3506"/>
    <w:rsid w:val="005D3851"/>
    <w:rsid w:val="005D391D"/>
    <w:rsid w:val="005D3AAE"/>
    <w:rsid w:val="005D3ADF"/>
    <w:rsid w:val="005D3C11"/>
    <w:rsid w:val="005D3E05"/>
    <w:rsid w:val="005D41B8"/>
    <w:rsid w:val="005D4285"/>
    <w:rsid w:val="005D43D0"/>
    <w:rsid w:val="005D4412"/>
    <w:rsid w:val="005D47D3"/>
    <w:rsid w:val="005D4D1C"/>
    <w:rsid w:val="005D4D74"/>
    <w:rsid w:val="005D4DE1"/>
    <w:rsid w:val="005D4E54"/>
    <w:rsid w:val="005D4ED5"/>
    <w:rsid w:val="005D505A"/>
    <w:rsid w:val="005D52BC"/>
    <w:rsid w:val="005D5430"/>
    <w:rsid w:val="005D548F"/>
    <w:rsid w:val="005D5513"/>
    <w:rsid w:val="005D5910"/>
    <w:rsid w:val="005D592A"/>
    <w:rsid w:val="005D5E3D"/>
    <w:rsid w:val="005D5E4A"/>
    <w:rsid w:val="005D5E54"/>
    <w:rsid w:val="005D6274"/>
    <w:rsid w:val="005D62D1"/>
    <w:rsid w:val="005D6480"/>
    <w:rsid w:val="005D6548"/>
    <w:rsid w:val="005D66CB"/>
    <w:rsid w:val="005D67AC"/>
    <w:rsid w:val="005D67FF"/>
    <w:rsid w:val="005D6D97"/>
    <w:rsid w:val="005D6F16"/>
    <w:rsid w:val="005D6FA3"/>
    <w:rsid w:val="005D703B"/>
    <w:rsid w:val="005D71DD"/>
    <w:rsid w:val="005D751F"/>
    <w:rsid w:val="005D764E"/>
    <w:rsid w:val="005D7796"/>
    <w:rsid w:val="005D795E"/>
    <w:rsid w:val="005D796B"/>
    <w:rsid w:val="005D7AE5"/>
    <w:rsid w:val="005D7AE7"/>
    <w:rsid w:val="005D7D1D"/>
    <w:rsid w:val="005D7DBA"/>
    <w:rsid w:val="005D7EF8"/>
    <w:rsid w:val="005E0455"/>
    <w:rsid w:val="005E075B"/>
    <w:rsid w:val="005E0828"/>
    <w:rsid w:val="005E0A44"/>
    <w:rsid w:val="005E0B48"/>
    <w:rsid w:val="005E0B6F"/>
    <w:rsid w:val="005E0E32"/>
    <w:rsid w:val="005E11A2"/>
    <w:rsid w:val="005E1247"/>
    <w:rsid w:val="005E166F"/>
    <w:rsid w:val="005E1A29"/>
    <w:rsid w:val="005E1B8C"/>
    <w:rsid w:val="005E1F3D"/>
    <w:rsid w:val="005E1FA2"/>
    <w:rsid w:val="005E22F2"/>
    <w:rsid w:val="005E2468"/>
    <w:rsid w:val="005E247C"/>
    <w:rsid w:val="005E24ED"/>
    <w:rsid w:val="005E2659"/>
    <w:rsid w:val="005E2AB4"/>
    <w:rsid w:val="005E2E88"/>
    <w:rsid w:val="005E2F02"/>
    <w:rsid w:val="005E33C8"/>
    <w:rsid w:val="005E345F"/>
    <w:rsid w:val="005E383E"/>
    <w:rsid w:val="005E3888"/>
    <w:rsid w:val="005E3FE0"/>
    <w:rsid w:val="005E4065"/>
    <w:rsid w:val="005E410B"/>
    <w:rsid w:val="005E41AB"/>
    <w:rsid w:val="005E422D"/>
    <w:rsid w:val="005E4255"/>
    <w:rsid w:val="005E4430"/>
    <w:rsid w:val="005E490E"/>
    <w:rsid w:val="005E4982"/>
    <w:rsid w:val="005E49CD"/>
    <w:rsid w:val="005E4AF6"/>
    <w:rsid w:val="005E4CCE"/>
    <w:rsid w:val="005E4D5C"/>
    <w:rsid w:val="005E4E04"/>
    <w:rsid w:val="005E4E2F"/>
    <w:rsid w:val="005E4F0E"/>
    <w:rsid w:val="005E56BE"/>
    <w:rsid w:val="005E5729"/>
    <w:rsid w:val="005E57BE"/>
    <w:rsid w:val="005E583B"/>
    <w:rsid w:val="005E5A64"/>
    <w:rsid w:val="005E60F5"/>
    <w:rsid w:val="005E6239"/>
    <w:rsid w:val="005E670E"/>
    <w:rsid w:val="005E6857"/>
    <w:rsid w:val="005E68A6"/>
    <w:rsid w:val="005E68FF"/>
    <w:rsid w:val="005E7077"/>
    <w:rsid w:val="005E7383"/>
    <w:rsid w:val="005F00C6"/>
    <w:rsid w:val="005F0364"/>
    <w:rsid w:val="005F053E"/>
    <w:rsid w:val="005F0CDB"/>
    <w:rsid w:val="005F0E9E"/>
    <w:rsid w:val="005F1113"/>
    <w:rsid w:val="005F1772"/>
    <w:rsid w:val="005F1791"/>
    <w:rsid w:val="005F1921"/>
    <w:rsid w:val="005F1973"/>
    <w:rsid w:val="005F1A7D"/>
    <w:rsid w:val="005F1B8E"/>
    <w:rsid w:val="005F1E81"/>
    <w:rsid w:val="005F2132"/>
    <w:rsid w:val="005F2386"/>
    <w:rsid w:val="005F23D3"/>
    <w:rsid w:val="005F2962"/>
    <w:rsid w:val="005F2A48"/>
    <w:rsid w:val="005F2A85"/>
    <w:rsid w:val="005F2CAF"/>
    <w:rsid w:val="005F30AC"/>
    <w:rsid w:val="005F310E"/>
    <w:rsid w:val="005F3358"/>
    <w:rsid w:val="005F340E"/>
    <w:rsid w:val="005F34FD"/>
    <w:rsid w:val="005F3B75"/>
    <w:rsid w:val="005F3C3C"/>
    <w:rsid w:val="005F3E8B"/>
    <w:rsid w:val="005F3F08"/>
    <w:rsid w:val="005F400D"/>
    <w:rsid w:val="005F4016"/>
    <w:rsid w:val="005F4129"/>
    <w:rsid w:val="005F4349"/>
    <w:rsid w:val="005F4727"/>
    <w:rsid w:val="005F49F2"/>
    <w:rsid w:val="005F4A5E"/>
    <w:rsid w:val="005F4F73"/>
    <w:rsid w:val="005F5060"/>
    <w:rsid w:val="005F519D"/>
    <w:rsid w:val="005F52EB"/>
    <w:rsid w:val="005F592D"/>
    <w:rsid w:val="005F5A25"/>
    <w:rsid w:val="005F5BCA"/>
    <w:rsid w:val="005F5C2D"/>
    <w:rsid w:val="005F5C6E"/>
    <w:rsid w:val="005F5D09"/>
    <w:rsid w:val="005F6269"/>
    <w:rsid w:val="005F6342"/>
    <w:rsid w:val="005F635C"/>
    <w:rsid w:val="005F63EA"/>
    <w:rsid w:val="005F640A"/>
    <w:rsid w:val="005F6648"/>
    <w:rsid w:val="005F693F"/>
    <w:rsid w:val="005F6C45"/>
    <w:rsid w:val="005F6F56"/>
    <w:rsid w:val="005F70BA"/>
    <w:rsid w:val="005F7504"/>
    <w:rsid w:val="005F77AA"/>
    <w:rsid w:val="005F78D2"/>
    <w:rsid w:val="005F7B32"/>
    <w:rsid w:val="005F7B69"/>
    <w:rsid w:val="005F7C02"/>
    <w:rsid w:val="005F7ED2"/>
    <w:rsid w:val="00600057"/>
    <w:rsid w:val="006001CB"/>
    <w:rsid w:val="0060045B"/>
    <w:rsid w:val="006006C0"/>
    <w:rsid w:val="00600788"/>
    <w:rsid w:val="00600C3D"/>
    <w:rsid w:val="00600E4D"/>
    <w:rsid w:val="0060108D"/>
    <w:rsid w:val="0060118B"/>
    <w:rsid w:val="0060134D"/>
    <w:rsid w:val="0060179A"/>
    <w:rsid w:val="0060191C"/>
    <w:rsid w:val="00601C7C"/>
    <w:rsid w:val="00601E5B"/>
    <w:rsid w:val="0060248F"/>
    <w:rsid w:val="00602651"/>
    <w:rsid w:val="006026CD"/>
    <w:rsid w:val="00602DE4"/>
    <w:rsid w:val="00602FAC"/>
    <w:rsid w:val="00602FC3"/>
    <w:rsid w:val="0060321F"/>
    <w:rsid w:val="006032C3"/>
    <w:rsid w:val="00603468"/>
    <w:rsid w:val="0060382A"/>
    <w:rsid w:val="006042F7"/>
    <w:rsid w:val="00604428"/>
    <w:rsid w:val="0060448A"/>
    <w:rsid w:val="006045DB"/>
    <w:rsid w:val="006046B3"/>
    <w:rsid w:val="00604778"/>
    <w:rsid w:val="00604BB0"/>
    <w:rsid w:val="00604C6D"/>
    <w:rsid w:val="00604EC3"/>
    <w:rsid w:val="0060547D"/>
    <w:rsid w:val="0060566E"/>
    <w:rsid w:val="00605778"/>
    <w:rsid w:val="00605A14"/>
    <w:rsid w:val="00605A27"/>
    <w:rsid w:val="00605AAF"/>
    <w:rsid w:val="00605D44"/>
    <w:rsid w:val="00605E5E"/>
    <w:rsid w:val="006063CA"/>
    <w:rsid w:val="00606760"/>
    <w:rsid w:val="006067B6"/>
    <w:rsid w:val="00606B9A"/>
    <w:rsid w:val="00606BF6"/>
    <w:rsid w:val="00606C69"/>
    <w:rsid w:val="00606E07"/>
    <w:rsid w:val="00606E10"/>
    <w:rsid w:val="00606F28"/>
    <w:rsid w:val="00607155"/>
    <w:rsid w:val="006075E5"/>
    <w:rsid w:val="0060761F"/>
    <w:rsid w:val="0060783A"/>
    <w:rsid w:val="00607ACE"/>
    <w:rsid w:val="00607B02"/>
    <w:rsid w:val="00607BFE"/>
    <w:rsid w:val="00607FF0"/>
    <w:rsid w:val="0061056B"/>
    <w:rsid w:val="00610AEF"/>
    <w:rsid w:val="00610BC4"/>
    <w:rsid w:val="00610D31"/>
    <w:rsid w:val="0061116E"/>
    <w:rsid w:val="00611193"/>
    <w:rsid w:val="00611451"/>
    <w:rsid w:val="00611493"/>
    <w:rsid w:val="006117FF"/>
    <w:rsid w:val="0061216B"/>
    <w:rsid w:val="00612425"/>
    <w:rsid w:val="006124D4"/>
    <w:rsid w:val="0061250B"/>
    <w:rsid w:val="0061269C"/>
    <w:rsid w:val="00612719"/>
    <w:rsid w:val="006127BB"/>
    <w:rsid w:val="006129D6"/>
    <w:rsid w:val="00613630"/>
    <w:rsid w:val="00613733"/>
    <w:rsid w:val="006138E5"/>
    <w:rsid w:val="00613A0B"/>
    <w:rsid w:val="00613A60"/>
    <w:rsid w:val="00613A74"/>
    <w:rsid w:val="00613BEA"/>
    <w:rsid w:val="00613CBD"/>
    <w:rsid w:val="00613D85"/>
    <w:rsid w:val="0061401F"/>
    <w:rsid w:val="006140A6"/>
    <w:rsid w:val="006143D2"/>
    <w:rsid w:val="00614406"/>
    <w:rsid w:val="006146EA"/>
    <w:rsid w:val="0061474C"/>
    <w:rsid w:val="00614A9C"/>
    <w:rsid w:val="00614D05"/>
    <w:rsid w:val="00614FEC"/>
    <w:rsid w:val="006150C9"/>
    <w:rsid w:val="006152D4"/>
    <w:rsid w:val="006155D6"/>
    <w:rsid w:val="00615881"/>
    <w:rsid w:val="00615994"/>
    <w:rsid w:val="00615C25"/>
    <w:rsid w:val="00615C61"/>
    <w:rsid w:val="00615CDA"/>
    <w:rsid w:val="00616199"/>
    <w:rsid w:val="00616305"/>
    <w:rsid w:val="0061630E"/>
    <w:rsid w:val="00616516"/>
    <w:rsid w:val="006167B0"/>
    <w:rsid w:val="00616A82"/>
    <w:rsid w:val="00616AF4"/>
    <w:rsid w:val="00616D3B"/>
    <w:rsid w:val="00616E4C"/>
    <w:rsid w:val="00616F61"/>
    <w:rsid w:val="006171DF"/>
    <w:rsid w:val="0061785D"/>
    <w:rsid w:val="00617A43"/>
    <w:rsid w:val="00617B71"/>
    <w:rsid w:val="00617E98"/>
    <w:rsid w:val="006202D3"/>
    <w:rsid w:val="006205B7"/>
    <w:rsid w:val="006209C7"/>
    <w:rsid w:val="00620BA6"/>
    <w:rsid w:val="00620C78"/>
    <w:rsid w:val="00620DD9"/>
    <w:rsid w:val="00621044"/>
    <w:rsid w:val="00621088"/>
    <w:rsid w:val="00621112"/>
    <w:rsid w:val="0062119D"/>
    <w:rsid w:val="006214A1"/>
    <w:rsid w:val="00621D87"/>
    <w:rsid w:val="00622206"/>
    <w:rsid w:val="006224E1"/>
    <w:rsid w:val="0062273A"/>
    <w:rsid w:val="006229B1"/>
    <w:rsid w:val="006229DF"/>
    <w:rsid w:val="00622A35"/>
    <w:rsid w:val="00622CB5"/>
    <w:rsid w:val="00622F94"/>
    <w:rsid w:val="0062333C"/>
    <w:rsid w:val="00623A44"/>
    <w:rsid w:val="00623A6E"/>
    <w:rsid w:val="00623C36"/>
    <w:rsid w:val="00623D24"/>
    <w:rsid w:val="00623E6D"/>
    <w:rsid w:val="00624126"/>
    <w:rsid w:val="0062496F"/>
    <w:rsid w:val="00624A3B"/>
    <w:rsid w:val="00624BBD"/>
    <w:rsid w:val="00624CF3"/>
    <w:rsid w:val="00624D5C"/>
    <w:rsid w:val="00624EFC"/>
    <w:rsid w:val="006252B6"/>
    <w:rsid w:val="006253A7"/>
    <w:rsid w:val="006256EE"/>
    <w:rsid w:val="0062577B"/>
    <w:rsid w:val="00625A98"/>
    <w:rsid w:val="00625AFC"/>
    <w:rsid w:val="0062603A"/>
    <w:rsid w:val="00626048"/>
    <w:rsid w:val="0062665A"/>
    <w:rsid w:val="00626916"/>
    <w:rsid w:val="006269F4"/>
    <w:rsid w:val="00626A82"/>
    <w:rsid w:val="00626B28"/>
    <w:rsid w:val="00626B5C"/>
    <w:rsid w:val="00626D35"/>
    <w:rsid w:val="006270E0"/>
    <w:rsid w:val="00627318"/>
    <w:rsid w:val="006273C1"/>
    <w:rsid w:val="0062745A"/>
    <w:rsid w:val="006274C5"/>
    <w:rsid w:val="006275E6"/>
    <w:rsid w:val="006277DC"/>
    <w:rsid w:val="00627CF3"/>
    <w:rsid w:val="00627D99"/>
    <w:rsid w:val="00627E08"/>
    <w:rsid w:val="00627EE4"/>
    <w:rsid w:val="00627FFB"/>
    <w:rsid w:val="00630214"/>
    <w:rsid w:val="00630342"/>
    <w:rsid w:val="00630678"/>
    <w:rsid w:val="0063069F"/>
    <w:rsid w:val="006306CD"/>
    <w:rsid w:val="00630A03"/>
    <w:rsid w:val="00630A1A"/>
    <w:rsid w:val="00630C5B"/>
    <w:rsid w:val="00630C75"/>
    <w:rsid w:val="00630D6F"/>
    <w:rsid w:val="00630D86"/>
    <w:rsid w:val="00630E27"/>
    <w:rsid w:val="0063114F"/>
    <w:rsid w:val="00631174"/>
    <w:rsid w:val="0063130C"/>
    <w:rsid w:val="00631346"/>
    <w:rsid w:val="00631689"/>
    <w:rsid w:val="00631852"/>
    <w:rsid w:val="00631979"/>
    <w:rsid w:val="006320A0"/>
    <w:rsid w:val="006323C9"/>
    <w:rsid w:val="00632588"/>
    <w:rsid w:val="0063274E"/>
    <w:rsid w:val="00632761"/>
    <w:rsid w:val="006328F1"/>
    <w:rsid w:val="00632968"/>
    <w:rsid w:val="00632E6C"/>
    <w:rsid w:val="00632ECA"/>
    <w:rsid w:val="00632F10"/>
    <w:rsid w:val="006334B7"/>
    <w:rsid w:val="0063366D"/>
    <w:rsid w:val="00633714"/>
    <w:rsid w:val="006337CB"/>
    <w:rsid w:val="00633D98"/>
    <w:rsid w:val="00633E4D"/>
    <w:rsid w:val="00633ED3"/>
    <w:rsid w:val="00633EF3"/>
    <w:rsid w:val="00634071"/>
    <w:rsid w:val="00634095"/>
    <w:rsid w:val="006340C5"/>
    <w:rsid w:val="006340E0"/>
    <w:rsid w:val="006341F0"/>
    <w:rsid w:val="0063424D"/>
    <w:rsid w:val="00634456"/>
    <w:rsid w:val="0063494C"/>
    <w:rsid w:val="006349B6"/>
    <w:rsid w:val="00634AEB"/>
    <w:rsid w:val="00634EFB"/>
    <w:rsid w:val="00634F68"/>
    <w:rsid w:val="00634F9A"/>
    <w:rsid w:val="006350FA"/>
    <w:rsid w:val="00635305"/>
    <w:rsid w:val="006356FD"/>
    <w:rsid w:val="00635A93"/>
    <w:rsid w:val="00635B6F"/>
    <w:rsid w:val="00635C0B"/>
    <w:rsid w:val="00635DCD"/>
    <w:rsid w:val="00635ED6"/>
    <w:rsid w:val="0063617E"/>
    <w:rsid w:val="006361EF"/>
    <w:rsid w:val="00636316"/>
    <w:rsid w:val="00636492"/>
    <w:rsid w:val="006364E7"/>
    <w:rsid w:val="0063691B"/>
    <w:rsid w:val="00636A55"/>
    <w:rsid w:val="00636BDD"/>
    <w:rsid w:val="00636CFF"/>
    <w:rsid w:val="00636EAC"/>
    <w:rsid w:val="00636F1A"/>
    <w:rsid w:val="00637083"/>
    <w:rsid w:val="0063748C"/>
    <w:rsid w:val="006374A7"/>
    <w:rsid w:val="006378E7"/>
    <w:rsid w:val="00637C9C"/>
    <w:rsid w:val="00637DDE"/>
    <w:rsid w:val="006406E4"/>
    <w:rsid w:val="0064091A"/>
    <w:rsid w:val="00640933"/>
    <w:rsid w:val="0064093A"/>
    <w:rsid w:val="00640B16"/>
    <w:rsid w:val="00640BFF"/>
    <w:rsid w:val="00640C42"/>
    <w:rsid w:val="00640D23"/>
    <w:rsid w:val="00640DF0"/>
    <w:rsid w:val="00640ED9"/>
    <w:rsid w:val="00641041"/>
    <w:rsid w:val="006411CF"/>
    <w:rsid w:val="0064122A"/>
    <w:rsid w:val="006414C8"/>
    <w:rsid w:val="0064152D"/>
    <w:rsid w:val="006417EB"/>
    <w:rsid w:val="00641832"/>
    <w:rsid w:val="00641885"/>
    <w:rsid w:val="00641CC3"/>
    <w:rsid w:val="00641D13"/>
    <w:rsid w:val="00641D4F"/>
    <w:rsid w:val="00642407"/>
    <w:rsid w:val="00642495"/>
    <w:rsid w:val="00642559"/>
    <w:rsid w:val="00642594"/>
    <w:rsid w:val="006425AE"/>
    <w:rsid w:val="006425E9"/>
    <w:rsid w:val="006426B8"/>
    <w:rsid w:val="00642710"/>
    <w:rsid w:val="00642719"/>
    <w:rsid w:val="00642773"/>
    <w:rsid w:val="006429C8"/>
    <w:rsid w:val="00642A10"/>
    <w:rsid w:val="00642C19"/>
    <w:rsid w:val="00642C7B"/>
    <w:rsid w:val="00642ED7"/>
    <w:rsid w:val="00643104"/>
    <w:rsid w:val="00643175"/>
    <w:rsid w:val="006432D5"/>
    <w:rsid w:val="0064368F"/>
    <w:rsid w:val="00643753"/>
    <w:rsid w:val="0064382D"/>
    <w:rsid w:val="0064394C"/>
    <w:rsid w:val="00643BED"/>
    <w:rsid w:val="0064480D"/>
    <w:rsid w:val="006448CD"/>
    <w:rsid w:val="0064495C"/>
    <w:rsid w:val="00644C0D"/>
    <w:rsid w:val="00644EBC"/>
    <w:rsid w:val="00645317"/>
    <w:rsid w:val="00645C61"/>
    <w:rsid w:val="0064602D"/>
    <w:rsid w:val="006460CF"/>
    <w:rsid w:val="006464EA"/>
    <w:rsid w:val="00646695"/>
    <w:rsid w:val="00646B44"/>
    <w:rsid w:val="00646CEC"/>
    <w:rsid w:val="00646DC4"/>
    <w:rsid w:val="00646EFA"/>
    <w:rsid w:val="006473ED"/>
    <w:rsid w:val="006477E7"/>
    <w:rsid w:val="006477EC"/>
    <w:rsid w:val="006478B1"/>
    <w:rsid w:val="00647ABB"/>
    <w:rsid w:val="00647E5D"/>
    <w:rsid w:val="006502C9"/>
    <w:rsid w:val="0065040C"/>
    <w:rsid w:val="0065053C"/>
    <w:rsid w:val="00650605"/>
    <w:rsid w:val="006508D4"/>
    <w:rsid w:val="00650BEA"/>
    <w:rsid w:val="00651429"/>
    <w:rsid w:val="0065145C"/>
    <w:rsid w:val="00651776"/>
    <w:rsid w:val="00651A22"/>
    <w:rsid w:val="00651AEE"/>
    <w:rsid w:val="00651B7C"/>
    <w:rsid w:val="00651BD4"/>
    <w:rsid w:val="00651BEF"/>
    <w:rsid w:val="00651CAA"/>
    <w:rsid w:val="00651E56"/>
    <w:rsid w:val="00651F5E"/>
    <w:rsid w:val="006521A7"/>
    <w:rsid w:val="006521AC"/>
    <w:rsid w:val="006522B9"/>
    <w:rsid w:val="00652334"/>
    <w:rsid w:val="006523ED"/>
    <w:rsid w:val="006525C9"/>
    <w:rsid w:val="006527FB"/>
    <w:rsid w:val="0065281A"/>
    <w:rsid w:val="00652905"/>
    <w:rsid w:val="0065294F"/>
    <w:rsid w:val="006529C2"/>
    <w:rsid w:val="00652A42"/>
    <w:rsid w:val="00652CD7"/>
    <w:rsid w:val="00652DFF"/>
    <w:rsid w:val="00652E54"/>
    <w:rsid w:val="00652FC6"/>
    <w:rsid w:val="00653363"/>
    <w:rsid w:val="00653407"/>
    <w:rsid w:val="0065344F"/>
    <w:rsid w:val="00653652"/>
    <w:rsid w:val="00653720"/>
    <w:rsid w:val="006537EE"/>
    <w:rsid w:val="00653EF8"/>
    <w:rsid w:val="00654305"/>
    <w:rsid w:val="00654451"/>
    <w:rsid w:val="00654773"/>
    <w:rsid w:val="0065477B"/>
    <w:rsid w:val="006547FE"/>
    <w:rsid w:val="00654A73"/>
    <w:rsid w:val="00654C36"/>
    <w:rsid w:val="00654DC7"/>
    <w:rsid w:val="00654F9C"/>
    <w:rsid w:val="006551A0"/>
    <w:rsid w:val="006552B1"/>
    <w:rsid w:val="00655361"/>
    <w:rsid w:val="0065541C"/>
    <w:rsid w:val="006556A1"/>
    <w:rsid w:val="00655A1F"/>
    <w:rsid w:val="00655DBA"/>
    <w:rsid w:val="00655FDF"/>
    <w:rsid w:val="006561CF"/>
    <w:rsid w:val="0065683D"/>
    <w:rsid w:val="00656878"/>
    <w:rsid w:val="006569F5"/>
    <w:rsid w:val="006569FE"/>
    <w:rsid w:val="00656A56"/>
    <w:rsid w:val="00656F18"/>
    <w:rsid w:val="0065704D"/>
    <w:rsid w:val="0065753F"/>
    <w:rsid w:val="00657629"/>
    <w:rsid w:val="006577AE"/>
    <w:rsid w:val="006579F9"/>
    <w:rsid w:val="00657DDE"/>
    <w:rsid w:val="00660030"/>
    <w:rsid w:val="00660128"/>
    <w:rsid w:val="00660AE8"/>
    <w:rsid w:val="00660E94"/>
    <w:rsid w:val="00660F9A"/>
    <w:rsid w:val="00661329"/>
    <w:rsid w:val="006614E2"/>
    <w:rsid w:val="0066152C"/>
    <w:rsid w:val="006616B9"/>
    <w:rsid w:val="006617B2"/>
    <w:rsid w:val="00661F2B"/>
    <w:rsid w:val="006621E9"/>
    <w:rsid w:val="00662361"/>
    <w:rsid w:val="00662401"/>
    <w:rsid w:val="006625BE"/>
    <w:rsid w:val="0066266B"/>
    <w:rsid w:val="00662690"/>
    <w:rsid w:val="00662968"/>
    <w:rsid w:val="00662D2A"/>
    <w:rsid w:val="00662D45"/>
    <w:rsid w:val="00662E41"/>
    <w:rsid w:val="0066306D"/>
    <w:rsid w:val="00663365"/>
    <w:rsid w:val="006633BC"/>
    <w:rsid w:val="00663DDD"/>
    <w:rsid w:val="00663ED9"/>
    <w:rsid w:val="006643B3"/>
    <w:rsid w:val="00664676"/>
    <w:rsid w:val="006646FA"/>
    <w:rsid w:val="00664BBC"/>
    <w:rsid w:val="00664D06"/>
    <w:rsid w:val="00665071"/>
    <w:rsid w:val="006652EE"/>
    <w:rsid w:val="006653CB"/>
    <w:rsid w:val="00665734"/>
    <w:rsid w:val="00665798"/>
    <w:rsid w:val="00665F6F"/>
    <w:rsid w:val="00666428"/>
    <w:rsid w:val="006664D2"/>
    <w:rsid w:val="00666663"/>
    <w:rsid w:val="006669E9"/>
    <w:rsid w:val="00666A10"/>
    <w:rsid w:val="00666E91"/>
    <w:rsid w:val="006670E3"/>
    <w:rsid w:val="00667176"/>
    <w:rsid w:val="006674D4"/>
    <w:rsid w:val="00667599"/>
    <w:rsid w:val="00667656"/>
    <w:rsid w:val="006676A9"/>
    <w:rsid w:val="0066792D"/>
    <w:rsid w:val="00667BAE"/>
    <w:rsid w:val="00667D6B"/>
    <w:rsid w:val="006700D4"/>
    <w:rsid w:val="0067025C"/>
    <w:rsid w:val="0067055C"/>
    <w:rsid w:val="00670598"/>
    <w:rsid w:val="00670A76"/>
    <w:rsid w:val="00670C33"/>
    <w:rsid w:val="00670D16"/>
    <w:rsid w:val="00670D30"/>
    <w:rsid w:val="00670D97"/>
    <w:rsid w:val="00670FBB"/>
    <w:rsid w:val="00671295"/>
    <w:rsid w:val="006713F2"/>
    <w:rsid w:val="00671865"/>
    <w:rsid w:val="00672211"/>
    <w:rsid w:val="0067238F"/>
    <w:rsid w:val="00672423"/>
    <w:rsid w:val="00672A73"/>
    <w:rsid w:val="00672C09"/>
    <w:rsid w:val="0067306E"/>
    <w:rsid w:val="006731A8"/>
    <w:rsid w:val="006734D7"/>
    <w:rsid w:val="00673A5F"/>
    <w:rsid w:val="00673B0E"/>
    <w:rsid w:val="00673B73"/>
    <w:rsid w:val="00673BDA"/>
    <w:rsid w:val="00673CC5"/>
    <w:rsid w:val="00673E76"/>
    <w:rsid w:val="00673E9A"/>
    <w:rsid w:val="00673F4D"/>
    <w:rsid w:val="00674203"/>
    <w:rsid w:val="006744F4"/>
    <w:rsid w:val="00674717"/>
    <w:rsid w:val="00674767"/>
    <w:rsid w:val="00674985"/>
    <w:rsid w:val="00674D3F"/>
    <w:rsid w:val="00674D89"/>
    <w:rsid w:val="00674DF0"/>
    <w:rsid w:val="00674E63"/>
    <w:rsid w:val="00675432"/>
    <w:rsid w:val="00675601"/>
    <w:rsid w:val="00675773"/>
    <w:rsid w:val="0067584D"/>
    <w:rsid w:val="00675A2C"/>
    <w:rsid w:val="00675BC6"/>
    <w:rsid w:val="00675C78"/>
    <w:rsid w:val="00675C9E"/>
    <w:rsid w:val="00676314"/>
    <w:rsid w:val="00676381"/>
    <w:rsid w:val="006767A7"/>
    <w:rsid w:val="006767A8"/>
    <w:rsid w:val="00676A9F"/>
    <w:rsid w:val="00676CF3"/>
    <w:rsid w:val="00676E1F"/>
    <w:rsid w:val="00676EA9"/>
    <w:rsid w:val="006774DE"/>
    <w:rsid w:val="00677726"/>
    <w:rsid w:val="006778D5"/>
    <w:rsid w:val="00677C99"/>
    <w:rsid w:val="00677EDD"/>
    <w:rsid w:val="0068032D"/>
    <w:rsid w:val="006803BA"/>
    <w:rsid w:val="00680696"/>
    <w:rsid w:val="006806B0"/>
    <w:rsid w:val="0068088F"/>
    <w:rsid w:val="0068099F"/>
    <w:rsid w:val="00680F03"/>
    <w:rsid w:val="00680F12"/>
    <w:rsid w:val="00680F94"/>
    <w:rsid w:val="006810DF"/>
    <w:rsid w:val="00681248"/>
    <w:rsid w:val="0068159A"/>
    <w:rsid w:val="006819B0"/>
    <w:rsid w:val="00681BCA"/>
    <w:rsid w:val="00681DA4"/>
    <w:rsid w:val="00682167"/>
    <w:rsid w:val="006823AF"/>
    <w:rsid w:val="00682404"/>
    <w:rsid w:val="006825D0"/>
    <w:rsid w:val="00682BAD"/>
    <w:rsid w:val="00682C93"/>
    <w:rsid w:val="0068302B"/>
    <w:rsid w:val="00683032"/>
    <w:rsid w:val="006831B2"/>
    <w:rsid w:val="00683395"/>
    <w:rsid w:val="0068344E"/>
    <w:rsid w:val="00683A82"/>
    <w:rsid w:val="00683E4D"/>
    <w:rsid w:val="00683FFB"/>
    <w:rsid w:val="006841C0"/>
    <w:rsid w:val="00684612"/>
    <w:rsid w:val="00684637"/>
    <w:rsid w:val="00684829"/>
    <w:rsid w:val="00684C28"/>
    <w:rsid w:val="00685075"/>
    <w:rsid w:val="006852A2"/>
    <w:rsid w:val="0068549C"/>
    <w:rsid w:val="00685517"/>
    <w:rsid w:val="0068579F"/>
    <w:rsid w:val="00685928"/>
    <w:rsid w:val="00685996"/>
    <w:rsid w:val="00685A47"/>
    <w:rsid w:val="00685F8F"/>
    <w:rsid w:val="00685FEE"/>
    <w:rsid w:val="0068605B"/>
    <w:rsid w:val="006863E2"/>
    <w:rsid w:val="006867B7"/>
    <w:rsid w:val="006869D5"/>
    <w:rsid w:val="00686A45"/>
    <w:rsid w:val="00686DC7"/>
    <w:rsid w:val="00686E1F"/>
    <w:rsid w:val="00687637"/>
    <w:rsid w:val="00687B79"/>
    <w:rsid w:val="00687C4B"/>
    <w:rsid w:val="00690226"/>
    <w:rsid w:val="0069098D"/>
    <w:rsid w:val="00690AAD"/>
    <w:rsid w:val="00690C7C"/>
    <w:rsid w:val="00690E4B"/>
    <w:rsid w:val="00690EA8"/>
    <w:rsid w:val="00690FCB"/>
    <w:rsid w:val="00691211"/>
    <w:rsid w:val="00691318"/>
    <w:rsid w:val="00691747"/>
    <w:rsid w:val="006918DB"/>
    <w:rsid w:val="00691CB0"/>
    <w:rsid w:val="00691EE9"/>
    <w:rsid w:val="00691F13"/>
    <w:rsid w:val="00692063"/>
    <w:rsid w:val="0069219B"/>
    <w:rsid w:val="00692313"/>
    <w:rsid w:val="00692492"/>
    <w:rsid w:val="006926DC"/>
    <w:rsid w:val="00692777"/>
    <w:rsid w:val="0069283C"/>
    <w:rsid w:val="0069289F"/>
    <w:rsid w:val="00692AAE"/>
    <w:rsid w:val="00692B8D"/>
    <w:rsid w:val="00692C93"/>
    <w:rsid w:val="00692D56"/>
    <w:rsid w:val="00692F10"/>
    <w:rsid w:val="00692F37"/>
    <w:rsid w:val="0069301C"/>
    <w:rsid w:val="006930A2"/>
    <w:rsid w:val="00693239"/>
    <w:rsid w:val="00693248"/>
    <w:rsid w:val="006932C3"/>
    <w:rsid w:val="0069333B"/>
    <w:rsid w:val="00693604"/>
    <w:rsid w:val="00693697"/>
    <w:rsid w:val="00693865"/>
    <w:rsid w:val="00693ABD"/>
    <w:rsid w:val="00693AC5"/>
    <w:rsid w:val="00693C18"/>
    <w:rsid w:val="006940A6"/>
    <w:rsid w:val="006942F6"/>
    <w:rsid w:val="00694429"/>
    <w:rsid w:val="00694454"/>
    <w:rsid w:val="0069445D"/>
    <w:rsid w:val="00694E81"/>
    <w:rsid w:val="00694F28"/>
    <w:rsid w:val="00695247"/>
    <w:rsid w:val="00695606"/>
    <w:rsid w:val="006957AE"/>
    <w:rsid w:val="00695875"/>
    <w:rsid w:val="006959E7"/>
    <w:rsid w:val="00695A34"/>
    <w:rsid w:val="00695A95"/>
    <w:rsid w:val="00695C25"/>
    <w:rsid w:val="00696041"/>
    <w:rsid w:val="00696340"/>
    <w:rsid w:val="006965AF"/>
    <w:rsid w:val="006965F3"/>
    <w:rsid w:val="0069669E"/>
    <w:rsid w:val="00696828"/>
    <w:rsid w:val="00696837"/>
    <w:rsid w:val="0069689C"/>
    <w:rsid w:val="00696912"/>
    <w:rsid w:val="00696B79"/>
    <w:rsid w:val="00696C01"/>
    <w:rsid w:val="00696D0D"/>
    <w:rsid w:val="00696D1F"/>
    <w:rsid w:val="00696D26"/>
    <w:rsid w:val="00696DAB"/>
    <w:rsid w:val="00696E1A"/>
    <w:rsid w:val="00696E30"/>
    <w:rsid w:val="00696F4D"/>
    <w:rsid w:val="00696FEA"/>
    <w:rsid w:val="0069706A"/>
    <w:rsid w:val="00697249"/>
    <w:rsid w:val="00697662"/>
    <w:rsid w:val="0069779B"/>
    <w:rsid w:val="006979BB"/>
    <w:rsid w:val="00697AF1"/>
    <w:rsid w:val="00697BE0"/>
    <w:rsid w:val="00697CBD"/>
    <w:rsid w:val="006A0212"/>
    <w:rsid w:val="006A05D5"/>
    <w:rsid w:val="006A07F6"/>
    <w:rsid w:val="006A0C9F"/>
    <w:rsid w:val="006A0F11"/>
    <w:rsid w:val="006A125F"/>
    <w:rsid w:val="006A13F8"/>
    <w:rsid w:val="006A1797"/>
    <w:rsid w:val="006A1CBE"/>
    <w:rsid w:val="006A1EFF"/>
    <w:rsid w:val="006A20F4"/>
    <w:rsid w:val="006A2451"/>
    <w:rsid w:val="006A25DF"/>
    <w:rsid w:val="006A275F"/>
    <w:rsid w:val="006A2978"/>
    <w:rsid w:val="006A2B4B"/>
    <w:rsid w:val="006A2C99"/>
    <w:rsid w:val="006A2CA9"/>
    <w:rsid w:val="006A3469"/>
    <w:rsid w:val="006A3580"/>
    <w:rsid w:val="006A38F3"/>
    <w:rsid w:val="006A3B22"/>
    <w:rsid w:val="006A3C24"/>
    <w:rsid w:val="006A3CCB"/>
    <w:rsid w:val="006A3FE3"/>
    <w:rsid w:val="006A4009"/>
    <w:rsid w:val="006A411B"/>
    <w:rsid w:val="006A421A"/>
    <w:rsid w:val="006A44E2"/>
    <w:rsid w:val="006A471B"/>
    <w:rsid w:val="006A4774"/>
    <w:rsid w:val="006A49C0"/>
    <w:rsid w:val="006A4BEC"/>
    <w:rsid w:val="006A5373"/>
    <w:rsid w:val="006A54A5"/>
    <w:rsid w:val="006A57A1"/>
    <w:rsid w:val="006A5939"/>
    <w:rsid w:val="006A5CC1"/>
    <w:rsid w:val="006A62FF"/>
    <w:rsid w:val="006A6613"/>
    <w:rsid w:val="006A66FC"/>
    <w:rsid w:val="006A7A7F"/>
    <w:rsid w:val="006A7D0A"/>
    <w:rsid w:val="006A7E9A"/>
    <w:rsid w:val="006A7F78"/>
    <w:rsid w:val="006B020A"/>
    <w:rsid w:val="006B023F"/>
    <w:rsid w:val="006B02E9"/>
    <w:rsid w:val="006B03C7"/>
    <w:rsid w:val="006B0635"/>
    <w:rsid w:val="006B08AC"/>
    <w:rsid w:val="006B08C4"/>
    <w:rsid w:val="006B0918"/>
    <w:rsid w:val="006B0951"/>
    <w:rsid w:val="006B0C3D"/>
    <w:rsid w:val="006B0D4E"/>
    <w:rsid w:val="006B0DA4"/>
    <w:rsid w:val="006B119A"/>
    <w:rsid w:val="006B1297"/>
    <w:rsid w:val="006B1514"/>
    <w:rsid w:val="006B1586"/>
    <w:rsid w:val="006B16D6"/>
    <w:rsid w:val="006B185E"/>
    <w:rsid w:val="006B1874"/>
    <w:rsid w:val="006B18A2"/>
    <w:rsid w:val="006B1AEA"/>
    <w:rsid w:val="006B1D0A"/>
    <w:rsid w:val="006B1F54"/>
    <w:rsid w:val="006B204C"/>
    <w:rsid w:val="006B2CBE"/>
    <w:rsid w:val="006B30FF"/>
    <w:rsid w:val="006B3261"/>
    <w:rsid w:val="006B3461"/>
    <w:rsid w:val="006B354E"/>
    <w:rsid w:val="006B35AD"/>
    <w:rsid w:val="006B36AF"/>
    <w:rsid w:val="006B3BF2"/>
    <w:rsid w:val="006B3D0F"/>
    <w:rsid w:val="006B3DBA"/>
    <w:rsid w:val="006B417B"/>
    <w:rsid w:val="006B46DF"/>
    <w:rsid w:val="006B4789"/>
    <w:rsid w:val="006B4AF8"/>
    <w:rsid w:val="006B4D68"/>
    <w:rsid w:val="006B4FDA"/>
    <w:rsid w:val="006B503C"/>
    <w:rsid w:val="006B57DA"/>
    <w:rsid w:val="006B588F"/>
    <w:rsid w:val="006B5960"/>
    <w:rsid w:val="006B59DB"/>
    <w:rsid w:val="006B6099"/>
    <w:rsid w:val="006B6593"/>
    <w:rsid w:val="006B662E"/>
    <w:rsid w:val="006B6975"/>
    <w:rsid w:val="006B6A7B"/>
    <w:rsid w:val="006B6AE9"/>
    <w:rsid w:val="006B70D3"/>
    <w:rsid w:val="006B7161"/>
    <w:rsid w:val="006B71A7"/>
    <w:rsid w:val="006B7381"/>
    <w:rsid w:val="006B75A9"/>
    <w:rsid w:val="006B773D"/>
    <w:rsid w:val="006B78AB"/>
    <w:rsid w:val="006B78D0"/>
    <w:rsid w:val="006B7B2B"/>
    <w:rsid w:val="006B7B58"/>
    <w:rsid w:val="006C034A"/>
    <w:rsid w:val="006C0D73"/>
    <w:rsid w:val="006C0DDD"/>
    <w:rsid w:val="006C0EB7"/>
    <w:rsid w:val="006C0F46"/>
    <w:rsid w:val="006C10DC"/>
    <w:rsid w:val="006C116E"/>
    <w:rsid w:val="006C13E2"/>
    <w:rsid w:val="006C183D"/>
    <w:rsid w:val="006C1CEB"/>
    <w:rsid w:val="006C1F8D"/>
    <w:rsid w:val="006C23AA"/>
    <w:rsid w:val="006C2824"/>
    <w:rsid w:val="006C28FA"/>
    <w:rsid w:val="006C2A62"/>
    <w:rsid w:val="006C2AA0"/>
    <w:rsid w:val="006C3058"/>
    <w:rsid w:val="006C349D"/>
    <w:rsid w:val="006C35D3"/>
    <w:rsid w:val="006C365B"/>
    <w:rsid w:val="006C367D"/>
    <w:rsid w:val="006C37E7"/>
    <w:rsid w:val="006C3947"/>
    <w:rsid w:val="006C396A"/>
    <w:rsid w:val="006C3C26"/>
    <w:rsid w:val="006C3C9E"/>
    <w:rsid w:val="006C3D02"/>
    <w:rsid w:val="006C3D85"/>
    <w:rsid w:val="006C3DB0"/>
    <w:rsid w:val="006C408A"/>
    <w:rsid w:val="006C4171"/>
    <w:rsid w:val="006C41D1"/>
    <w:rsid w:val="006C45AD"/>
    <w:rsid w:val="006C4904"/>
    <w:rsid w:val="006C4DC2"/>
    <w:rsid w:val="006C4E86"/>
    <w:rsid w:val="006C4FFA"/>
    <w:rsid w:val="006C515D"/>
    <w:rsid w:val="006C55DE"/>
    <w:rsid w:val="006C5951"/>
    <w:rsid w:val="006C5ABA"/>
    <w:rsid w:val="006C5C89"/>
    <w:rsid w:val="006C5CD0"/>
    <w:rsid w:val="006C5DBE"/>
    <w:rsid w:val="006C617D"/>
    <w:rsid w:val="006C65BC"/>
    <w:rsid w:val="006C65CD"/>
    <w:rsid w:val="006C66ED"/>
    <w:rsid w:val="006C682F"/>
    <w:rsid w:val="006C6E64"/>
    <w:rsid w:val="006C6FF5"/>
    <w:rsid w:val="006C71B9"/>
    <w:rsid w:val="006C73B6"/>
    <w:rsid w:val="006C73CD"/>
    <w:rsid w:val="006C757D"/>
    <w:rsid w:val="006C79B6"/>
    <w:rsid w:val="006C7A07"/>
    <w:rsid w:val="006C7C45"/>
    <w:rsid w:val="006C7FF8"/>
    <w:rsid w:val="006D0FC7"/>
    <w:rsid w:val="006D10BA"/>
    <w:rsid w:val="006D10C5"/>
    <w:rsid w:val="006D1288"/>
    <w:rsid w:val="006D1289"/>
    <w:rsid w:val="006D19A3"/>
    <w:rsid w:val="006D1CFB"/>
    <w:rsid w:val="006D2056"/>
    <w:rsid w:val="006D210C"/>
    <w:rsid w:val="006D2131"/>
    <w:rsid w:val="006D2451"/>
    <w:rsid w:val="006D2494"/>
    <w:rsid w:val="006D25D4"/>
    <w:rsid w:val="006D2771"/>
    <w:rsid w:val="006D27A1"/>
    <w:rsid w:val="006D3046"/>
    <w:rsid w:val="006D326C"/>
    <w:rsid w:val="006D32D3"/>
    <w:rsid w:val="006D371B"/>
    <w:rsid w:val="006D3729"/>
    <w:rsid w:val="006D3AFB"/>
    <w:rsid w:val="006D3CE1"/>
    <w:rsid w:val="006D3D32"/>
    <w:rsid w:val="006D3DED"/>
    <w:rsid w:val="006D3FAB"/>
    <w:rsid w:val="006D4258"/>
    <w:rsid w:val="006D4298"/>
    <w:rsid w:val="006D5147"/>
    <w:rsid w:val="006D52A1"/>
    <w:rsid w:val="006D53AB"/>
    <w:rsid w:val="006D568D"/>
    <w:rsid w:val="006D5773"/>
    <w:rsid w:val="006D5856"/>
    <w:rsid w:val="006D5ABB"/>
    <w:rsid w:val="006D5B7F"/>
    <w:rsid w:val="006D5C68"/>
    <w:rsid w:val="006D62FC"/>
    <w:rsid w:val="006D6370"/>
    <w:rsid w:val="006D6470"/>
    <w:rsid w:val="006D6C69"/>
    <w:rsid w:val="006D6F7B"/>
    <w:rsid w:val="006D7075"/>
    <w:rsid w:val="006D7306"/>
    <w:rsid w:val="006D76A2"/>
    <w:rsid w:val="006D7E15"/>
    <w:rsid w:val="006D7F1D"/>
    <w:rsid w:val="006E0054"/>
    <w:rsid w:val="006E00E8"/>
    <w:rsid w:val="006E01D3"/>
    <w:rsid w:val="006E07EE"/>
    <w:rsid w:val="006E081E"/>
    <w:rsid w:val="006E098C"/>
    <w:rsid w:val="006E0A47"/>
    <w:rsid w:val="006E0B8F"/>
    <w:rsid w:val="006E108B"/>
    <w:rsid w:val="006E1095"/>
    <w:rsid w:val="006E11AB"/>
    <w:rsid w:val="006E136C"/>
    <w:rsid w:val="006E1441"/>
    <w:rsid w:val="006E17BD"/>
    <w:rsid w:val="006E17D9"/>
    <w:rsid w:val="006E1B21"/>
    <w:rsid w:val="006E1C34"/>
    <w:rsid w:val="006E1C8A"/>
    <w:rsid w:val="006E1CB7"/>
    <w:rsid w:val="006E1DD0"/>
    <w:rsid w:val="006E1E12"/>
    <w:rsid w:val="006E1FC7"/>
    <w:rsid w:val="006E200B"/>
    <w:rsid w:val="006E2473"/>
    <w:rsid w:val="006E24A1"/>
    <w:rsid w:val="006E262E"/>
    <w:rsid w:val="006E2A99"/>
    <w:rsid w:val="006E337D"/>
    <w:rsid w:val="006E3404"/>
    <w:rsid w:val="006E3467"/>
    <w:rsid w:val="006E36C6"/>
    <w:rsid w:val="006E381A"/>
    <w:rsid w:val="006E3AEE"/>
    <w:rsid w:val="006E3D43"/>
    <w:rsid w:val="006E45AC"/>
    <w:rsid w:val="006E486B"/>
    <w:rsid w:val="006E4987"/>
    <w:rsid w:val="006E4AB9"/>
    <w:rsid w:val="006E4D13"/>
    <w:rsid w:val="006E4EDF"/>
    <w:rsid w:val="006E5235"/>
    <w:rsid w:val="006E54DB"/>
    <w:rsid w:val="006E5DE2"/>
    <w:rsid w:val="006E611E"/>
    <w:rsid w:val="006E611F"/>
    <w:rsid w:val="006E6262"/>
    <w:rsid w:val="006E6308"/>
    <w:rsid w:val="006E6374"/>
    <w:rsid w:val="006E64DD"/>
    <w:rsid w:val="006E6774"/>
    <w:rsid w:val="006E6783"/>
    <w:rsid w:val="006E67B1"/>
    <w:rsid w:val="006E68BE"/>
    <w:rsid w:val="006E75FD"/>
    <w:rsid w:val="006E7661"/>
    <w:rsid w:val="006E7817"/>
    <w:rsid w:val="006E7D75"/>
    <w:rsid w:val="006E7E54"/>
    <w:rsid w:val="006E7E7B"/>
    <w:rsid w:val="006F0584"/>
    <w:rsid w:val="006F0B66"/>
    <w:rsid w:val="006F0BCE"/>
    <w:rsid w:val="006F0C1A"/>
    <w:rsid w:val="006F0DED"/>
    <w:rsid w:val="006F1104"/>
    <w:rsid w:val="006F1A5A"/>
    <w:rsid w:val="006F1A85"/>
    <w:rsid w:val="006F1AD0"/>
    <w:rsid w:val="006F1B33"/>
    <w:rsid w:val="006F2045"/>
    <w:rsid w:val="006F2091"/>
    <w:rsid w:val="006F23B5"/>
    <w:rsid w:val="006F23FA"/>
    <w:rsid w:val="006F271D"/>
    <w:rsid w:val="006F2873"/>
    <w:rsid w:val="006F2980"/>
    <w:rsid w:val="006F2A3F"/>
    <w:rsid w:val="006F2D8B"/>
    <w:rsid w:val="006F3162"/>
    <w:rsid w:val="006F3180"/>
    <w:rsid w:val="006F33D9"/>
    <w:rsid w:val="006F347B"/>
    <w:rsid w:val="006F34F6"/>
    <w:rsid w:val="006F36AD"/>
    <w:rsid w:val="006F37B2"/>
    <w:rsid w:val="006F37EE"/>
    <w:rsid w:val="006F41E2"/>
    <w:rsid w:val="006F4E0B"/>
    <w:rsid w:val="006F50E2"/>
    <w:rsid w:val="006F548F"/>
    <w:rsid w:val="006F55E0"/>
    <w:rsid w:val="006F566C"/>
    <w:rsid w:val="006F56A9"/>
    <w:rsid w:val="006F57F6"/>
    <w:rsid w:val="006F5A29"/>
    <w:rsid w:val="006F5B77"/>
    <w:rsid w:val="006F5D17"/>
    <w:rsid w:val="006F5FD8"/>
    <w:rsid w:val="006F614F"/>
    <w:rsid w:val="006F62B3"/>
    <w:rsid w:val="006F6336"/>
    <w:rsid w:val="006F647A"/>
    <w:rsid w:val="006F6759"/>
    <w:rsid w:val="006F680D"/>
    <w:rsid w:val="006F6AA9"/>
    <w:rsid w:val="006F6BF6"/>
    <w:rsid w:val="006F6CF8"/>
    <w:rsid w:val="006F705A"/>
    <w:rsid w:val="006F70B7"/>
    <w:rsid w:val="006F7117"/>
    <w:rsid w:val="006F71E7"/>
    <w:rsid w:val="006F7260"/>
    <w:rsid w:val="006F73AF"/>
    <w:rsid w:val="006F73DB"/>
    <w:rsid w:val="006F7A66"/>
    <w:rsid w:val="006F7C60"/>
    <w:rsid w:val="006F7E28"/>
    <w:rsid w:val="006F7EC8"/>
    <w:rsid w:val="0070002A"/>
    <w:rsid w:val="00700256"/>
    <w:rsid w:val="00700526"/>
    <w:rsid w:val="00700BF5"/>
    <w:rsid w:val="00700D6D"/>
    <w:rsid w:val="00700F37"/>
    <w:rsid w:val="00700FD5"/>
    <w:rsid w:val="007012ED"/>
    <w:rsid w:val="0070135F"/>
    <w:rsid w:val="00701477"/>
    <w:rsid w:val="00701596"/>
    <w:rsid w:val="007017DA"/>
    <w:rsid w:val="00702149"/>
    <w:rsid w:val="00702558"/>
    <w:rsid w:val="00702713"/>
    <w:rsid w:val="0070275B"/>
    <w:rsid w:val="007028C6"/>
    <w:rsid w:val="00702AAA"/>
    <w:rsid w:val="00702ADB"/>
    <w:rsid w:val="00702D21"/>
    <w:rsid w:val="00703730"/>
    <w:rsid w:val="0070398A"/>
    <w:rsid w:val="00703A60"/>
    <w:rsid w:val="00704695"/>
    <w:rsid w:val="007049A7"/>
    <w:rsid w:val="00704D9D"/>
    <w:rsid w:val="00704E05"/>
    <w:rsid w:val="007050B5"/>
    <w:rsid w:val="0070525C"/>
    <w:rsid w:val="00705275"/>
    <w:rsid w:val="00705603"/>
    <w:rsid w:val="00705915"/>
    <w:rsid w:val="00706268"/>
    <w:rsid w:val="0070648D"/>
    <w:rsid w:val="00706BBD"/>
    <w:rsid w:val="00707272"/>
    <w:rsid w:val="00707363"/>
    <w:rsid w:val="00707678"/>
    <w:rsid w:val="00710147"/>
    <w:rsid w:val="0071033A"/>
    <w:rsid w:val="007105A9"/>
    <w:rsid w:val="00710600"/>
    <w:rsid w:val="00710834"/>
    <w:rsid w:val="007109D4"/>
    <w:rsid w:val="00710AA7"/>
    <w:rsid w:val="00710D5D"/>
    <w:rsid w:val="00710E99"/>
    <w:rsid w:val="007111C7"/>
    <w:rsid w:val="007112C6"/>
    <w:rsid w:val="007113CC"/>
    <w:rsid w:val="007114C8"/>
    <w:rsid w:val="00711573"/>
    <w:rsid w:val="00711D36"/>
    <w:rsid w:val="00711E86"/>
    <w:rsid w:val="00711EAA"/>
    <w:rsid w:val="00711F5D"/>
    <w:rsid w:val="00712318"/>
    <w:rsid w:val="00712446"/>
    <w:rsid w:val="007126C7"/>
    <w:rsid w:val="00712713"/>
    <w:rsid w:val="00712715"/>
    <w:rsid w:val="007127DF"/>
    <w:rsid w:val="00712A3A"/>
    <w:rsid w:val="00712BC2"/>
    <w:rsid w:val="00712CBA"/>
    <w:rsid w:val="00712F13"/>
    <w:rsid w:val="00712FC4"/>
    <w:rsid w:val="00712FF2"/>
    <w:rsid w:val="00713098"/>
    <w:rsid w:val="00713262"/>
    <w:rsid w:val="0071354F"/>
    <w:rsid w:val="007136EA"/>
    <w:rsid w:val="007137C8"/>
    <w:rsid w:val="007137F3"/>
    <w:rsid w:val="00713B98"/>
    <w:rsid w:val="007144C3"/>
    <w:rsid w:val="0071466D"/>
    <w:rsid w:val="007146CF"/>
    <w:rsid w:val="00714A39"/>
    <w:rsid w:val="00714B81"/>
    <w:rsid w:val="00714F16"/>
    <w:rsid w:val="007150E0"/>
    <w:rsid w:val="007153DD"/>
    <w:rsid w:val="00715D25"/>
    <w:rsid w:val="007161B4"/>
    <w:rsid w:val="007165C0"/>
    <w:rsid w:val="0071664D"/>
    <w:rsid w:val="0071665B"/>
    <w:rsid w:val="007166AA"/>
    <w:rsid w:val="00716BA8"/>
    <w:rsid w:val="00716C3C"/>
    <w:rsid w:val="00716E3F"/>
    <w:rsid w:val="007174C9"/>
    <w:rsid w:val="0071798A"/>
    <w:rsid w:val="00717AEF"/>
    <w:rsid w:val="00717B56"/>
    <w:rsid w:val="00717E7E"/>
    <w:rsid w:val="00717EEE"/>
    <w:rsid w:val="00717EF1"/>
    <w:rsid w:val="007201E3"/>
    <w:rsid w:val="00720374"/>
    <w:rsid w:val="007203BD"/>
    <w:rsid w:val="0072061C"/>
    <w:rsid w:val="00720762"/>
    <w:rsid w:val="007207CC"/>
    <w:rsid w:val="0072081A"/>
    <w:rsid w:val="007208B0"/>
    <w:rsid w:val="00720AAA"/>
    <w:rsid w:val="00720BEE"/>
    <w:rsid w:val="00720DBC"/>
    <w:rsid w:val="00721290"/>
    <w:rsid w:val="007213E9"/>
    <w:rsid w:val="00721966"/>
    <w:rsid w:val="007219B5"/>
    <w:rsid w:val="00721B33"/>
    <w:rsid w:val="00722001"/>
    <w:rsid w:val="007221D7"/>
    <w:rsid w:val="00722224"/>
    <w:rsid w:val="00722361"/>
    <w:rsid w:val="007226AD"/>
    <w:rsid w:val="00722717"/>
    <w:rsid w:val="00722BBF"/>
    <w:rsid w:val="00722BC5"/>
    <w:rsid w:val="00722C9E"/>
    <w:rsid w:val="007230D0"/>
    <w:rsid w:val="007232E8"/>
    <w:rsid w:val="0072336A"/>
    <w:rsid w:val="00723556"/>
    <w:rsid w:val="00723581"/>
    <w:rsid w:val="007236B8"/>
    <w:rsid w:val="00723841"/>
    <w:rsid w:val="00723867"/>
    <w:rsid w:val="00723C80"/>
    <w:rsid w:val="0072405E"/>
    <w:rsid w:val="007244C6"/>
    <w:rsid w:val="007246C4"/>
    <w:rsid w:val="0072480C"/>
    <w:rsid w:val="007249C1"/>
    <w:rsid w:val="00724C45"/>
    <w:rsid w:val="00724E55"/>
    <w:rsid w:val="0072520B"/>
    <w:rsid w:val="0072521B"/>
    <w:rsid w:val="0072529D"/>
    <w:rsid w:val="007253F7"/>
    <w:rsid w:val="00725422"/>
    <w:rsid w:val="00725483"/>
    <w:rsid w:val="00725539"/>
    <w:rsid w:val="00725763"/>
    <w:rsid w:val="007259BE"/>
    <w:rsid w:val="007259C6"/>
    <w:rsid w:val="00726082"/>
    <w:rsid w:val="0072653B"/>
    <w:rsid w:val="00726813"/>
    <w:rsid w:val="00726973"/>
    <w:rsid w:val="00726B15"/>
    <w:rsid w:val="00726D23"/>
    <w:rsid w:val="00726E78"/>
    <w:rsid w:val="00726EB9"/>
    <w:rsid w:val="00727639"/>
    <w:rsid w:val="0072785F"/>
    <w:rsid w:val="00727885"/>
    <w:rsid w:val="00727CB5"/>
    <w:rsid w:val="00727DD8"/>
    <w:rsid w:val="00730608"/>
    <w:rsid w:val="00730774"/>
    <w:rsid w:val="00730C7D"/>
    <w:rsid w:val="00730E8C"/>
    <w:rsid w:val="00730EC6"/>
    <w:rsid w:val="00730FDC"/>
    <w:rsid w:val="0073105F"/>
    <w:rsid w:val="00731113"/>
    <w:rsid w:val="0073124C"/>
    <w:rsid w:val="00731335"/>
    <w:rsid w:val="00731447"/>
    <w:rsid w:val="007315FF"/>
    <w:rsid w:val="0073161A"/>
    <w:rsid w:val="00731687"/>
    <w:rsid w:val="00731715"/>
    <w:rsid w:val="00731835"/>
    <w:rsid w:val="00731856"/>
    <w:rsid w:val="0073198D"/>
    <w:rsid w:val="00731C39"/>
    <w:rsid w:val="00731CF2"/>
    <w:rsid w:val="00731FE7"/>
    <w:rsid w:val="00732410"/>
    <w:rsid w:val="007325DA"/>
    <w:rsid w:val="007325EB"/>
    <w:rsid w:val="00732643"/>
    <w:rsid w:val="007326CD"/>
    <w:rsid w:val="0073284E"/>
    <w:rsid w:val="007329B9"/>
    <w:rsid w:val="00732B7B"/>
    <w:rsid w:val="00733758"/>
    <w:rsid w:val="00733858"/>
    <w:rsid w:val="00733A3D"/>
    <w:rsid w:val="00733E83"/>
    <w:rsid w:val="00733F6E"/>
    <w:rsid w:val="00734081"/>
    <w:rsid w:val="007342A3"/>
    <w:rsid w:val="00734339"/>
    <w:rsid w:val="00734488"/>
    <w:rsid w:val="00734544"/>
    <w:rsid w:val="00734619"/>
    <w:rsid w:val="00734864"/>
    <w:rsid w:val="0073493E"/>
    <w:rsid w:val="00734CFF"/>
    <w:rsid w:val="00734D48"/>
    <w:rsid w:val="007353B2"/>
    <w:rsid w:val="00735798"/>
    <w:rsid w:val="007359AC"/>
    <w:rsid w:val="00735CAD"/>
    <w:rsid w:val="0073607B"/>
    <w:rsid w:val="00736282"/>
    <w:rsid w:val="0073663B"/>
    <w:rsid w:val="007366C3"/>
    <w:rsid w:val="00736735"/>
    <w:rsid w:val="00736813"/>
    <w:rsid w:val="00736D50"/>
    <w:rsid w:val="00736D55"/>
    <w:rsid w:val="0073743B"/>
    <w:rsid w:val="00737906"/>
    <w:rsid w:val="007401CF"/>
    <w:rsid w:val="00740656"/>
    <w:rsid w:val="007406BB"/>
    <w:rsid w:val="007407D7"/>
    <w:rsid w:val="007407F2"/>
    <w:rsid w:val="007408EF"/>
    <w:rsid w:val="007409D0"/>
    <w:rsid w:val="007409FE"/>
    <w:rsid w:val="00740F83"/>
    <w:rsid w:val="00741167"/>
    <w:rsid w:val="00741D69"/>
    <w:rsid w:val="00741F49"/>
    <w:rsid w:val="00741F7C"/>
    <w:rsid w:val="00742147"/>
    <w:rsid w:val="00742222"/>
    <w:rsid w:val="007424D3"/>
    <w:rsid w:val="00742962"/>
    <w:rsid w:val="007429B8"/>
    <w:rsid w:val="00742CAA"/>
    <w:rsid w:val="00742EE3"/>
    <w:rsid w:val="00742FD2"/>
    <w:rsid w:val="00743088"/>
    <w:rsid w:val="0074311E"/>
    <w:rsid w:val="00743306"/>
    <w:rsid w:val="007437E2"/>
    <w:rsid w:val="00743B22"/>
    <w:rsid w:val="00744699"/>
    <w:rsid w:val="00744AE5"/>
    <w:rsid w:val="00744B1D"/>
    <w:rsid w:val="00744D15"/>
    <w:rsid w:val="00745010"/>
    <w:rsid w:val="007453E6"/>
    <w:rsid w:val="0074542C"/>
    <w:rsid w:val="0074557B"/>
    <w:rsid w:val="0074568C"/>
    <w:rsid w:val="00745722"/>
    <w:rsid w:val="0074575B"/>
    <w:rsid w:val="007457AA"/>
    <w:rsid w:val="00745C20"/>
    <w:rsid w:val="00745E83"/>
    <w:rsid w:val="00745F53"/>
    <w:rsid w:val="00745FD5"/>
    <w:rsid w:val="0074616A"/>
    <w:rsid w:val="0074617A"/>
    <w:rsid w:val="007463EE"/>
    <w:rsid w:val="007464C5"/>
    <w:rsid w:val="0074654F"/>
    <w:rsid w:val="00746678"/>
    <w:rsid w:val="007469D2"/>
    <w:rsid w:val="00746A61"/>
    <w:rsid w:val="00746AAF"/>
    <w:rsid w:val="0074727F"/>
    <w:rsid w:val="0074735F"/>
    <w:rsid w:val="00747432"/>
    <w:rsid w:val="007474F8"/>
    <w:rsid w:val="007476CC"/>
    <w:rsid w:val="007476E1"/>
    <w:rsid w:val="007501C0"/>
    <w:rsid w:val="0075022B"/>
    <w:rsid w:val="007508BD"/>
    <w:rsid w:val="00750A76"/>
    <w:rsid w:val="00750AB9"/>
    <w:rsid w:val="00750C3A"/>
    <w:rsid w:val="00750C7A"/>
    <w:rsid w:val="00750FEE"/>
    <w:rsid w:val="00751285"/>
    <w:rsid w:val="00751311"/>
    <w:rsid w:val="0075167C"/>
    <w:rsid w:val="00751962"/>
    <w:rsid w:val="00751BDF"/>
    <w:rsid w:val="00751E48"/>
    <w:rsid w:val="00752112"/>
    <w:rsid w:val="007522A7"/>
    <w:rsid w:val="00752496"/>
    <w:rsid w:val="0075259A"/>
    <w:rsid w:val="0075289F"/>
    <w:rsid w:val="00752912"/>
    <w:rsid w:val="00752D1D"/>
    <w:rsid w:val="00752ECD"/>
    <w:rsid w:val="00753164"/>
    <w:rsid w:val="0075342A"/>
    <w:rsid w:val="00753C17"/>
    <w:rsid w:val="007546E4"/>
    <w:rsid w:val="007546FD"/>
    <w:rsid w:val="00754AFB"/>
    <w:rsid w:val="00754B83"/>
    <w:rsid w:val="00754C37"/>
    <w:rsid w:val="00754D2A"/>
    <w:rsid w:val="00754D6E"/>
    <w:rsid w:val="00754DF8"/>
    <w:rsid w:val="007553DF"/>
    <w:rsid w:val="007554FF"/>
    <w:rsid w:val="0075629C"/>
    <w:rsid w:val="00756B26"/>
    <w:rsid w:val="00756CD1"/>
    <w:rsid w:val="00756F2E"/>
    <w:rsid w:val="007570E3"/>
    <w:rsid w:val="00757631"/>
    <w:rsid w:val="00757705"/>
    <w:rsid w:val="0075796F"/>
    <w:rsid w:val="00757BFE"/>
    <w:rsid w:val="00757D7B"/>
    <w:rsid w:val="00760335"/>
    <w:rsid w:val="0076064D"/>
    <w:rsid w:val="007606D7"/>
    <w:rsid w:val="0076088B"/>
    <w:rsid w:val="00760CE8"/>
    <w:rsid w:val="00760DF3"/>
    <w:rsid w:val="00760F20"/>
    <w:rsid w:val="0076121A"/>
    <w:rsid w:val="0076121B"/>
    <w:rsid w:val="007616CB"/>
    <w:rsid w:val="007616EB"/>
    <w:rsid w:val="00761876"/>
    <w:rsid w:val="007619A8"/>
    <w:rsid w:val="00761C37"/>
    <w:rsid w:val="007620BE"/>
    <w:rsid w:val="007621F6"/>
    <w:rsid w:val="0076240B"/>
    <w:rsid w:val="00762CDC"/>
    <w:rsid w:val="00762D82"/>
    <w:rsid w:val="00762DF3"/>
    <w:rsid w:val="00762E72"/>
    <w:rsid w:val="00762F03"/>
    <w:rsid w:val="00763104"/>
    <w:rsid w:val="00763424"/>
    <w:rsid w:val="00763519"/>
    <w:rsid w:val="00763950"/>
    <w:rsid w:val="00763CDF"/>
    <w:rsid w:val="00763D5E"/>
    <w:rsid w:val="00763F79"/>
    <w:rsid w:val="00764219"/>
    <w:rsid w:val="00764526"/>
    <w:rsid w:val="00764646"/>
    <w:rsid w:val="00764766"/>
    <w:rsid w:val="00764B89"/>
    <w:rsid w:val="00764E27"/>
    <w:rsid w:val="00765758"/>
    <w:rsid w:val="00765A90"/>
    <w:rsid w:val="00765DF5"/>
    <w:rsid w:val="00766139"/>
    <w:rsid w:val="00766142"/>
    <w:rsid w:val="007663F1"/>
    <w:rsid w:val="007667CE"/>
    <w:rsid w:val="00766993"/>
    <w:rsid w:val="00766A33"/>
    <w:rsid w:val="00766AA2"/>
    <w:rsid w:val="00766B4D"/>
    <w:rsid w:val="00766B57"/>
    <w:rsid w:val="0076741F"/>
    <w:rsid w:val="00767478"/>
    <w:rsid w:val="0076749E"/>
    <w:rsid w:val="007676CC"/>
    <w:rsid w:val="00767753"/>
    <w:rsid w:val="0076792E"/>
    <w:rsid w:val="00767B15"/>
    <w:rsid w:val="00767CFE"/>
    <w:rsid w:val="00767D13"/>
    <w:rsid w:val="00767DA0"/>
    <w:rsid w:val="00767ED6"/>
    <w:rsid w:val="00767EF4"/>
    <w:rsid w:val="00770082"/>
    <w:rsid w:val="00770124"/>
    <w:rsid w:val="00770237"/>
    <w:rsid w:val="0077079C"/>
    <w:rsid w:val="00770A65"/>
    <w:rsid w:val="00770C9D"/>
    <w:rsid w:val="00770FEA"/>
    <w:rsid w:val="00770FFF"/>
    <w:rsid w:val="007710D2"/>
    <w:rsid w:val="0077184D"/>
    <w:rsid w:val="00771D3C"/>
    <w:rsid w:val="00771E1F"/>
    <w:rsid w:val="00771F5B"/>
    <w:rsid w:val="0077209D"/>
    <w:rsid w:val="0077233D"/>
    <w:rsid w:val="0077238E"/>
    <w:rsid w:val="007725D5"/>
    <w:rsid w:val="00772725"/>
    <w:rsid w:val="00772E69"/>
    <w:rsid w:val="0077324C"/>
    <w:rsid w:val="007737AD"/>
    <w:rsid w:val="00773804"/>
    <w:rsid w:val="0077380F"/>
    <w:rsid w:val="007738A9"/>
    <w:rsid w:val="00773A3A"/>
    <w:rsid w:val="00773B7C"/>
    <w:rsid w:val="00773C71"/>
    <w:rsid w:val="00773EE2"/>
    <w:rsid w:val="007740B7"/>
    <w:rsid w:val="00774155"/>
    <w:rsid w:val="007742AA"/>
    <w:rsid w:val="00774616"/>
    <w:rsid w:val="0077494D"/>
    <w:rsid w:val="00774A65"/>
    <w:rsid w:val="00774AF7"/>
    <w:rsid w:val="00774CE0"/>
    <w:rsid w:val="00774D5E"/>
    <w:rsid w:val="00774F72"/>
    <w:rsid w:val="00774FE1"/>
    <w:rsid w:val="007750D5"/>
    <w:rsid w:val="007752AA"/>
    <w:rsid w:val="0077554C"/>
    <w:rsid w:val="007759ED"/>
    <w:rsid w:val="00775CB3"/>
    <w:rsid w:val="00775DBE"/>
    <w:rsid w:val="00776004"/>
    <w:rsid w:val="007761E2"/>
    <w:rsid w:val="007764A3"/>
    <w:rsid w:val="00777410"/>
    <w:rsid w:val="00777411"/>
    <w:rsid w:val="00777885"/>
    <w:rsid w:val="00777A7C"/>
    <w:rsid w:val="00777AFF"/>
    <w:rsid w:val="00777BFC"/>
    <w:rsid w:val="00777C16"/>
    <w:rsid w:val="00777C34"/>
    <w:rsid w:val="007800B7"/>
    <w:rsid w:val="007801BE"/>
    <w:rsid w:val="0078029B"/>
    <w:rsid w:val="0078034E"/>
    <w:rsid w:val="00780512"/>
    <w:rsid w:val="00780772"/>
    <w:rsid w:val="00780D49"/>
    <w:rsid w:val="00780EC0"/>
    <w:rsid w:val="007810D3"/>
    <w:rsid w:val="00781147"/>
    <w:rsid w:val="007812E4"/>
    <w:rsid w:val="007812EA"/>
    <w:rsid w:val="007814DC"/>
    <w:rsid w:val="00781554"/>
    <w:rsid w:val="0078159C"/>
    <w:rsid w:val="00781897"/>
    <w:rsid w:val="007819B5"/>
    <w:rsid w:val="00781A07"/>
    <w:rsid w:val="00781A35"/>
    <w:rsid w:val="00781A4F"/>
    <w:rsid w:val="00781C91"/>
    <w:rsid w:val="00781CF3"/>
    <w:rsid w:val="00782488"/>
    <w:rsid w:val="00782AD1"/>
    <w:rsid w:val="00782DC2"/>
    <w:rsid w:val="00783289"/>
    <w:rsid w:val="00783360"/>
    <w:rsid w:val="007834AF"/>
    <w:rsid w:val="0078353F"/>
    <w:rsid w:val="00783AA0"/>
    <w:rsid w:val="00783CEF"/>
    <w:rsid w:val="00783D13"/>
    <w:rsid w:val="00784061"/>
    <w:rsid w:val="0078414A"/>
    <w:rsid w:val="0078434D"/>
    <w:rsid w:val="00784507"/>
    <w:rsid w:val="00784879"/>
    <w:rsid w:val="007849EA"/>
    <w:rsid w:val="00784A9B"/>
    <w:rsid w:val="00785419"/>
    <w:rsid w:val="007855C2"/>
    <w:rsid w:val="007856F3"/>
    <w:rsid w:val="00785856"/>
    <w:rsid w:val="007861CD"/>
    <w:rsid w:val="007861FD"/>
    <w:rsid w:val="007865DA"/>
    <w:rsid w:val="00786934"/>
    <w:rsid w:val="00786961"/>
    <w:rsid w:val="00786B38"/>
    <w:rsid w:val="00786C01"/>
    <w:rsid w:val="00786F5B"/>
    <w:rsid w:val="0078753D"/>
    <w:rsid w:val="00787720"/>
    <w:rsid w:val="00787BEB"/>
    <w:rsid w:val="00787CD7"/>
    <w:rsid w:val="00787E69"/>
    <w:rsid w:val="00787EED"/>
    <w:rsid w:val="007903E6"/>
    <w:rsid w:val="00790409"/>
    <w:rsid w:val="007904B7"/>
    <w:rsid w:val="007907AC"/>
    <w:rsid w:val="007907D2"/>
    <w:rsid w:val="00790AAB"/>
    <w:rsid w:val="00790ADF"/>
    <w:rsid w:val="00790B64"/>
    <w:rsid w:val="00790D3A"/>
    <w:rsid w:val="00791114"/>
    <w:rsid w:val="0079115D"/>
    <w:rsid w:val="007915C6"/>
    <w:rsid w:val="00791D9E"/>
    <w:rsid w:val="00791DBB"/>
    <w:rsid w:val="00792027"/>
    <w:rsid w:val="007925EB"/>
    <w:rsid w:val="0079289D"/>
    <w:rsid w:val="00792AEF"/>
    <w:rsid w:val="00792B03"/>
    <w:rsid w:val="0079310E"/>
    <w:rsid w:val="0079326A"/>
    <w:rsid w:val="0079326C"/>
    <w:rsid w:val="007932BD"/>
    <w:rsid w:val="007933FB"/>
    <w:rsid w:val="007935FD"/>
    <w:rsid w:val="007936D7"/>
    <w:rsid w:val="0079388D"/>
    <w:rsid w:val="0079445C"/>
    <w:rsid w:val="007944C0"/>
    <w:rsid w:val="0079482E"/>
    <w:rsid w:val="00794984"/>
    <w:rsid w:val="007949F8"/>
    <w:rsid w:val="007951ED"/>
    <w:rsid w:val="0079551A"/>
    <w:rsid w:val="00795718"/>
    <w:rsid w:val="007957E4"/>
    <w:rsid w:val="00795843"/>
    <w:rsid w:val="00795E8F"/>
    <w:rsid w:val="00795FF1"/>
    <w:rsid w:val="007960AC"/>
    <w:rsid w:val="0079611A"/>
    <w:rsid w:val="00796138"/>
    <w:rsid w:val="007962E4"/>
    <w:rsid w:val="00796468"/>
    <w:rsid w:val="007965C3"/>
    <w:rsid w:val="00796632"/>
    <w:rsid w:val="007969AE"/>
    <w:rsid w:val="00796BC6"/>
    <w:rsid w:val="00796D88"/>
    <w:rsid w:val="00796FCB"/>
    <w:rsid w:val="00797058"/>
    <w:rsid w:val="00797506"/>
    <w:rsid w:val="00797793"/>
    <w:rsid w:val="00797995"/>
    <w:rsid w:val="007979EE"/>
    <w:rsid w:val="00797A08"/>
    <w:rsid w:val="00797B81"/>
    <w:rsid w:val="007A0240"/>
    <w:rsid w:val="007A02FB"/>
    <w:rsid w:val="007A078C"/>
    <w:rsid w:val="007A08EF"/>
    <w:rsid w:val="007A0AF9"/>
    <w:rsid w:val="007A0CC1"/>
    <w:rsid w:val="007A0DFB"/>
    <w:rsid w:val="007A0FDE"/>
    <w:rsid w:val="007A11B7"/>
    <w:rsid w:val="007A1263"/>
    <w:rsid w:val="007A134E"/>
    <w:rsid w:val="007A1514"/>
    <w:rsid w:val="007A16EC"/>
    <w:rsid w:val="007A1967"/>
    <w:rsid w:val="007A1D5B"/>
    <w:rsid w:val="007A1D67"/>
    <w:rsid w:val="007A1ECC"/>
    <w:rsid w:val="007A1FE3"/>
    <w:rsid w:val="007A2540"/>
    <w:rsid w:val="007A25D9"/>
    <w:rsid w:val="007A27D2"/>
    <w:rsid w:val="007A2812"/>
    <w:rsid w:val="007A281B"/>
    <w:rsid w:val="007A2905"/>
    <w:rsid w:val="007A2AFF"/>
    <w:rsid w:val="007A2D72"/>
    <w:rsid w:val="007A2DA5"/>
    <w:rsid w:val="007A2E2D"/>
    <w:rsid w:val="007A2E95"/>
    <w:rsid w:val="007A2EAE"/>
    <w:rsid w:val="007A32D0"/>
    <w:rsid w:val="007A32FB"/>
    <w:rsid w:val="007A332A"/>
    <w:rsid w:val="007A36C1"/>
    <w:rsid w:val="007A37A5"/>
    <w:rsid w:val="007A3A18"/>
    <w:rsid w:val="007A3C7D"/>
    <w:rsid w:val="007A3E9D"/>
    <w:rsid w:val="007A41D4"/>
    <w:rsid w:val="007A4230"/>
    <w:rsid w:val="007A4458"/>
    <w:rsid w:val="007A46C8"/>
    <w:rsid w:val="007A473B"/>
    <w:rsid w:val="007A4A40"/>
    <w:rsid w:val="007A4B21"/>
    <w:rsid w:val="007A522B"/>
    <w:rsid w:val="007A5341"/>
    <w:rsid w:val="007A56DD"/>
    <w:rsid w:val="007A592E"/>
    <w:rsid w:val="007A5ACE"/>
    <w:rsid w:val="007A5B27"/>
    <w:rsid w:val="007A5C9F"/>
    <w:rsid w:val="007A5F08"/>
    <w:rsid w:val="007A5FA8"/>
    <w:rsid w:val="007A60A7"/>
    <w:rsid w:val="007A635E"/>
    <w:rsid w:val="007A67AF"/>
    <w:rsid w:val="007A699B"/>
    <w:rsid w:val="007A6A2F"/>
    <w:rsid w:val="007A6B1B"/>
    <w:rsid w:val="007A6C4A"/>
    <w:rsid w:val="007A7284"/>
    <w:rsid w:val="007A735D"/>
    <w:rsid w:val="007A7A45"/>
    <w:rsid w:val="007A7CC6"/>
    <w:rsid w:val="007A7D56"/>
    <w:rsid w:val="007A7E9E"/>
    <w:rsid w:val="007B0068"/>
    <w:rsid w:val="007B0CE6"/>
    <w:rsid w:val="007B0EEE"/>
    <w:rsid w:val="007B0FE2"/>
    <w:rsid w:val="007B1051"/>
    <w:rsid w:val="007B156B"/>
    <w:rsid w:val="007B18DC"/>
    <w:rsid w:val="007B18F1"/>
    <w:rsid w:val="007B1B7A"/>
    <w:rsid w:val="007B1CB0"/>
    <w:rsid w:val="007B1E26"/>
    <w:rsid w:val="007B1E2E"/>
    <w:rsid w:val="007B1F8E"/>
    <w:rsid w:val="007B1FE7"/>
    <w:rsid w:val="007B22BE"/>
    <w:rsid w:val="007B2607"/>
    <w:rsid w:val="007B28EE"/>
    <w:rsid w:val="007B295F"/>
    <w:rsid w:val="007B2AE6"/>
    <w:rsid w:val="007B30EA"/>
    <w:rsid w:val="007B3127"/>
    <w:rsid w:val="007B3B08"/>
    <w:rsid w:val="007B3C04"/>
    <w:rsid w:val="007B3CE1"/>
    <w:rsid w:val="007B3D63"/>
    <w:rsid w:val="007B3D98"/>
    <w:rsid w:val="007B3DB0"/>
    <w:rsid w:val="007B3DDD"/>
    <w:rsid w:val="007B3ED3"/>
    <w:rsid w:val="007B41CA"/>
    <w:rsid w:val="007B45D7"/>
    <w:rsid w:val="007B4AE6"/>
    <w:rsid w:val="007B4B3D"/>
    <w:rsid w:val="007B4F0C"/>
    <w:rsid w:val="007B5274"/>
    <w:rsid w:val="007B557C"/>
    <w:rsid w:val="007B5A17"/>
    <w:rsid w:val="007B5BCB"/>
    <w:rsid w:val="007B5BCE"/>
    <w:rsid w:val="007B5D3B"/>
    <w:rsid w:val="007B5F12"/>
    <w:rsid w:val="007B6624"/>
    <w:rsid w:val="007B6946"/>
    <w:rsid w:val="007B6CA2"/>
    <w:rsid w:val="007B6D70"/>
    <w:rsid w:val="007B6EBA"/>
    <w:rsid w:val="007B6EF3"/>
    <w:rsid w:val="007B7161"/>
    <w:rsid w:val="007B72D5"/>
    <w:rsid w:val="007B7C4A"/>
    <w:rsid w:val="007B7E88"/>
    <w:rsid w:val="007C0038"/>
    <w:rsid w:val="007C0A54"/>
    <w:rsid w:val="007C0B80"/>
    <w:rsid w:val="007C12B6"/>
    <w:rsid w:val="007C1707"/>
    <w:rsid w:val="007C1A96"/>
    <w:rsid w:val="007C219E"/>
    <w:rsid w:val="007C2298"/>
    <w:rsid w:val="007C2603"/>
    <w:rsid w:val="007C26E8"/>
    <w:rsid w:val="007C2A04"/>
    <w:rsid w:val="007C2D46"/>
    <w:rsid w:val="007C2E20"/>
    <w:rsid w:val="007C2E38"/>
    <w:rsid w:val="007C2E6E"/>
    <w:rsid w:val="007C30AD"/>
    <w:rsid w:val="007C312B"/>
    <w:rsid w:val="007C31D1"/>
    <w:rsid w:val="007C320D"/>
    <w:rsid w:val="007C3441"/>
    <w:rsid w:val="007C351F"/>
    <w:rsid w:val="007C3545"/>
    <w:rsid w:val="007C37AC"/>
    <w:rsid w:val="007C38EA"/>
    <w:rsid w:val="007C3982"/>
    <w:rsid w:val="007C39BF"/>
    <w:rsid w:val="007C3B48"/>
    <w:rsid w:val="007C3D13"/>
    <w:rsid w:val="007C3D8D"/>
    <w:rsid w:val="007C3E71"/>
    <w:rsid w:val="007C3F89"/>
    <w:rsid w:val="007C4161"/>
    <w:rsid w:val="007C4195"/>
    <w:rsid w:val="007C4498"/>
    <w:rsid w:val="007C451D"/>
    <w:rsid w:val="007C4A28"/>
    <w:rsid w:val="007C4AC3"/>
    <w:rsid w:val="007C4AF3"/>
    <w:rsid w:val="007C4DAF"/>
    <w:rsid w:val="007C591A"/>
    <w:rsid w:val="007C59C7"/>
    <w:rsid w:val="007C5BC3"/>
    <w:rsid w:val="007C5F31"/>
    <w:rsid w:val="007C5FFA"/>
    <w:rsid w:val="007C62FE"/>
    <w:rsid w:val="007C6303"/>
    <w:rsid w:val="007C6790"/>
    <w:rsid w:val="007C693D"/>
    <w:rsid w:val="007C7BF4"/>
    <w:rsid w:val="007C7C7E"/>
    <w:rsid w:val="007C7F8F"/>
    <w:rsid w:val="007C7FED"/>
    <w:rsid w:val="007D0248"/>
    <w:rsid w:val="007D03F3"/>
    <w:rsid w:val="007D0A3F"/>
    <w:rsid w:val="007D0BDE"/>
    <w:rsid w:val="007D0E2D"/>
    <w:rsid w:val="007D106B"/>
    <w:rsid w:val="007D10A1"/>
    <w:rsid w:val="007D16C0"/>
    <w:rsid w:val="007D1765"/>
    <w:rsid w:val="007D18D9"/>
    <w:rsid w:val="007D1B03"/>
    <w:rsid w:val="007D20B7"/>
    <w:rsid w:val="007D22A5"/>
    <w:rsid w:val="007D22BC"/>
    <w:rsid w:val="007D231C"/>
    <w:rsid w:val="007D245C"/>
    <w:rsid w:val="007D2656"/>
    <w:rsid w:val="007D26C5"/>
    <w:rsid w:val="007D27F8"/>
    <w:rsid w:val="007D2954"/>
    <w:rsid w:val="007D2A94"/>
    <w:rsid w:val="007D2B0D"/>
    <w:rsid w:val="007D302B"/>
    <w:rsid w:val="007D3034"/>
    <w:rsid w:val="007D3079"/>
    <w:rsid w:val="007D31A6"/>
    <w:rsid w:val="007D3B89"/>
    <w:rsid w:val="007D3D5F"/>
    <w:rsid w:val="007D4952"/>
    <w:rsid w:val="007D4C6A"/>
    <w:rsid w:val="007D4DC7"/>
    <w:rsid w:val="007D4DC9"/>
    <w:rsid w:val="007D50CE"/>
    <w:rsid w:val="007D527C"/>
    <w:rsid w:val="007D5754"/>
    <w:rsid w:val="007D5BCB"/>
    <w:rsid w:val="007D5CBD"/>
    <w:rsid w:val="007D6046"/>
    <w:rsid w:val="007D62F6"/>
    <w:rsid w:val="007D6824"/>
    <w:rsid w:val="007D6C9C"/>
    <w:rsid w:val="007D6DEC"/>
    <w:rsid w:val="007D6F9E"/>
    <w:rsid w:val="007D7382"/>
    <w:rsid w:val="007D7458"/>
    <w:rsid w:val="007D74AD"/>
    <w:rsid w:val="007D787D"/>
    <w:rsid w:val="007D78A5"/>
    <w:rsid w:val="007D7A83"/>
    <w:rsid w:val="007E0006"/>
    <w:rsid w:val="007E038C"/>
    <w:rsid w:val="007E0483"/>
    <w:rsid w:val="007E059D"/>
    <w:rsid w:val="007E0793"/>
    <w:rsid w:val="007E083C"/>
    <w:rsid w:val="007E0899"/>
    <w:rsid w:val="007E09EC"/>
    <w:rsid w:val="007E09F4"/>
    <w:rsid w:val="007E0A1E"/>
    <w:rsid w:val="007E109D"/>
    <w:rsid w:val="007E1238"/>
    <w:rsid w:val="007E12A7"/>
    <w:rsid w:val="007E14C6"/>
    <w:rsid w:val="007E1620"/>
    <w:rsid w:val="007E17D6"/>
    <w:rsid w:val="007E1917"/>
    <w:rsid w:val="007E1D25"/>
    <w:rsid w:val="007E1E93"/>
    <w:rsid w:val="007E2344"/>
    <w:rsid w:val="007E235D"/>
    <w:rsid w:val="007E23B3"/>
    <w:rsid w:val="007E251A"/>
    <w:rsid w:val="007E281E"/>
    <w:rsid w:val="007E2866"/>
    <w:rsid w:val="007E291F"/>
    <w:rsid w:val="007E29D3"/>
    <w:rsid w:val="007E2C67"/>
    <w:rsid w:val="007E2F68"/>
    <w:rsid w:val="007E2F69"/>
    <w:rsid w:val="007E30F3"/>
    <w:rsid w:val="007E3251"/>
    <w:rsid w:val="007E3301"/>
    <w:rsid w:val="007E36E4"/>
    <w:rsid w:val="007E3761"/>
    <w:rsid w:val="007E3784"/>
    <w:rsid w:val="007E37D9"/>
    <w:rsid w:val="007E380C"/>
    <w:rsid w:val="007E45A9"/>
    <w:rsid w:val="007E4703"/>
    <w:rsid w:val="007E4FFC"/>
    <w:rsid w:val="007E5485"/>
    <w:rsid w:val="007E5C4A"/>
    <w:rsid w:val="007E627A"/>
    <w:rsid w:val="007E63EF"/>
    <w:rsid w:val="007E6686"/>
    <w:rsid w:val="007E68EB"/>
    <w:rsid w:val="007E73ED"/>
    <w:rsid w:val="007E7BB4"/>
    <w:rsid w:val="007E7CA0"/>
    <w:rsid w:val="007E7ED1"/>
    <w:rsid w:val="007E7FE7"/>
    <w:rsid w:val="007F0627"/>
    <w:rsid w:val="007F0849"/>
    <w:rsid w:val="007F0A4D"/>
    <w:rsid w:val="007F0A7F"/>
    <w:rsid w:val="007F0B6E"/>
    <w:rsid w:val="007F0D2A"/>
    <w:rsid w:val="007F0DC0"/>
    <w:rsid w:val="007F0F08"/>
    <w:rsid w:val="007F0F16"/>
    <w:rsid w:val="007F1023"/>
    <w:rsid w:val="007F129E"/>
    <w:rsid w:val="007F195F"/>
    <w:rsid w:val="007F1A8F"/>
    <w:rsid w:val="007F1AC5"/>
    <w:rsid w:val="007F1D0D"/>
    <w:rsid w:val="007F1D2D"/>
    <w:rsid w:val="007F1D8A"/>
    <w:rsid w:val="007F1F51"/>
    <w:rsid w:val="007F2287"/>
    <w:rsid w:val="007F2316"/>
    <w:rsid w:val="007F29D5"/>
    <w:rsid w:val="007F3210"/>
    <w:rsid w:val="007F329C"/>
    <w:rsid w:val="007F3471"/>
    <w:rsid w:val="007F387D"/>
    <w:rsid w:val="007F3897"/>
    <w:rsid w:val="007F3B7B"/>
    <w:rsid w:val="007F3D3C"/>
    <w:rsid w:val="007F3EF0"/>
    <w:rsid w:val="007F3FAF"/>
    <w:rsid w:val="007F4D08"/>
    <w:rsid w:val="007F4E0B"/>
    <w:rsid w:val="007F4FAF"/>
    <w:rsid w:val="007F5154"/>
    <w:rsid w:val="007F53C7"/>
    <w:rsid w:val="007F53FC"/>
    <w:rsid w:val="007F5770"/>
    <w:rsid w:val="007F5870"/>
    <w:rsid w:val="007F5A26"/>
    <w:rsid w:val="007F5E2B"/>
    <w:rsid w:val="007F606B"/>
    <w:rsid w:val="007F60B7"/>
    <w:rsid w:val="007F6174"/>
    <w:rsid w:val="007F63A2"/>
    <w:rsid w:val="007F643A"/>
    <w:rsid w:val="007F6580"/>
    <w:rsid w:val="007F6809"/>
    <w:rsid w:val="007F6A62"/>
    <w:rsid w:val="007F6B38"/>
    <w:rsid w:val="007F6B68"/>
    <w:rsid w:val="007F6B80"/>
    <w:rsid w:val="007F711D"/>
    <w:rsid w:val="007F7228"/>
    <w:rsid w:val="007F75D5"/>
    <w:rsid w:val="007F75F4"/>
    <w:rsid w:val="007F76A2"/>
    <w:rsid w:val="007F78E6"/>
    <w:rsid w:val="007F791F"/>
    <w:rsid w:val="007F7A40"/>
    <w:rsid w:val="007F7C14"/>
    <w:rsid w:val="007F7C33"/>
    <w:rsid w:val="007F7DEB"/>
    <w:rsid w:val="00800443"/>
    <w:rsid w:val="00800560"/>
    <w:rsid w:val="0080059A"/>
    <w:rsid w:val="00800E29"/>
    <w:rsid w:val="00800FDD"/>
    <w:rsid w:val="00801249"/>
    <w:rsid w:val="00801572"/>
    <w:rsid w:val="00801697"/>
    <w:rsid w:val="00801985"/>
    <w:rsid w:val="00801BAC"/>
    <w:rsid w:val="00801D21"/>
    <w:rsid w:val="00801EEB"/>
    <w:rsid w:val="00801FB5"/>
    <w:rsid w:val="0080242F"/>
    <w:rsid w:val="0080260B"/>
    <w:rsid w:val="00802C88"/>
    <w:rsid w:val="00802CD7"/>
    <w:rsid w:val="00802DEF"/>
    <w:rsid w:val="008030C2"/>
    <w:rsid w:val="00803413"/>
    <w:rsid w:val="0080345E"/>
    <w:rsid w:val="00803468"/>
    <w:rsid w:val="0080399F"/>
    <w:rsid w:val="00803A51"/>
    <w:rsid w:val="00803B88"/>
    <w:rsid w:val="00803DC9"/>
    <w:rsid w:val="0080404E"/>
    <w:rsid w:val="008040C3"/>
    <w:rsid w:val="0080429D"/>
    <w:rsid w:val="008042A9"/>
    <w:rsid w:val="008042AF"/>
    <w:rsid w:val="00804556"/>
    <w:rsid w:val="00804843"/>
    <w:rsid w:val="0080495B"/>
    <w:rsid w:val="0080499B"/>
    <w:rsid w:val="00804A13"/>
    <w:rsid w:val="00804A62"/>
    <w:rsid w:val="00804A7E"/>
    <w:rsid w:val="00804AD9"/>
    <w:rsid w:val="008050F9"/>
    <w:rsid w:val="008058FF"/>
    <w:rsid w:val="00805CA4"/>
    <w:rsid w:val="00805D8F"/>
    <w:rsid w:val="008061C9"/>
    <w:rsid w:val="00806CC8"/>
    <w:rsid w:val="00806E9B"/>
    <w:rsid w:val="00806EDA"/>
    <w:rsid w:val="00806F12"/>
    <w:rsid w:val="00806F85"/>
    <w:rsid w:val="00806F97"/>
    <w:rsid w:val="00806FB6"/>
    <w:rsid w:val="00807029"/>
    <w:rsid w:val="008072DA"/>
    <w:rsid w:val="00807819"/>
    <w:rsid w:val="00807C59"/>
    <w:rsid w:val="00807D4B"/>
    <w:rsid w:val="008100AD"/>
    <w:rsid w:val="00810138"/>
    <w:rsid w:val="0081051E"/>
    <w:rsid w:val="00810742"/>
    <w:rsid w:val="008107AE"/>
    <w:rsid w:val="008108C4"/>
    <w:rsid w:val="0081091C"/>
    <w:rsid w:val="00810958"/>
    <w:rsid w:val="00810A93"/>
    <w:rsid w:val="00810DCA"/>
    <w:rsid w:val="008111BD"/>
    <w:rsid w:val="008112B1"/>
    <w:rsid w:val="0081131B"/>
    <w:rsid w:val="008114F5"/>
    <w:rsid w:val="00811E2B"/>
    <w:rsid w:val="00811FCF"/>
    <w:rsid w:val="00812191"/>
    <w:rsid w:val="00812193"/>
    <w:rsid w:val="008123DC"/>
    <w:rsid w:val="00812503"/>
    <w:rsid w:val="0081269A"/>
    <w:rsid w:val="008128CE"/>
    <w:rsid w:val="00812AC3"/>
    <w:rsid w:val="00812C2E"/>
    <w:rsid w:val="008130F7"/>
    <w:rsid w:val="008133E3"/>
    <w:rsid w:val="00813A11"/>
    <w:rsid w:val="00813B2E"/>
    <w:rsid w:val="00813C26"/>
    <w:rsid w:val="00814262"/>
    <w:rsid w:val="008144F6"/>
    <w:rsid w:val="00814590"/>
    <w:rsid w:val="0081472E"/>
    <w:rsid w:val="008148F0"/>
    <w:rsid w:val="00814902"/>
    <w:rsid w:val="00814CEA"/>
    <w:rsid w:val="00814E5E"/>
    <w:rsid w:val="00815344"/>
    <w:rsid w:val="00815437"/>
    <w:rsid w:val="00815987"/>
    <w:rsid w:val="00815EB0"/>
    <w:rsid w:val="00815FF6"/>
    <w:rsid w:val="00816175"/>
    <w:rsid w:val="008162DA"/>
    <w:rsid w:val="00816347"/>
    <w:rsid w:val="008165D9"/>
    <w:rsid w:val="00816696"/>
    <w:rsid w:val="008166EA"/>
    <w:rsid w:val="00816A9B"/>
    <w:rsid w:val="00816AB4"/>
    <w:rsid w:val="00816B9E"/>
    <w:rsid w:val="00816C3A"/>
    <w:rsid w:val="00816CB3"/>
    <w:rsid w:val="00816E38"/>
    <w:rsid w:val="00816F3E"/>
    <w:rsid w:val="00816F8F"/>
    <w:rsid w:val="008170B5"/>
    <w:rsid w:val="0081710A"/>
    <w:rsid w:val="0081712D"/>
    <w:rsid w:val="0081717B"/>
    <w:rsid w:val="00817218"/>
    <w:rsid w:val="008174E6"/>
    <w:rsid w:val="00817739"/>
    <w:rsid w:val="00817968"/>
    <w:rsid w:val="00817A1F"/>
    <w:rsid w:val="00817A22"/>
    <w:rsid w:val="00817A35"/>
    <w:rsid w:val="00817BB6"/>
    <w:rsid w:val="00817E68"/>
    <w:rsid w:val="00817FB9"/>
    <w:rsid w:val="00820211"/>
    <w:rsid w:val="00820290"/>
    <w:rsid w:val="0082068B"/>
    <w:rsid w:val="008206DC"/>
    <w:rsid w:val="00820C14"/>
    <w:rsid w:val="00820CFC"/>
    <w:rsid w:val="00820D58"/>
    <w:rsid w:val="00820EEC"/>
    <w:rsid w:val="008211E5"/>
    <w:rsid w:val="0082159B"/>
    <w:rsid w:val="00821762"/>
    <w:rsid w:val="0082189B"/>
    <w:rsid w:val="008218A0"/>
    <w:rsid w:val="00821ABC"/>
    <w:rsid w:val="00821BEB"/>
    <w:rsid w:val="00821DA0"/>
    <w:rsid w:val="0082233A"/>
    <w:rsid w:val="008225B8"/>
    <w:rsid w:val="0082263A"/>
    <w:rsid w:val="008226DA"/>
    <w:rsid w:val="00822A20"/>
    <w:rsid w:val="00822B80"/>
    <w:rsid w:val="00822C40"/>
    <w:rsid w:val="00822C76"/>
    <w:rsid w:val="00822CA7"/>
    <w:rsid w:val="00822DEF"/>
    <w:rsid w:val="00822E8C"/>
    <w:rsid w:val="008233D8"/>
    <w:rsid w:val="008235F1"/>
    <w:rsid w:val="008239C2"/>
    <w:rsid w:val="00823C72"/>
    <w:rsid w:val="00823CEA"/>
    <w:rsid w:val="00823CF7"/>
    <w:rsid w:val="00823FE2"/>
    <w:rsid w:val="0082401F"/>
    <w:rsid w:val="00824490"/>
    <w:rsid w:val="008244F1"/>
    <w:rsid w:val="0082492C"/>
    <w:rsid w:val="00824966"/>
    <w:rsid w:val="008251F2"/>
    <w:rsid w:val="0082533C"/>
    <w:rsid w:val="00825340"/>
    <w:rsid w:val="008253D8"/>
    <w:rsid w:val="00825B35"/>
    <w:rsid w:val="00825BA8"/>
    <w:rsid w:val="00825C36"/>
    <w:rsid w:val="00825C5C"/>
    <w:rsid w:val="0082604D"/>
    <w:rsid w:val="00826093"/>
    <w:rsid w:val="0082629B"/>
    <w:rsid w:val="00826444"/>
    <w:rsid w:val="00826679"/>
    <w:rsid w:val="00826877"/>
    <w:rsid w:val="008269A3"/>
    <w:rsid w:val="00826A44"/>
    <w:rsid w:val="00826B91"/>
    <w:rsid w:val="00826C64"/>
    <w:rsid w:val="00826E34"/>
    <w:rsid w:val="00827048"/>
    <w:rsid w:val="0082714B"/>
    <w:rsid w:val="00827153"/>
    <w:rsid w:val="00827332"/>
    <w:rsid w:val="008273C5"/>
    <w:rsid w:val="00827591"/>
    <w:rsid w:val="0082779E"/>
    <w:rsid w:val="00827A1D"/>
    <w:rsid w:val="00827B87"/>
    <w:rsid w:val="00827E03"/>
    <w:rsid w:val="00830077"/>
    <w:rsid w:val="008300B4"/>
    <w:rsid w:val="00830135"/>
    <w:rsid w:val="0083052D"/>
    <w:rsid w:val="00830577"/>
    <w:rsid w:val="008305AB"/>
    <w:rsid w:val="00830856"/>
    <w:rsid w:val="008308E5"/>
    <w:rsid w:val="00830A7E"/>
    <w:rsid w:val="00830AFB"/>
    <w:rsid w:val="00830E3A"/>
    <w:rsid w:val="00831005"/>
    <w:rsid w:val="008313DD"/>
    <w:rsid w:val="008317AC"/>
    <w:rsid w:val="008319CA"/>
    <w:rsid w:val="00831C6A"/>
    <w:rsid w:val="00832633"/>
    <w:rsid w:val="0083274C"/>
    <w:rsid w:val="00832880"/>
    <w:rsid w:val="00832D7A"/>
    <w:rsid w:val="00832EED"/>
    <w:rsid w:val="008330F7"/>
    <w:rsid w:val="0083322C"/>
    <w:rsid w:val="008335E6"/>
    <w:rsid w:val="00833853"/>
    <w:rsid w:val="008338B8"/>
    <w:rsid w:val="00833A78"/>
    <w:rsid w:val="00833F56"/>
    <w:rsid w:val="00834076"/>
    <w:rsid w:val="0083425D"/>
    <w:rsid w:val="008342BC"/>
    <w:rsid w:val="008345AC"/>
    <w:rsid w:val="0083476B"/>
    <w:rsid w:val="00834C8E"/>
    <w:rsid w:val="00834EFC"/>
    <w:rsid w:val="008351F4"/>
    <w:rsid w:val="008356BB"/>
    <w:rsid w:val="0083589E"/>
    <w:rsid w:val="00835FB1"/>
    <w:rsid w:val="00836068"/>
    <w:rsid w:val="008362D2"/>
    <w:rsid w:val="008363C0"/>
    <w:rsid w:val="00836425"/>
    <w:rsid w:val="00836521"/>
    <w:rsid w:val="008367E4"/>
    <w:rsid w:val="00836AA3"/>
    <w:rsid w:val="00836AF5"/>
    <w:rsid w:val="00836D7B"/>
    <w:rsid w:val="00836EA8"/>
    <w:rsid w:val="00836EC5"/>
    <w:rsid w:val="0083706C"/>
    <w:rsid w:val="008374A1"/>
    <w:rsid w:val="00837529"/>
    <w:rsid w:val="0083772F"/>
    <w:rsid w:val="008378C3"/>
    <w:rsid w:val="008378F7"/>
    <w:rsid w:val="00837ADF"/>
    <w:rsid w:val="00837C71"/>
    <w:rsid w:val="00837C91"/>
    <w:rsid w:val="00837E29"/>
    <w:rsid w:val="008405CA"/>
    <w:rsid w:val="0084068F"/>
    <w:rsid w:val="00840697"/>
    <w:rsid w:val="0084074F"/>
    <w:rsid w:val="00840BAD"/>
    <w:rsid w:val="00840BC0"/>
    <w:rsid w:val="00840D91"/>
    <w:rsid w:val="00841571"/>
    <w:rsid w:val="008418AE"/>
    <w:rsid w:val="008418D0"/>
    <w:rsid w:val="00841B62"/>
    <w:rsid w:val="00841C9C"/>
    <w:rsid w:val="00841F04"/>
    <w:rsid w:val="00842172"/>
    <w:rsid w:val="00842511"/>
    <w:rsid w:val="008428D2"/>
    <w:rsid w:val="008428F3"/>
    <w:rsid w:val="00842A62"/>
    <w:rsid w:val="00842C05"/>
    <w:rsid w:val="00842F03"/>
    <w:rsid w:val="00843013"/>
    <w:rsid w:val="008434F6"/>
    <w:rsid w:val="008436AF"/>
    <w:rsid w:val="00843BB4"/>
    <w:rsid w:val="00843CE0"/>
    <w:rsid w:val="00843EDA"/>
    <w:rsid w:val="00844369"/>
    <w:rsid w:val="0084441E"/>
    <w:rsid w:val="008445C3"/>
    <w:rsid w:val="0084480D"/>
    <w:rsid w:val="00844B20"/>
    <w:rsid w:val="00845117"/>
    <w:rsid w:val="00845294"/>
    <w:rsid w:val="00845A45"/>
    <w:rsid w:val="00845B3A"/>
    <w:rsid w:val="00845E79"/>
    <w:rsid w:val="00846049"/>
    <w:rsid w:val="008460FC"/>
    <w:rsid w:val="008463B8"/>
    <w:rsid w:val="008464F7"/>
    <w:rsid w:val="008465C7"/>
    <w:rsid w:val="0084695A"/>
    <w:rsid w:val="00846AD3"/>
    <w:rsid w:val="00846C06"/>
    <w:rsid w:val="00846EAB"/>
    <w:rsid w:val="008470C2"/>
    <w:rsid w:val="0084757A"/>
    <w:rsid w:val="00847707"/>
    <w:rsid w:val="008477DC"/>
    <w:rsid w:val="00847931"/>
    <w:rsid w:val="00847C0D"/>
    <w:rsid w:val="00847DC4"/>
    <w:rsid w:val="00847F7F"/>
    <w:rsid w:val="00850150"/>
    <w:rsid w:val="00850213"/>
    <w:rsid w:val="0085047D"/>
    <w:rsid w:val="008504DD"/>
    <w:rsid w:val="0085063B"/>
    <w:rsid w:val="008507C2"/>
    <w:rsid w:val="00850BEF"/>
    <w:rsid w:val="0085115E"/>
    <w:rsid w:val="008512AB"/>
    <w:rsid w:val="008512EE"/>
    <w:rsid w:val="00851344"/>
    <w:rsid w:val="00851768"/>
    <w:rsid w:val="00851790"/>
    <w:rsid w:val="00851847"/>
    <w:rsid w:val="008518A5"/>
    <w:rsid w:val="00851950"/>
    <w:rsid w:val="00851976"/>
    <w:rsid w:val="00851A1B"/>
    <w:rsid w:val="00851A38"/>
    <w:rsid w:val="00851B9A"/>
    <w:rsid w:val="00851BA3"/>
    <w:rsid w:val="00851C59"/>
    <w:rsid w:val="00851CF6"/>
    <w:rsid w:val="00852002"/>
    <w:rsid w:val="00852084"/>
    <w:rsid w:val="008520F1"/>
    <w:rsid w:val="0085237D"/>
    <w:rsid w:val="00852697"/>
    <w:rsid w:val="00852CC1"/>
    <w:rsid w:val="00852E43"/>
    <w:rsid w:val="00852F57"/>
    <w:rsid w:val="008530CF"/>
    <w:rsid w:val="0085341D"/>
    <w:rsid w:val="00853547"/>
    <w:rsid w:val="0085356D"/>
    <w:rsid w:val="00853619"/>
    <w:rsid w:val="0085376F"/>
    <w:rsid w:val="008537DB"/>
    <w:rsid w:val="008537DE"/>
    <w:rsid w:val="008537F5"/>
    <w:rsid w:val="0085388F"/>
    <w:rsid w:val="00853950"/>
    <w:rsid w:val="00853D2E"/>
    <w:rsid w:val="00853E76"/>
    <w:rsid w:val="00853EF8"/>
    <w:rsid w:val="00854199"/>
    <w:rsid w:val="0085448C"/>
    <w:rsid w:val="008544C3"/>
    <w:rsid w:val="008544F4"/>
    <w:rsid w:val="00854701"/>
    <w:rsid w:val="008549A0"/>
    <w:rsid w:val="00854E89"/>
    <w:rsid w:val="00854E9C"/>
    <w:rsid w:val="00854EF3"/>
    <w:rsid w:val="00855107"/>
    <w:rsid w:val="00855145"/>
    <w:rsid w:val="00855308"/>
    <w:rsid w:val="008553A4"/>
    <w:rsid w:val="008554B5"/>
    <w:rsid w:val="00855702"/>
    <w:rsid w:val="0085584D"/>
    <w:rsid w:val="00855B54"/>
    <w:rsid w:val="00855CCA"/>
    <w:rsid w:val="00855D70"/>
    <w:rsid w:val="0085602F"/>
    <w:rsid w:val="008560AD"/>
    <w:rsid w:val="008569D5"/>
    <w:rsid w:val="00856C7E"/>
    <w:rsid w:val="00856E91"/>
    <w:rsid w:val="00856F09"/>
    <w:rsid w:val="00856F9F"/>
    <w:rsid w:val="008575D5"/>
    <w:rsid w:val="0085797A"/>
    <w:rsid w:val="00857A69"/>
    <w:rsid w:val="00857B11"/>
    <w:rsid w:val="00857BA6"/>
    <w:rsid w:val="00860126"/>
    <w:rsid w:val="008601BA"/>
    <w:rsid w:val="0086020F"/>
    <w:rsid w:val="00860865"/>
    <w:rsid w:val="00860B4E"/>
    <w:rsid w:val="00860CFE"/>
    <w:rsid w:val="00860EC5"/>
    <w:rsid w:val="00860F34"/>
    <w:rsid w:val="0086102C"/>
    <w:rsid w:val="00861055"/>
    <w:rsid w:val="00861290"/>
    <w:rsid w:val="00861310"/>
    <w:rsid w:val="00861CD9"/>
    <w:rsid w:val="00861D12"/>
    <w:rsid w:val="00861F00"/>
    <w:rsid w:val="00862034"/>
    <w:rsid w:val="008620F2"/>
    <w:rsid w:val="00862412"/>
    <w:rsid w:val="00862568"/>
    <w:rsid w:val="0086282E"/>
    <w:rsid w:val="00862D63"/>
    <w:rsid w:val="00862FB9"/>
    <w:rsid w:val="00863055"/>
    <w:rsid w:val="00863140"/>
    <w:rsid w:val="00863196"/>
    <w:rsid w:val="008631EC"/>
    <w:rsid w:val="0086337A"/>
    <w:rsid w:val="008635D2"/>
    <w:rsid w:val="00863A29"/>
    <w:rsid w:val="00863A62"/>
    <w:rsid w:val="00863B69"/>
    <w:rsid w:val="00863C6B"/>
    <w:rsid w:val="00863CC9"/>
    <w:rsid w:val="00864119"/>
    <w:rsid w:val="008642F9"/>
    <w:rsid w:val="008643B1"/>
    <w:rsid w:val="0086441E"/>
    <w:rsid w:val="008644B8"/>
    <w:rsid w:val="008645D8"/>
    <w:rsid w:val="0086484E"/>
    <w:rsid w:val="00864F5A"/>
    <w:rsid w:val="00865180"/>
    <w:rsid w:val="00865288"/>
    <w:rsid w:val="00865497"/>
    <w:rsid w:val="00865AE5"/>
    <w:rsid w:val="00865B54"/>
    <w:rsid w:val="0086606F"/>
    <w:rsid w:val="0086628B"/>
    <w:rsid w:val="008663C8"/>
    <w:rsid w:val="00866545"/>
    <w:rsid w:val="00866933"/>
    <w:rsid w:val="00866B19"/>
    <w:rsid w:val="00866B3B"/>
    <w:rsid w:val="00866C3C"/>
    <w:rsid w:val="0086705A"/>
    <w:rsid w:val="008673BF"/>
    <w:rsid w:val="008673C3"/>
    <w:rsid w:val="0086741B"/>
    <w:rsid w:val="0086765B"/>
    <w:rsid w:val="008676C5"/>
    <w:rsid w:val="00867874"/>
    <w:rsid w:val="008678C5"/>
    <w:rsid w:val="00867B45"/>
    <w:rsid w:val="00867ED4"/>
    <w:rsid w:val="00867F86"/>
    <w:rsid w:val="00870009"/>
    <w:rsid w:val="00870256"/>
    <w:rsid w:val="00870393"/>
    <w:rsid w:val="008703DD"/>
    <w:rsid w:val="0087052C"/>
    <w:rsid w:val="0087066B"/>
    <w:rsid w:val="00870980"/>
    <w:rsid w:val="00870AC7"/>
    <w:rsid w:val="00870B32"/>
    <w:rsid w:val="0087107E"/>
    <w:rsid w:val="008710B4"/>
    <w:rsid w:val="0087140C"/>
    <w:rsid w:val="008715CE"/>
    <w:rsid w:val="00871A8D"/>
    <w:rsid w:val="00871AD5"/>
    <w:rsid w:val="00871B65"/>
    <w:rsid w:val="00871D77"/>
    <w:rsid w:val="00871FD4"/>
    <w:rsid w:val="0087219F"/>
    <w:rsid w:val="0087228A"/>
    <w:rsid w:val="00872AB4"/>
    <w:rsid w:val="00872BD0"/>
    <w:rsid w:val="00872DFF"/>
    <w:rsid w:val="00872F34"/>
    <w:rsid w:val="008731E5"/>
    <w:rsid w:val="00873592"/>
    <w:rsid w:val="00873691"/>
    <w:rsid w:val="00873A0D"/>
    <w:rsid w:val="00873D8E"/>
    <w:rsid w:val="00874239"/>
    <w:rsid w:val="008742B9"/>
    <w:rsid w:val="00874341"/>
    <w:rsid w:val="0087464B"/>
    <w:rsid w:val="008748AD"/>
    <w:rsid w:val="008749FC"/>
    <w:rsid w:val="00874BD6"/>
    <w:rsid w:val="00874C29"/>
    <w:rsid w:val="00874D61"/>
    <w:rsid w:val="00874E98"/>
    <w:rsid w:val="00875011"/>
    <w:rsid w:val="008751F9"/>
    <w:rsid w:val="008754B5"/>
    <w:rsid w:val="00875FDE"/>
    <w:rsid w:val="008764D8"/>
    <w:rsid w:val="00876749"/>
    <w:rsid w:val="0087732D"/>
    <w:rsid w:val="008776B6"/>
    <w:rsid w:val="008776BD"/>
    <w:rsid w:val="00877928"/>
    <w:rsid w:val="00877AAF"/>
    <w:rsid w:val="00877BE1"/>
    <w:rsid w:val="00877D0F"/>
    <w:rsid w:val="00877FA6"/>
    <w:rsid w:val="00880269"/>
    <w:rsid w:val="00880348"/>
    <w:rsid w:val="0088072B"/>
    <w:rsid w:val="00880866"/>
    <w:rsid w:val="00880971"/>
    <w:rsid w:val="00880B2D"/>
    <w:rsid w:val="00880CF5"/>
    <w:rsid w:val="00880E70"/>
    <w:rsid w:val="00880EE7"/>
    <w:rsid w:val="00881049"/>
    <w:rsid w:val="00881465"/>
    <w:rsid w:val="00881727"/>
    <w:rsid w:val="00881735"/>
    <w:rsid w:val="00881DD6"/>
    <w:rsid w:val="00881E96"/>
    <w:rsid w:val="008821AD"/>
    <w:rsid w:val="00882454"/>
    <w:rsid w:val="0088264C"/>
    <w:rsid w:val="00882832"/>
    <w:rsid w:val="00882C68"/>
    <w:rsid w:val="00882C7A"/>
    <w:rsid w:val="00882E48"/>
    <w:rsid w:val="00883277"/>
    <w:rsid w:val="008832FE"/>
    <w:rsid w:val="00883956"/>
    <w:rsid w:val="008839F4"/>
    <w:rsid w:val="00883ACD"/>
    <w:rsid w:val="00883CF9"/>
    <w:rsid w:val="0088441C"/>
    <w:rsid w:val="00884578"/>
    <w:rsid w:val="00884639"/>
    <w:rsid w:val="008846DB"/>
    <w:rsid w:val="00884701"/>
    <w:rsid w:val="00884A12"/>
    <w:rsid w:val="00884AF1"/>
    <w:rsid w:val="00884BF2"/>
    <w:rsid w:val="008851A5"/>
    <w:rsid w:val="008851FD"/>
    <w:rsid w:val="008854CB"/>
    <w:rsid w:val="00885765"/>
    <w:rsid w:val="00885A62"/>
    <w:rsid w:val="00885C07"/>
    <w:rsid w:val="00885CB3"/>
    <w:rsid w:val="00885E6B"/>
    <w:rsid w:val="00885E9D"/>
    <w:rsid w:val="00886002"/>
    <w:rsid w:val="0088614D"/>
    <w:rsid w:val="00886153"/>
    <w:rsid w:val="00886295"/>
    <w:rsid w:val="00886441"/>
    <w:rsid w:val="0088652B"/>
    <w:rsid w:val="00886551"/>
    <w:rsid w:val="00886828"/>
    <w:rsid w:val="008868A8"/>
    <w:rsid w:val="00886BBF"/>
    <w:rsid w:val="00886F89"/>
    <w:rsid w:val="00887093"/>
    <w:rsid w:val="00887150"/>
    <w:rsid w:val="008872FB"/>
    <w:rsid w:val="00887322"/>
    <w:rsid w:val="0088745A"/>
    <w:rsid w:val="008875E4"/>
    <w:rsid w:val="00887958"/>
    <w:rsid w:val="00887FAE"/>
    <w:rsid w:val="0089001E"/>
    <w:rsid w:val="00890474"/>
    <w:rsid w:val="008906AE"/>
    <w:rsid w:val="008906EF"/>
    <w:rsid w:val="00890A55"/>
    <w:rsid w:val="00890E05"/>
    <w:rsid w:val="008913E4"/>
    <w:rsid w:val="00891528"/>
    <w:rsid w:val="008915C6"/>
    <w:rsid w:val="00891BC9"/>
    <w:rsid w:val="00891CE1"/>
    <w:rsid w:val="00891D8E"/>
    <w:rsid w:val="0089200A"/>
    <w:rsid w:val="008924A4"/>
    <w:rsid w:val="00892527"/>
    <w:rsid w:val="00892659"/>
    <w:rsid w:val="00892E83"/>
    <w:rsid w:val="00892EBA"/>
    <w:rsid w:val="00893534"/>
    <w:rsid w:val="008935FB"/>
    <w:rsid w:val="00893AA5"/>
    <w:rsid w:val="00893AEF"/>
    <w:rsid w:val="00893BA7"/>
    <w:rsid w:val="00893D26"/>
    <w:rsid w:val="008940A6"/>
    <w:rsid w:val="008943C4"/>
    <w:rsid w:val="00894CC3"/>
    <w:rsid w:val="00894FBE"/>
    <w:rsid w:val="00895436"/>
    <w:rsid w:val="008955B8"/>
    <w:rsid w:val="008955C2"/>
    <w:rsid w:val="008958B3"/>
    <w:rsid w:val="0089593F"/>
    <w:rsid w:val="00895B64"/>
    <w:rsid w:val="00895CB3"/>
    <w:rsid w:val="00895D28"/>
    <w:rsid w:val="00896293"/>
    <w:rsid w:val="00896CE7"/>
    <w:rsid w:val="00896E36"/>
    <w:rsid w:val="00896ED3"/>
    <w:rsid w:val="008970C6"/>
    <w:rsid w:val="00897294"/>
    <w:rsid w:val="00897727"/>
    <w:rsid w:val="00897846"/>
    <w:rsid w:val="0089795C"/>
    <w:rsid w:val="008A0072"/>
    <w:rsid w:val="008A04E2"/>
    <w:rsid w:val="008A0609"/>
    <w:rsid w:val="008A0829"/>
    <w:rsid w:val="008A1050"/>
    <w:rsid w:val="008A1198"/>
    <w:rsid w:val="008A1292"/>
    <w:rsid w:val="008A14DC"/>
    <w:rsid w:val="008A16AA"/>
    <w:rsid w:val="008A1A1B"/>
    <w:rsid w:val="008A1D25"/>
    <w:rsid w:val="008A1EF3"/>
    <w:rsid w:val="008A2251"/>
    <w:rsid w:val="008A24C9"/>
    <w:rsid w:val="008A26CC"/>
    <w:rsid w:val="008A2817"/>
    <w:rsid w:val="008A2856"/>
    <w:rsid w:val="008A2A0A"/>
    <w:rsid w:val="008A310C"/>
    <w:rsid w:val="008A3113"/>
    <w:rsid w:val="008A335D"/>
    <w:rsid w:val="008A3366"/>
    <w:rsid w:val="008A3498"/>
    <w:rsid w:val="008A3581"/>
    <w:rsid w:val="008A381E"/>
    <w:rsid w:val="008A3C1A"/>
    <w:rsid w:val="008A3D31"/>
    <w:rsid w:val="008A4041"/>
    <w:rsid w:val="008A43EB"/>
    <w:rsid w:val="008A467C"/>
    <w:rsid w:val="008A47C9"/>
    <w:rsid w:val="008A4889"/>
    <w:rsid w:val="008A4A0F"/>
    <w:rsid w:val="008A4A5D"/>
    <w:rsid w:val="008A4D96"/>
    <w:rsid w:val="008A4E42"/>
    <w:rsid w:val="008A4F37"/>
    <w:rsid w:val="008A5023"/>
    <w:rsid w:val="008A5164"/>
    <w:rsid w:val="008A519C"/>
    <w:rsid w:val="008A5205"/>
    <w:rsid w:val="008A54B5"/>
    <w:rsid w:val="008A54C6"/>
    <w:rsid w:val="008A56AA"/>
    <w:rsid w:val="008A56F4"/>
    <w:rsid w:val="008A5B5A"/>
    <w:rsid w:val="008A5E01"/>
    <w:rsid w:val="008A5E4D"/>
    <w:rsid w:val="008A5F45"/>
    <w:rsid w:val="008A5FD6"/>
    <w:rsid w:val="008A660C"/>
    <w:rsid w:val="008A6B89"/>
    <w:rsid w:val="008A6D5F"/>
    <w:rsid w:val="008A6F5B"/>
    <w:rsid w:val="008A74C4"/>
    <w:rsid w:val="008A75B4"/>
    <w:rsid w:val="008A7718"/>
    <w:rsid w:val="008A7855"/>
    <w:rsid w:val="008A7B33"/>
    <w:rsid w:val="008A7B70"/>
    <w:rsid w:val="008A7BFF"/>
    <w:rsid w:val="008A7DB4"/>
    <w:rsid w:val="008A7F7C"/>
    <w:rsid w:val="008B014E"/>
    <w:rsid w:val="008B019D"/>
    <w:rsid w:val="008B0221"/>
    <w:rsid w:val="008B029C"/>
    <w:rsid w:val="008B02EA"/>
    <w:rsid w:val="008B0819"/>
    <w:rsid w:val="008B0831"/>
    <w:rsid w:val="008B0F3F"/>
    <w:rsid w:val="008B1176"/>
    <w:rsid w:val="008B11FB"/>
    <w:rsid w:val="008B1215"/>
    <w:rsid w:val="008B121F"/>
    <w:rsid w:val="008B1618"/>
    <w:rsid w:val="008B16DA"/>
    <w:rsid w:val="008B1E19"/>
    <w:rsid w:val="008B1EBC"/>
    <w:rsid w:val="008B210F"/>
    <w:rsid w:val="008B21BC"/>
    <w:rsid w:val="008B21E1"/>
    <w:rsid w:val="008B265A"/>
    <w:rsid w:val="008B2679"/>
    <w:rsid w:val="008B26C1"/>
    <w:rsid w:val="008B26E4"/>
    <w:rsid w:val="008B2C04"/>
    <w:rsid w:val="008B2DF8"/>
    <w:rsid w:val="008B2E9A"/>
    <w:rsid w:val="008B3238"/>
    <w:rsid w:val="008B3524"/>
    <w:rsid w:val="008B355E"/>
    <w:rsid w:val="008B368F"/>
    <w:rsid w:val="008B373E"/>
    <w:rsid w:val="008B3890"/>
    <w:rsid w:val="008B3940"/>
    <w:rsid w:val="008B3967"/>
    <w:rsid w:val="008B3E7D"/>
    <w:rsid w:val="008B3F51"/>
    <w:rsid w:val="008B400F"/>
    <w:rsid w:val="008B40E7"/>
    <w:rsid w:val="008B43DF"/>
    <w:rsid w:val="008B4476"/>
    <w:rsid w:val="008B44C6"/>
    <w:rsid w:val="008B4A58"/>
    <w:rsid w:val="008B4AD7"/>
    <w:rsid w:val="008B4B1C"/>
    <w:rsid w:val="008B4EE5"/>
    <w:rsid w:val="008B4F14"/>
    <w:rsid w:val="008B4F5E"/>
    <w:rsid w:val="008B5105"/>
    <w:rsid w:val="008B54E0"/>
    <w:rsid w:val="008B5566"/>
    <w:rsid w:val="008B5674"/>
    <w:rsid w:val="008B5AB7"/>
    <w:rsid w:val="008B5E1B"/>
    <w:rsid w:val="008B5FD7"/>
    <w:rsid w:val="008B63E4"/>
    <w:rsid w:val="008B65F1"/>
    <w:rsid w:val="008B688F"/>
    <w:rsid w:val="008B6A6E"/>
    <w:rsid w:val="008B6D29"/>
    <w:rsid w:val="008B6D50"/>
    <w:rsid w:val="008B6FEA"/>
    <w:rsid w:val="008B70B9"/>
    <w:rsid w:val="008B76A4"/>
    <w:rsid w:val="008B7991"/>
    <w:rsid w:val="008B7B9F"/>
    <w:rsid w:val="008B7CE5"/>
    <w:rsid w:val="008C00C6"/>
    <w:rsid w:val="008C01A1"/>
    <w:rsid w:val="008C0793"/>
    <w:rsid w:val="008C0811"/>
    <w:rsid w:val="008C09D9"/>
    <w:rsid w:val="008C0AD1"/>
    <w:rsid w:val="008C0CC7"/>
    <w:rsid w:val="008C0E52"/>
    <w:rsid w:val="008C1452"/>
    <w:rsid w:val="008C1507"/>
    <w:rsid w:val="008C1626"/>
    <w:rsid w:val="008C1884"/>
    <w:rsid w:val="008C1A0C"/>
    <w:rsid w:val="008C1C9F"/>
    <w:rsid w:val="008C1CB9"/>
    <w:rsid w:val="008C1D9D"/>
    <w:rsid w:val="008C2406"/>
    <w:rsid w:val="008C2718"/>
    <w:rsid w:val="008C288C"/>
    <w:rsid w:val="008C2E00"/>
    <w:rsid w:val="008C2ED8"/>
    <w:rsid w:val="008C3065"/>
    <w:rsid w:val="008C3543"/>
    <w:rsid w:val="008C3554"/>
    <w:rsid w:val="008C3569"/>
    <w:rsid w:val="008C37F4"/>
    <w:rsid w:val="008C3A07"/>
    <w:rsid w:val="008C3BAC"/>
    <w:rsid w:val="008C3C95"/>
    <w:rsid w:val="008C3D2E"/>
    <w:rsid w:val="008C3D4D"/>
    <w:rsid w:val="008C3E22"/>
    <w:rsid w:val="008C4011"/>
    <w:rsid w:val="008C410A"/>
    <w:rsid w:val="008C454A"/>
    <w:rsid w:val="008C4735"/>
    <w:rsid w:val="008C4789"/>
    <w:rsid w:val="008C4AA7"/>
    <w:rsid w:val="008C4B17"/>
    <w:rsid w:val="008C4C5B"/>
    <w:rsid w:val="008C4D6A"/>
    <w:rsid w:val="008C4F28"/>
    <w:rsid w:val="008C5238"/>
    <w:rsid w:val="008C52C7"/>
    <w:rsid w:val="008C530A"/>
    <w:rsid w:val="008C554D"/>
    <w:rsid w:val="008C56AE"/>
    <w:rsid w:val="008C5754"/>
    <w:rsid w:val="008C57C2"/>
    <w:rsid w:val="008C59F4"/>
    <w:rsid w:val="008C5A29"/>
    <w:rsid w:val="008C5B8F"/>
    <w:rsid w:val="008C5D6D"/>
    <w:rsid w:val="008C5F2C"/>
    <w:rsid w:val="008C6036"/>
    <w:rsid w:val="008C630D"/>
    <w:rsid w:val="008C641F"/>
    <w:rsid w:val="008C642B"/>
    <w:rsid w:val="008C67EE"/>
    <w:rsid w:val="008C6A6F"/>
    <w:rsid w:val="008C7228"/>
    <w:rsid w:val="008C727B"/>
    <w:rsid w:val="008C7282"/>
    <w:rsid w:val="008C7471"/>
    <w:rsid w:val="008C7497"/>
    <w:rsid w:val="008C76D7"/>
    <w:rsid w:val="008C77EC"/>
    <w:rsid w:val="008C7BBF"/>
    <w:rsid w:val="008C7CD1"/>
    <w:rsid w:val="008C7FF9"/>
    <w:rsid w:val="008D0078"/>
    <w:rsid w:val="008D00F9"/>
    <w:rsid w:val="008D016F"/>
    <w:rsid w:val="008D044F"/>
    <w:rsid w:val="008D061E"/>
    <w:rsid w:val="008D08E4"/>
    <w:rsid w:val="008D0A5A"/>
    <w:rsid w:val="008D0B24"/>
    <w:rsid w:val="008D0B50"/>
    <w:rsid w:val="008D0B64"/>
    <w:rsid w:val="008D1094"/>
    <w:rsid w:val="008D1446"/>
    <w:rsid w:val="008D14DC"/>
    <w:rsid w:val="008D15F5"/>
    <w:rsid w:val="008D1833"/>
    <w:rsid w:val="008D1AFF"/>
    <w:rsid w:val="008D1B4B"/>
    <w:rsid w:val="008D1BB0"/>
    <w:rsid w:val="008D1C43"/>
    <w:rsid w:val="008D2109"/>
    <w:rsid w:val="008D2137"/>
    <w:rsid w:val="008D2176"/>
    <w:rsid w:val="008D22C4"/>
    <w:rsid w:val="008D232C"/>
    <w:rsid w:val="008D24DE"/>
    <w:rsid w:val="008D254D"/>
    <w:rsid w:val="008D2E9A"/>
    <w:rsid w:val="008D3026"/>
    <w:rsid w:val="008D306E"/>
    <w:rsid w:val="008D3198"/>
    <w:rsid w:val="008D3566"/>
    <w:rsid w:val="008D377A"/>
    <w:rsid w:val="008D3869"/>
    <w:rsid w:val="008D39DD"/>
    <w:rsid w:val="008D3B2B"/>
    <w:rsid w:val="008D3B46"/>
    <w:rsid w:val="008D3B61"/>
    <w:rsid w:val="008D3BD3"/>
    <w:rsid w:val="008D3EA2"/>
    <w:rsid w:val="008D4DF8"/>
    <w:rsid w:val="008D4DFC"/>
    <w:rsid w:val="008D4E63"/>
    <w:rsid w:val="008D4F9D"/>
    <w:rsid w:val="008D5277"/>
    <w:rsid w:val="008D5291"/>
    <w:rsid w:val="008D52DC"/>
    <w:rsid w:val="008D535A"/>
    <w:rsid w:val="008D5365"/>
    <w:rsid w:val="008D53A6"/>
    <w:rsid w:val="008D53BE"/>
    <w:rsid w:val="008D54BA"/>
    <w:rsid w:val="008D54DC"/>
    <w:rsid w:val="008D55D3"/>
    <w:rsid w:val="008D57A3"/>
    <w:rsid w:val="008D5861"/>
    <w:rsid w:val="008D58C4"/>
    <w:rsid w:val="008D5909"/>
    <w:rsid w:val="008D5EC3"/>
    <w:rsid w:val="008D61D2"/>
    <w:rsid w:val="008D62F7"/>
    <w:rsid w:val="008D657B"/>
    <w:rsid w:val="008D659A"/>
    <w:rsid w:val="008D6611"/>
    <w:rsid w:val="008D671D"/>
    <w:rsid w:val="008D6932"/>
    <w:rsid w:val="008D6947"/>
    <w:rsid w:val="008D6A0C"/>
    <w:rsid w:val="008D6A4A"/>
    <w:rsid w:val="008D71B1"/>
    <w:rsid w:val="008D72B2"/>
    <w:rsid w:val="008D72B3"/>
    <w:rsid w:val="008D74EA"/>
    <w:rsid w:val="008D7768"/>
    <w:rsid w:val="008D78F0"/>
    <w:rsid w:val="008E0031"/>
    <w:rsid w:val="008E01A9"/>
    <w:rsid w:val="008E02E3"/>
    <w:rsid w:val="008E040C"/>
    <w:rsid w:val="008E048F"/>
    <w:rsid w:val="008E0589"/>
    <w:rsid w:val="008E06D8"/>
    <w:rsid w:val="008E08B8"/>
    <w:rsid w:val="008E0911"/>
    <w:rsid w:val="008E0C07"/>
    <w:rsid w:val="008E0E3C"/>
    <w:rsid w:val="008E10E2"/>
    <w:rsid w:val="008E1143"/>
    <w:rsid w:val="008E1661"/>
    <w:rsid w:val="008E1D0B"/>
    <w:rsid w:val="008E2156"/>
    <w:rsid w:val="008E23B1"/>
    <w:rsid w:val="008E2817"/>
    <w:rsid w:val="008E2AC3"/>
    <w:rsid w:val="008E2D33"/>
    <w:rsid w:val="008E2DC6"/>
    <w:rsid w:val="008E2E3A"/>
    <w:rsid w:val="008E2F0C"/>
    <w:rsid w:val="008E392E"/>
    <w:rsid w:val="008E39C1"/>
    <w:rsid w:val="008E3C85"/>
    <w:rsid w:val="008E3EB6"/>
    <w:rsid w:val="008E4122"/>
    <w:rsid w:val="008E42BC"/>
    <w:rsid w:val="008E4AC0"/>
    <w:rsid w:val="008E4B8B"/>
    <w:rsid w:val="008E4BE7"/>
    <w:rsid w:val="008E4D4C"/>
    <w:rsid w:val="008E4E81"/>
    <w:rsid w:val="008E510E"/>
    <w:rsid w:val="008E52A9"/>
    <w:rsid w:val="008E52C2"/>
    <w:rsid w:val="008E535E"/>
    <w:rsid w:val="008E563B"/>
    <w:rsid w:val="008E565B"/>
    <w:rsid w:val="008E5910"/>
    <w:rsid w:val="008E59AA"/>
    <w:rsid w:val="008E615D"/>
    <w:rsid w:val="008E63C2"/>
    <w:rsid w:val="008E65E7"/>
    <w:rsid w:val="008E6613"/>
    <w:rsid w:val="008E66C0"/>
    <w:rsid w:val="008E67BF"/>
    <w:rsid w:val="008E6853"/>
    <w:rsid w:val="008E6CDF"/>
    <w:rsid w:val="008E6D4B"/>
    <w:rsid w:val="008E6D5E"/>
    <w:rsid w:val="008E7139"/>
    <w:rsid w:val="008E71E0"/>
    <w:rsid w:val="008E72AF"/>
    <w:rsid w:val="008E73F1"/>
    <w:rsid w:val="008E7648"/>
    <w:rsid w:val="008E7A15"/>
    <w:rsid w:val="008E7B69"/>
    <w:rsid w:val="008E7D7D"/>
    <w:rsid w:val="008E7E96"/>
    <w:rsid w:val="008E7EA9"/>
    <w:rsid w:val="008F04FE"/>
    <w:rsid w:val="008F057E"/>
    <w:rsid w:val="008F06CA"/>
    <w:rsid w:val="008F083F"/>
    <w:rsid w:val="008F0A35"/>
    <w:rsid w:val="008F0B54"/>
    <w:rsid w:val="008F0CBA"/>
    <w:rsid w:val="008F0D25"/>
    <w:rsid w:val="008F0D57"/>
    <w:rsid w:val="008F0F1D"/>
    <w:rsid w:val="008F13C0"/>
    <w:rsid w:val="008F1405"/>
    <w:rsid w:val="008F15C7"/>
    <w:rsid w:val="008F1C11"/>
    <w:rsid w:val="008F1E89"/>
    <w:rsid w:val="008F1FD8"/>
    <w:rsid w:val="008F2474"/>
    <w:rsid w:val="008F24BF"/>
    <w:rsid w:val="008F279F"/>
    <w:rsid w:val="008F2826"/>
    <w:rsid w:val="008F2948"/>
    <w:rsid w:val="008F2E7A"/>
    <w:rsid w:val="008F308F"/>
    <w:rsid w:val="008F33CD"/>
    <w:rsid w:val="008F36D9"/>
    <w:rsid w:val="008F3CD1"/>
    <w:rsid w:val="008F3DEF"/>
    <w:rsid w:val="008F3E90"/>
    <w:rsid w:val="008F3F76"/>
    <w:rsid w:val="008F4074"/>
    <w:rsid w:val="008F41EA"/>
    <w:rsid w:val="008F4385"/>
    <w:rsid w:val="008F4589"/>
    <w:rsid w:val="008F45B7"/>
    <w:rsid w:val="008F4757"/>
    <w:rsid w:val="008F4E37"/>
    <w:rsid w:val="008F52B3"/>
    <w:rsid w:val="008F52C3"/>
    <w:rsid w:val="008F572D"/>
    <w:rsid w:val="008F5BBA"/>
    <w:rsid w:val="008F5CA6"/>
    <w:rsid w:val="008F5E1D"/>
    <w:rsid w:val="008F610A"/>
    <w:rsid w:val="008F61E2"/>
    <w:rsid w:val="008F626B"/>
    <w:rsid w:val="008F6342"/>
    <w:rsid w:val="008F64D4"/>
    <w:rsid w:val="008F667F"/>
    <w:rsid w:val="008F6BCA"/>
    <w:rsid w:val="008F6CDF"/>
    <w:rsid w:val="008F6E89"/>
    <w:rsid w:val="008F7204"/>
    <w:rsid w:val="008F74F7"/>
    <w:rsid w:val="008F7704"/>
    <w:rsid w:val="008F78A0"/>
    <w:rsid w:val="008F7A4A"/>
    <w:rsid w:val="008F7C60"/>
    <w:rsid w:val="009000A6"/>
    <w:rsid w:val="00900557"/>
    <w:rsid w:val="0090059E"/>
    <w:rsid w:val="009005C3"/>
    <w:rsid w:val="00900681"/>
    <w:rsid w:val="009007B5"/>
    <w:rsid w:val="00900981"/>
    <w:rsid w:val="009009BF"/>
    <w:rsid w:val="00900A1A"/>
    <w:rsid w:val="00900C0A"/>
    <w:rsid w:val="00900D58"/>
    <w:rsid w:val="00900F45"/>
    <w:rsid w:val="0090114C"/>
    <w:rsid w:val="009013FD"/>
    <w:rsid w:val="00901C3B"/>
    <w:rsid w:val="00901D30"/>
    <w:rsid w:val="00901F99"/>
    <w:rsid w:val="0090248E"/>
    <w:rsid w:val="00902D87"/>
    <w:rsid w:val="00902E6A"/>
    <w:rsid w:val="00903001"/>
    <w:rsid w:val="0090319A"/>
    <w:rsid w:val="00903699"/>
    <w:rsid w:val="00903A9C"/>
    <w:rsid w:val="00903E20"/>
    <w:rsid w:val="00904055"/>
    <w:rsid w:val="009042BF"/>
    <w:rsid w:val="009043CC"/>
    <w:rsid w:val="00904494"/>
    <w:rsid w:val="009046A3"/>
    <w:rsid w:val="00904872"/>
    <w:rsid w:val="00904A81"/>
    <w:rsid w:val="0090540C"/>
    <w:rsid w:val="0090549F"/>
    <w:rsid w:val="009055D5"/>
    <w:rsid w:val="009059AE"/>
    <w:rsid w:val="00905EC9"/>
    <w:rsid w:val="00905FA4"/>
    <w:rsid w:val="00906238"/>
    <w:rsid w:val="0090624D"/>
    <w:rsid w:val="0090664E"/>
    <w:rsid w:val="00906719"/>
    <w:rsid w:val="00906A17"/>
    <w:rsid w:val="00906B31"/>
    <w:rsid w:val="00906E78"/>
    <w:rsid w:val="00906E89"/>
    <w:rsid w:val="00906EF1"/>
    <w:rsid w:val="00906F2E"/>
    <w:rsid w:val="00907216"/>
    <w:rsid w:val="0090785C"/>
    <w:rsid w:val="0090793D"/>
    <w:rsid w:val="00907993"/>
    <w:rsid w:val="00907C24"/>
    <w:rsid w:val="0091004B"/>
    <w:rsid w:val="009102AE"/>
    <w:rsid w:val="009102F8"/>
    <w:rsid w:val="0091040F"/>
    <w:rsid w:val="00910609"/>
    <w:rsid w:val="00910839"/>
    <w:rsid w:val="009108B2"/>
    <w:rsid w:val="00910AAB"/>
    <w:rsid w:val="00910C95"/>
    <w:rsid w:val="00910D1F"/>
    <w:rsid w:val="00910D69"/>
    <w:rsid w:val="00910E19"/>
    <w:rsid w:val="0091125D"/>
    <w:rsid w:val="009116A9"/>
    <w:rsid w:val="00911715"/>
    <w:rsid w:val="00911D1C"/>
    <w:rsid w:val="00911D92"/>
    <w:rsid w:val="009121B9"/>
    <w:rsid w:val="009122E7"/>
    <w:rsid w:val="0091246B"/>
    <w:rsid w:val="00912A8D"/>
    <w:rsid w:val="00912AC3"/>
    <w:rsid w:val="00912D18"/>
    <w:rsid w:val="00912D35"/>
    <w:rsid w:val="00913281"/>
    <w:rsid w:val="009133AC"/>
    <w:rsid w:val="009134E3"/>
    <w:rsid w:val="009136A2"/>
    <w:rsid w:val="00913C87"/>
    <w:rsid w:val="0091439E"/>
    <w:rsid w:val="00914924"/>
    <w:rsid w:val="00914AF9"/>
    <w:rsid w:val="00914E17"/>
    <w:rsid w:val="0091529E"/>
    <w:rsid w:val="009154C1"/>
    <w:rsid w:val="00915516"/>
    <w:rsid w:val="009158C8"/>
    <w:rsid w:val="00915CCE"/>
    <w:rsid w:val="00915D11"/>
    <w:rsid w:val="00915D87"/>
    <w:rsid w:val="009160DC"/>
    <w:rsid w:val="00916348"/>
    <w:rsid w:val="00916404"/>
    <w:rsid w:val="009164EA"/>
    <w:rsid w:val="009165BC"/>
    <w:rsid w:val="0091688A"/>
    <w:rsid w:val="009169EA"/>
    <w:rsid w:val="00917406"/>
    <w:rsid w:val="00917485"/>
    <w:rsid w:val="009178BF"/>
    <w:rsid w:val="009178CC"/>
    <w:rsid w:val="00917A3D"/>
    <w:rsid w:val="00920108"/>
    <w:rsid w:val="0092034E"/>
    <w:rsid w:val="009203A5"/>
    <w:rsid w:val="00920484"/>
    <w:rsid w:val="0092049D"/>
    <w:rsid w:val="009204BD"/>
    <w:rsid w:val="0092063C"/>
    <w:rsid w:val="009208EE"/>
    <w:rsid w:val="00920989"/>
    <w:rsid w:val="009209A4"/>
    <w:rsid w:val="00920AC6"/>
    <w:rsid w:val="00920E8A"/>
    <w:rsid w:val="00920ECB"/>
    <w:rsid w:val="00920F1F"/>
    <w:rsid w:val="00921191"/>
    <w:rsid w:val="00921273"/>
    <w:rsid w:val="00921319"/>
    <w:rsid w:val="0092135C"/>
    <w:rsid w:val="00921565"/>
    <w:rsid w:val="009215F8"/>
    <w:rsid w:val="00921671"/>
    <w:rsid w:val="0092171E"/>
    <w:rsid w:val="00921A36"/>
    <w:rsid w:val="00921C09"/>
    <w:rsid w:val="00921E63"/>
    <w:rsid w:val="009221EA"/>
    <w:rsid w:val="00922777"/>
    <w:rsid w:val="00922A3D"/>
    <w:rsid w:val="00922BD0"/>
    <w:rsid w:val="00922F5D"/>
    <w:rsid w:val="009230D4"/>
    <w:rsid w:val="00923142"/>
    <w:rsid w:val="00923358"/>
    <w:rsid w:val="009239E3"/>
    <w:rsid w:val="00923AB5"/>
    <w:rsid w:val="00923D6B"/>
    <w:rsid w:val="00924234"/>
    <w:rsid w:val="00924DAF"/>
    <w:rsid w:val="00924DFF"/>
    <w:rsid w:val="00924EB6"/>
    <w:rsid w:val="00925241"/>
    <w:rsid w:val="00925309"/>
    <w:rsid w:val="0092543D"/>
    <w:rsid w:val="0092549E"/>
    <w:rsid w:val="0092574A"/>
    <w:rsid w:val="0092585F"/>
    <w:rsid w:val="00925CFA"/>
    <w:rsid w:val="00925DE0"/>
    <w:rsid w:val="00925E30"/>
    <w:rsid w:val="00925E4B"/>
    <w:rsid w:val="009260C5"/>
    <w:rsid w:val="00926236"/>
    <w:rsid w:val="0092638D"/>
    <w:rsid w:val="00926679"/>
    <w:rsid w:val="00927167"/>
    <w:rsid w:val="00927436"/>
    <w:rsid w:val="009276B2"/>
    <w:rsid w:val="009277C8"/>
    <w:rsid w:val="00927846"/>
    <w:rsid w:val="00927A72"/>
    <w:rsid w:val="00927B3D"/>
    <w:rsid w:val="00927B8B"/>
    <w:rsid w:val="00927C41"/>
    <w:rsid w:val="009307D5"/>
    <w:rsid w:val="0093081D"/>
    <w:rsid w:val="00930BD8"/>
    <w:rsid w:val="0093107C"/>
    <w:rsid w:val="00931270"/>
    <w:rsid w:val="009313AB"/>
    <w:rsid w:val="009315DD"/>
    <w:rsid w:val="009320C3"/>
    <w:rsid w:val="00932585"/>
    <w:rsid w:val="00932690"/>
    <w:rsid w:val="00932913"/>
    <w:rsid w:val="00932A79"/>
    <w:rsid w:val="00932BA6"/>
    <w:rsid w:val="00932FF8"/>
    <w:rsid w:val="009333A3"/>
    <w:rsid w:val="009334BF"/>
    <w:rsid w:val="00933728"/>
    <w:rsid w:val="0093428A"/>
    <w:rsid w:val="0093428D"/>
    <w:rsid w:val="00934440"/>
    <w:rsid w:val="009349FE"/>
    <w:rsid w:val="00935061"/>
    <w:rsid w:val="009352FC"/>
    <w:rsid w:val="009356B5"/>
    <w:rsid w:val="009357A8"/>
    <w:rsid w:val="00935B50"/>
    <w:rsid w:val="00935FF6"/>
    <w:rsid w:val="00936C47"/>
    <w:rsid w:val="00936E38"/>
    <w:rsid w:val="00936EE3"/>
    <w:rsid w:val="0093704C"/>
    <w:rsid w:val="0093711C"/>
    <w:rsid w:val="00937173"/>
    <w:rsid w:val="0093736F"/>
    <w:rsid w:val="009373F9"/>
    <w:rsid w:val="00937555"/>
    <w:rsid w:val="0093767D"/>
    <w:rsid w:val="009377F8"/>
    <w:rsid w:val="00937870"/>
    <w:rsid w:val="00937CFA"/>
    <w:rsid w:val="00937D10"/>
    <w:rsid w:val="00940096"/>
    <w:rsid w:val="00940136"/>
    <w:rsid w:val="0094016C"/>
    <w:rsid w:val="0094029C"/>
    <w:rsid w:val="00940326"/>
    <w:rsid w:val="009403A3"/>
    <w:rsid w:val="009404D4"/>
    <w:rsid w:val="0094060C"/>
    <w:rsid w:val="00940947"/>
    <w:rsid w:val="00940C21"/>
    <w:rsid w:val="00940E4C"/>
    <w:rsid w:val="009412CA"/>
    <w:rsid w:val="00941305"/>
    <w:rsid w:val="00941524"/>
    <w:rsid w:val="00941546"/>
    <w:rsid w:val="009417B7"/>
    <w:rsid w:val="009418DA"/>
    <w:rsid w:val="00941C1D"/>
    <w:rsid w:val="00941D29"/>
    <w:rsid w:val="00941F82"/>
    <w:rsid w:val="009421B4"/>
    <w:rsid w:val="00942254"/>
    <w:rsid w:val="009423C3"/>
    <w:rsid w:val="009426B2"/>
    <w:rsid w:val="00942B50"/>
    <w:rsid w:val="00942B6E"/>
    <w:rsid w:val="00942B96"/>
    <w:rsid w:val="00942C2B"/>
    <w:rsid w:val="009431D1"/>
    <w:rsid w:val="00943675"/>
    <w:rsid w:val="009436FC"/>
    <w:rsid w:val="00943743"/>
    <w:rsid w:val="0094418F"/>
    <w:rsid w:val="00944222"/>
    <w:rsid w:val="00944260"/>
    <w:rsid w:val="00944A39"/>
    <w:rsid w:val="00944B4D"/>
    <w:rsid w:val="00944FC5"/>
    <w:rsid w:val="00945178"/>
    <w:rsid w:val="00945202"/>
    <w:rsid w:val="0094545B"/>
    <w:rsid w:val="00945657"/>
    <w:rsid w:val="009456B4"/>
    <w:rsid w:val="00945A9A"/>
    <w:rsid w:val="00945C6A"/>
    <w:rsid w:val="00945CAA"/>
    <w:rsid w:val="00946231"/>
    <w:rsid w:val="00946563"/>
    <w:rsid w:val="009466A4"/>
    <w:rsid w:val="00946979"/>
    <w:rsid w:val="00946E35"/>
    <w:rsid w:val="00946E51"/>
    <w:rsid w:val="00947143"/>
    <w:rsid w:val="0094729B"/>
    <w:rsid w:val="00947396"/>
    <w:rsid w:val="00947407"/>
    <w:rsid w:val="009476A6"/>
    <w:rsid w:val="00947763"/>
    <w:rsid w:val="009478A2"/>
    <w:rsid w:val="0094794D"/>
    <w:rsid w:val="00947CD6"/>
    <w:rsid w:val="00947EE5"/>
    <w:rsid w:val="00950082"/>
    <w:rsid w:val="0095015E"/>
    <w:rsid w:val="00950274"/>
    <w:rsid w:val="009502CB"/>
    <w:rsid w:val="00950317"/>
    <w:rsid w:val="00950483"/>
    <w:rsid w:val="00950695"/>
    <w:rsid w:val="009508DB"/>
    <w:rsid w:val="00950A2E"/>
    <w:rsid w:val="00950BCB"/>
    <w:rsid w:val="00950E49"/>
    <w:rsid w:val="00950EDB"/>
    <w:rsid w:val="00951131"/>
    <w:rsid w:val="0095135F"/>
    <w:rsid w:val="0095144C"/>
    <w:rsid w:val="0095159C"/>
    <w:rsid w:val="00951783"/>
    <w:rsid w:val="009519BA"/>
    <w:rsid w:val="00951B1E"/>
    <w:rsid w:val="009520DC"/>
    <w:rsid w:val="00952151"/>
    <w:rsid w:val="009522C1"/>
    <w:rsid w:val="0095231F"/>
    <w:rsid w:val="00952373"/>
    <w:rsid w:val="0095286D"/>
    <w:rsid w:val="00952B10"/>
    <w:rsid w:val="00952B76"/>
    <w:rsid w:val="00952DAA"/>
    <w:rsid w:val="00952EC8"/>
    <w:rsid w:val="00952FC9"/>
    <w:rsid w:val="00953130"/>
    <w:rsid w:val="00953296"/>
    <w:rsid w:val="00953623"/>
    <w:rsid w:val="00953A98"/>
    <w:rsid w:val="00953E16"/>
    <w:rsid w:val="0095427A"/>
    <w:rsid w:val="009544DB"/>
    <w:rsid w:val="00954864"/>
    <w:rsid w:val="00954990"/>
    <w:rsid w:val="009549D1"/>
    <w:rsid w:val="00954A36"/>
    <w:rsid w:val="00954E69"/>
    <w:rsid w:val="00954F7F"/>
    <w:rsid w:val="00954F83"/>
    <w:rsid w:val="00955148"/>
    <w:rsid w:val="0095527B"/>
    <w:rsid w:val="00955F01"/>
    <w:rsid w:val="00956026"/>
    <w:rsid w:val="009560F6"/>
    <w:rsid w:val="009561F1"/>
    <w:rsid w:val="0095639C"/>
    <w:rsid w:val="00956697"/>
    <w:rsid w:val="009566A1"/>
    <w:rsid w:val="009566EF"/>
    <w:rsid w:val="00956747"/>
    <w:rsid w:val="009568ED"/>
    <w:rsid w:val="00956902"/>
    <w:rsid w:val="00956AA1"/>
    <w:rsid w:val="00956EB6"/>
    <w:rsid w:val="0095700F"/>
    <w:rsid w:val="009570E0"/>
    <w:rsid w:val="0095719F"/>
    <w:rsid w:val="009572FF"/>
    <w:rsid w:val="009573BB"/>
    <w:rsid w:val="00957759"/>
    <w:rsid w:val="00957A9E"/>
    <w:rsid w:val="00957B4F"/>
    <w:rsid w:val="00960742"/>
    <w:rsid w:val="0096080A"/>
    <w:rsid w:val="00960814"/>
    <w:rsid w:val="00960915"/>
    <w:rsid w:val="0096095E"/>
    <w:rsid w:val="00960D3E"/>
    <w:rsid w:val="00960E47"/>
    <w:rsid w:val="00960ECB"/>
    <w:rsid w:val="0096138A"/>
    <w:rsid w:val="00961417"/>
    <w:rsid w:val="00961471"/>
    <w:rsid w:val="009614E1"/>
    <w:rsid w:val="00961675"/>
    <w:rsid w:val="009616A5"/>
    <w:rsid w:val="009616D9"/>
    <w:rsid w:val="00961C15"/>
    <w:rsid w:val="00961CD8"/>
    <w:rsid w:val="009620A7"/>
    <w:rsid w:val="0096231C"/>
    <w:rsid w:val="00962A7F"/>
    <w:rsid w:val="00962C92"/>
    <w:rsid w:val="00962DC5"/>
    <w:rsid w:val="009630B9"/>
    <w:rsid w:val="009631F1"/>
    <w:rsid w:val="009632EE"/>
    <w:rsid w:val="00963396"/>
    <w:rsid w:val="009635BE"/>
    <w:rsid w:val="00963878"/>
    <w:rsid w:val="0096392A"/>
    <w:rsid w:val="00963ABE"/>
    <w:rsid w:val="00963C3F"/>
    <w:rsid w:val="00963FB4"/>
    <w:rsid w:val="0096442C"/>
    <w:rsid w:val="009647B5"/>
    <w:rsid w:val="00964B34"/>
    <w:rsid w:val="00964D03"/>
    <w:rsid w:val="009650AA"/>
    <w:rsid w:val="009650CB"/>
    <w:rsid w:val="00965134"/>
    <w:rsid w:val="009657E1"/>
    <w:rsid w:val="00965905"/>
    <w:rsid w:val="00965C0B"/>
    <w:rsid w:val="00965E39"/>
    <w:rsid w:val="00965F28"/>
    <w:rsid w:val="009660FD"/>
    <w:rsid w:val="0096626F"/>
    <w:rsid w:val="00966AA4"/>
    <w:rsid w:val="00966E50"/>
    <w:rsid w:val="00966FAC"/>
    <w:rsid w:val="0096722D"/>
    <w:rsid w:val="00967356"/>
    <w:rsid w:val="009673A8"/>
    <w:rsid w:val="0096746E"/>
    <w:rsid w:val="00967A00"/>
    <w:rsid w:val="00967E4B"/>
    <w:rsid w:val="00970171"/>
    <w:rsid w:val="0097023D"/>
    <w:rsid w:val="00970351"/>
    <w:rsid w:val="00970398"/>
    <w:rsid w:val="009704BA"/>
    <w:rsid w:val="00970785"/>
    <w:rsid w:val="00970D47"/>
    <w:rsid w:val="00971B22"/>
    <w:rsid w:val="00971E23"/>
    <w:rsid w:val="00971F97"/>
    <w:rsid w:val="00972294"/>
    <w:rsid w:val="0097253A"/>
    <w:rsid w:val="00972AB6"/>
    <w:rsid w:val="00972B44"/>
    <w:rsid w:val="00972C00"/>
    <w:rsid w:val="00972D46"/>
    <w:rsid w:val="00972F21"/>
    <w:rsid w:val="00972F6D"/>
    <w:rsid w:val="00973199"/>
    <w:rsid w:val="00973691"/>
    <w:rsid w:val="009737CC"/>
    <w:rsid w:val="0097386D"/>
    <w:rsid w:val="009738F9"/>
    <w:rsid w:val="009739D5"/>
    <w:rsid w:val="00973B6F"/>
    <w:rsid w:val="00973C55"/>
    <w:rsid w:val="00973CD6"/>
    <w:rsid w:val="00973FD5"/>
    <w:rsid w:val="00974041"/>
    <w:rsid w:val="00974079"/>
    <w:rsid w:val="0097474E"/>
    <w:rsid w:val="009748A7"/>
    <w:rsid w:val="00974FA1"/>
    <w:rsid w:val="0097502F"/>
    <w:rsid w:val="00975EEC"/>
    <w:rsid w:val="00976146"/>
    <w:rsid w:val="00976524"/>
    <w:rsid w:val="00976B40"/>
    <w:rsid w:val="00976D2E"/>
    <w:rsid w:val="00976D75"/>
    <w:rsid w:val="00976E23"/>
    <w:rsid w:val="00976E90"/>
    <w:rsid w:val="00976F04"/>
    <w:rsid w:val="00976F14"/>
    <w:rsid w:val="00977327"/>
    <w:rsid w:val="00977873"/>
    <w:rsid w:val="009779C3"/>
    <w:rsid w:val="00977EB1"/>
    <w:rsid w:val="0098017F"/>
    <w:rsid w:val="00980215"/>
    <w:rsid w:val="009802EF"/>
    <w:rsid w:val="009807E8"/>
    <w:rsid w:val="00980830"/>
    <w:rsid w:val="00980B4D"/>
    <w:rsid w:val="00980C80"/>
    <w:rsid w:val="00980DC9"/>
    <w:rsid w:val="00980EBA"/>
    <w:rsid w:val="0098104F"/>
    <w:rsid w:val="00981077"/>
    <w:rsid w:val="0098161A"/>
    <w:rsid w:val="00981757"/>
    <w:rsid w:val="00981774"/>
    <w:rsid w:val="00981A0A"/>
    <w:rsid w:val="00981AC0"/>
    <w:rsid w:val="00982100"/>
    <w:rsid w:val="0098217B"/>
    <w:rsid w:val="009821F0"/>
    <w:rsid w:val="009822D6"/>
    <w:rsid w:val="0098264A"/>
    <w:rsid w:val="0098296E"/>
    <w:rsid w:val="00982AE7"/>
    <w:rsid w:val="00982CD3"/>
    <w:rsid w:val="0098303D"/>
    <w:rsid w:val="0098313C"/>
    <w:rsid w:val="00983349"/>
    <w:rsid w:val="00983875"/>
    <w:rsid w:val="009839FB"/>
    <w:rsid w:val="00983E26"/>
    <w:rsid w:val="0098427A"/>
    <w:rsid w:val="009843D0"/>
    <w:rsid w:val="009844B8"/>
    <w:rsid w:val="009847B0"/>
    <w:rsid w:val="00984860"/>
    <w:rsid w:val="00984DEA"/>
    <w:rsid w:val="00984E43"/>
    <w:rsid w:val="00984F9C"/>
    <w:rsid w:val="0098505E"/>
    <w:rsid w:val="0098512D"/>
    <w:rsid w:val="00985162"/>
    <w:rsid w:val="0098585B"/>
    <w:rsid w:val="009858FC"/>
    <w:rsid w:val="00985971"/>
    <w:rsid w:val="00985D17"/>
    <w:rsid w:val="00985D40"/>
    <w:rsid w:val="00985DE5"/>
    <w:rsid w:val="0098629D"/>
    <w:rsid w:val="009864DA"/>
    <w:rsid w:val="00986566"/>
    <w:rsid w:val="009865D0"/>
    <w:rsid w:val="00986C79"/>
    <w:rsid w:val="00986CBF"/>
    <w:rsid w:val="00986F14"/>
    <w:rsid w:val="009874DE"/>
    <w:rsid w:val="00987576"/>
    <w:rsid w:val="009875E0"/>
    <w:rsid w:val="0098770B"/>
    <w:rsid w:val="0098774A"/>
    <w:rsid w:val="0098782E"/>
    <w:rsid w:val="009878A9"/>
    <w:rsid w:val="00987958"/>
    <w:rsid w:val="00987D92"/>
    <w:rsid w:val="009902BA"/>
    <w:rsid w:val="00990398"/>
    <w:rsid w:val="00990534"/>
    <w:rsid w:val="00990574"/>
    <w:rsid w:val="00990934"/>
    <w:rsid w:val="00990C36"/>
    <w:rsid w:val="00990C79"/>
    <w:rsid w:val="00990E68"/>
    <w:rsid w:val="00990E8B"/>
    <w:rsid w:val="00990F9F"/>
    <w:rsid w:val="009910D7"/>
    <w:rsid w:val="009911A9"/>
    <w:rsid w:val="009911DD"/>
    <w:rsid w:val="009914DC"/>
    <w:rsid w:val="009917FB"/>
    <w:rsid w:val="00991B53"/>
    <w:rsid w:val="00991BAB"/>
    <w:rsid w:val="00991F5E"/>
    <w:rsid w:val="00991FB9"/>
    <w:rsid w:val="00992320"/>
    <w:rsid w:val="0099246B"/>
    <w:rsid w:val="00992551"/>
    <w:rsid w:val="00992788"/>
    <w:rsid w:val="009927BF"/>
    <w:rsid w:val="009929E6"/>
    <w:rsid w:val="00992AB1"/>
    <w:rsid w:val="00992B88"/>
    <w:rsid w:val="00992C97"/>
    <w:rsid w:val="00992E37"/>
    <w:rsid w:val="00993126"/>
    <w:rsid w:val="00993B91"/>
    <w:rsid w:val="00993BDE"/>
    <w:rsid w:val="00993EB2"/>
    <w:rsid w:val="009940BC"/>
    <w:rsid w:val="0099452B"/>
    <w:rsid w:val="00994990"/>
    <w:rsid w:val="0099499D"/>
    <w:rsid w:val="00994D16"/>
    <w:rsid w:val="00994E31"/>
    <w:rsid w:val="00994F55"/>
    <w:rsid w:val="00994FFC"/>
    <w:rsid w:val="009951E4"/>
    <w:rsid w:val="0099525A"/>
    <w:rsid w:val="009954EF"/>
    <w:rsid w:val="0099581D"/>
    <w:rsid w:val="00995925"/>
    <w:rsid w:val="00995962"/>
    <w:rsid w:val="009959EB"/>
    <w:rsid w:val="00995B07"/>
    <w:rsid w:val="00995E52"/>
    <w:rsid w:val="00995F96"/>
    <w:rsid w:val="0099644D"/>
    <w:rsid w:val="0099655C"/>
    <w:rsid w:val="00996572"/>
    <w:rsid w:val="00996C20"/>
    <w:rsid w:val="00996C96"/>
    <w:rsid w:val="00996D5A"/>
    <w:rsid w:val="00996F28"/>
    <w:rsid w:val="009974FE"/>
    <w:rsid w:val="0099783A"/>
    <w:rsid w:val="00997B38"/>
    <w:rsid w:val="00997B9D"/>
    <w:rsid w:val="009A03D9"/>
    <w:rsid w:val="009A04EF"/>
    <w:rsid w:val="009A0CB4"/>
    <w:rsid w:val="009A0D6B"/>
    <w:rsid w:val="009A11DF"/>
    <w:rsid w:val="009A1A0E"/>
    <w:rsid w:val="009A1A1A"/>
    <w:rsid w:val="009A1A2C"/>
    <w:rsid w:val="009A1D2B"/>
    <w:rsid w:val="009A1D52"/>
    <w:rsid w:val="009A2019"/>
    <w:rsid w:val="009A2202"/>
    <w:rsid w:val="009A25F2"/>
    <w:rsid w:val="009A2849"/>
    <w:rsid w:val="009A2B70"/>
    <w:rsid w:val="009A2BF6"/>
    <w:rsid w:val="009A2FC7"/>
    <w:rsid w:val="009A3037"/>
    <w:rsid w:val="009A32BA"/>
    <w:rsid w:val="009A35BC"/>
    <w:rsid w:val="009A3A89"/>
    <w:rsid w:val="009A3C1C"/>
    <w:rsid w:val="009A3CC4"/>
    <w:rsid w:val="009A3EAA"/>
    <w:rsid w:val="009A4228"/>
    <w:rsid w:val="009A463C"/>
    <w:rsid w:val="009A4713"/>
    <w:rsid w:val="009A4A77"/>
    <w:rsid w:val="009A4B25"/>
    <w:rsid w:val="009A4C31"/>
    <w:rsid w:val="009A4F65"/>
    <w:rsid w:val="009A540F"/>
    <w:rsid w:val="009A5743"/>
    <w:rsid w:val="009A578D"/>
    <w:rsid w:val="009A59AF"/>
    <w:rsid w:val="009A5C55"/>
    <w:rsid w:val="009A5CA1"/>
    <w:rsid w:val="009A5F8F"/>
    <w:rsid w:val="009A61B2"/>
    <w:rsid w:val="009A632C"/>
    <w:rsid w:val="009A65B9"/>
    <w:rsid w:val="009A69A2"/>
    <w:rsid w:val="009A6A0A"/>
    <w:rsid w:val="009A7130"/>
    <w:rsid w:val="009A72C9"/>
    <w:rsid w:val="009A76CF"/>
    <w:rsid w:val="009A76E3"/>
    <w:rsid w:val="009A774E"/>
    <w:rsid w:val="009A77FE"/>
    <w:rsid w:val="009A7984"/>
    <w:rsid w:val="009A7AB0"/>
    <w:rsid w:val="009A7AE0"/>
    <w:rsid w:val="009A7E87"/>
    <w:rsid w:val="009A7FD4"/>
    <w:rsid w:val="009A7FFE"/>
    <w:rsid w:val="009B019D"/>
    <w:rsid w:val="009B023B"/>
    <w:rsid w:val="009B0B90"/>
    <w:rsid w:val="009B0C9C"/>
    <w:rsid w:val="009B0E3F"/>
    <w:rsid w:val="009B1101"/>
    <w:rsid w:val="009B1162"/>
    <w:rsid w:val="009B15D9"/>
    <w:rsid w:val="009B18E2"/>
    <w:rsid w:val="009B1AE9"/>
    <w:rsid w:val="009B1B84"/>
    <w:rsid w:val="009B1EA2"/>
    <w:rsid w:val="009B2299"/>
    <w:rsid w:val="009B2363"/>
    <w:rsid w:val="009B2477"/>
    <w:rsid w:val="009B25D3"/>
    <w:rsid w:val="009B25E3"/>
    <w:rsid w:val="009B2918"/>
    <w:rsid w:val="009B2C35"/>
    <w:rsid w:val="009B2EAC"/>
    <w:rsid w:val="009B3195"/>
    <w:rsid w:val="009B322D"/>
    <w:rsid w:val="009B348E"/>
    <w:rsid w:val="009B3946"/>
    <w:rsid w:val="009B3E77"/>
    <w:rsid w:val="009B46EE"/>
    <w:rsid w:val="009B4CAC"/>
    <w:rsid w:val="009B5358"/>
    <w:rsid w:val="009B57B8"/>
    <w:rsid w:val="009B5D7A"/>
    <w:rsid w:val="009B604B"/>
    <w:rsid w:val="009B63F3"/>
    <w:rsid w:val="009B66B8"/>
    <w:rsid w:val="009B6889"/>
    <w:rsid w:val="009B69D5"/>
    <w:rsid w:val="009B6E22"/>
    <w:rsid w:val="009B6F08"/>
    <w:rsid w:val="009B6FBB"/>
    <w:rsid w:val="009B7077"/>
    <w:rsid w:val="009B716A"/>
    <w:rsid w:val="009B73AF"/>
    <w:rsid w:val="009B74D1"/>
    <w:rsid w:val="009B7665"/>
    <w:rsid w:val="009B76EB"/>
    <w:rsid w:val="009B77E9"/>
    <w:rsid w:val="009B790B"/>
    <w:rsid w:val="009B7CE8"/>
    <w:rsid w:val="009B7DF3"/>
    <w:rsid w:val="009C002A"/>
    <w:rsid w:val="009C00C1"/>
    <w:rsid w:val="009C0260"/>
    <w:rsid w:val="009C067E"/>
    <w:rsid w:val="009C06A2"/>
    <w:rsid w:val="009C0D1E"/>
    <w:rsid w:val="009C0E98"/>
    <w:rsid w:val="009C0F63"/>
    <w:rsid w:val="009C1384"/>
    <w:rsid w:val="009C13BD"/>
    <w:rsid w:val="009C14B7"/>
    <w:rsid w:val="009C1869"/>
    <w:rsid w:val="009C1A8F"/>
    <w:rsid w:val="009C1A91"/>
    <w:rsid w:val="009C1D0D"/>
    <w:rsid w:val="009C204D"/>
    <w:rsid w:val="009C2548"/>
    <w:rsid w:val="009C29F6"/>
    <w:rsid w:val="009C2A64"/>
    <w:rsid w:val="009C2C2A"/>
    <w:rsid w:val="009C2F3A"/>
    <w:rsid w:val="009C33FD"/>
    <w:rsid w:val="009C3761"/>
    <w:rsid w:val="009C4176"/>
    <w:rsid w:val="009C41FD"/>
    <w:rsid w:val="009C43EF"/>
    <w:rsid w:val="009C44C7"/>
    <w:rsid w:val="009C45AA"/>
    <w:rsid w:val="009C4B26"/>
    <w:rsid w:val="009C4C8C"/>
    <w:rsid w:val="009C4E86"/>
    <w:rsid w:val="009C4EED"/>
    <w:rsid w:val="009C52E2"/>
    <w:rsid w:val="009C5599"/>
    <w:rsid w:val="009C56D1"/>
    <w:rsid w:val="009C5857"/>
    <w:rsid w:val="009C5973"/>
    <w:rsid w:val="009C5A2E"/>
    <w:rsid w:val="009C5DE3"/>
    <w:rsid w:val="009C5FF3"/>
    <w:rsid w:val="009C6164"/>
    <w:rsid w:val="009C623E"/>
    <w:rsid w:val="009C6279"/>
    <w:rsid w:val="009C62A4"/>
    <w:rsid w:val="009C636B"/>
    <w:rsid w:val="009C63EE"/>
    <w:rsid w:val="009C6BCA"/>
    <w:rsid w:val="009C6CBD"/>
    <w:rsid w:val="009C742E"/>
    <w:rsid w:val="009C7440"/>
    <w:rsid w:val="009C7643"/>
    <w:rsid w:val="009C7668"/>
    <w:rsid w:val="009C77B9"/>
    <w:rsid w:val="009C7E0B"/>
    <w:rsid w:val="009C7F42"/>
    <w:rsid w:val="009D0166"/>
    <w:rsid w:val="009D0258"/>
    <w:rsid w:val="009D02DF"/>
    <w:rsid w:val="009D0534"/>
    <w:rsid w:val="009D0872"/>
    <w:rsid w:val="009D09CB"/>
    <w:rsid w:val="009D0E7C"/>
    <w:rsid w:val="009D14B6"/>
    <w:rsid w:val="009D14C4"/>
    <w:rsid w:val="009D15C7"/>
    <w:rsid w:val="009D16B4"/>
    <w:rsid w:val="009D17B8"/>
    <w:rsid w:val="009D186A"/>
    <w:rsid w:val="009D19E7"/>
    <w:rsid w:val="009D1B57"/>
    <w:rsid w:val="009D239E"/>
    <w:rsid w:val="009D25D5"/>
    <w:rsid w:val="009D2996"/>
    <w:rsid w:val="009D29D3"/>
    <w:rsid w:val="009D2A02"/>
    <w:rsid w:val="009D2CE0"/>
    <w:rsid w:val="009D2E56"/>
    <w:rsid w:val="009D2F20"/>
    <w:rsid w:val="009D2FA5"/>
    <w:rsid w:val="009D3132"/>
    <w:rsid w:val="009D3207"/>
    <w:rsid w:val="009D324C"/>
    <w:rsid w:val="009D331F"/>
    <w:rsid w:val="009D3746"/>
    <w:rsid w:val="009D37D7"/>
    <w:rsid w:val="009D38C7"/>
    <w:rsid w:val="009D3D53"/>
    <w:rsid w:val="009D4065"/>
    <w:rsid w:val="009D408E"/>
    <w:rsid w:val="009D4485"/>
    <w:rsid w:val="009D4E32"/>
    <w:rsid w:val="009D4F6C"/>
    <w:rsid w:val="009D5077"/>
    <w:rsid w:val="009D5339"/>
    <w:rsid w:val="009D541C"/>
    <w:rsid w:val="009D5731"/>
    <w:rsid w:val="009D58FE"/>
    <w:rsid w:val="009D598F"/>
    <w:rsid w:val="009D5E24"/>
    <w:rsid w:val="009D5E26"/>
    <w:rsid w:val="009D6051"/>
    <w:rsid w:val="009D607A"/>
    <w:rsid w:val="009D6242"/>
    <w:rsid w:val="009D6344"/>
    <w:rsid w:val="009D6346"/>
    <w:rsid w:val="009D658A"/>
    <w:rsid w:val="009D6E16"/>
    <w:rsid w:val="009D703A"/>
    <w:rsid w:val="009D724A"/>
    <w:rsid w:val="009D73E1"/>
    <w:rsid w:val="009D79EC"/>
    <w:rsid w:val="009D7CD1"/>
    <w:rsid w:val="009E0087"/>
    <w:rsid w:val="009E00D9"/>
    <w:rsid w:val="009E0156"/>
    <w:rsid w:val="009E031F"/>
    <w:rsid w:val="009E036B"/>
    <w:rsid w:val="009E042A"/>
    <w:rsid w:val="009E0444"/>
    <w:rsid w:val="009E0622"/>
    <w:rsid w:val="009E087C"/>
    <w:rsid w:val="009E08CE"/>
    <w:rsid w:val="009E0960"/>
    <w:rsid w:val="009E09A0"/>
    <w:rsid w:val="009E0C92"/>
    <w:rsid w:val="009E0D6E"/>
    <w:rsid w:val="009E0F16"/>
    <w:rsid w:val="009E0FBB"/>
    <w:rsid w:val="009E11E5"/>
    <w:rsid w:val="009E16C1"/>
    <w:rsid w:val="009E193D"/>
    <w:rsid w:val="009E1A1D"/>
    <w:rsid w:val="009E1BD9"/>
    <w:rsid w:val="009E1E55"/>
    <w:rsid w:val="009E1F18"/>
    <w:rsid w:val="009E2221"/>
    <w:rsid w:val="009E2245"/>
    <w:rsid w:val="009E233A"/>
    <w:rsid w:val="009E2439"/>
    <w:rsid w:val="009E248B"/>
    <w:rsid w:val="009E25FD"/>
    <w:rsid w:val="009E2D72"/>
    <w:rsid w:val="009E2FF2"/>
    <w:rsid w:val="009E32B9"/>
    <w:rsid w:val="009E349B"/>
    <w:rsid w:val="009E35F2"/>
    <w:rsid w:val="009E3811"/>
    <w:rsid w:val="009E3820"/>
    <w:rsid w:val="009E3997"/>
    <w:rsid w:val="009E4228"/>
    <w:rsid w:val="009E45EB"/>
    <w:rsid w:val="009E48E2"/>
    <w:rsid w:val="009E4A93"/>
    <w:rsid w:val="009E4AEB"/>
    <w:rsid w:val="009E4F57"/>
    <w:rsid w:val="009E50E4"/>
    <w:rsid w:val="009E5289"/>
    <w:rsid w:val="009E57D7"/>
    <w:rsid w:val="009E5999"/>
    <w:rsid w:val="009E5C0A"/>
    <w:rsid w:val="009E5C24"/>
    <w:rsid w:val="009E5DEF"/>
    <w:rsid w:val="009E615B"/>
    <w:rsid w:val="009E6173"/>
    <w:rsid w:val="009E6420"/>
    <w:rsid w:val="009E66BC"/>
    <w:rsid w:val="009E6786"/>
    <w:rsid w:val="009E704A"/>
    <w:rsid w:val="009E77EF"/>
    <w:rsid w:val="009E7974"/>
    <w:rsid w:val="009E7B57"/>
    <w:rsid w:val="009E7DD3"/>
    <w:rsid w:val="009E7E7F"/>
    <w:rsid w:val="009E7FCA"/>
    <w:rsid w:val="009F017D"/>
    <w:rsid w:val="009F048C"/>
    <w:rsid w:val="009F05C3"/>
    <w:rsid w:val="009F0652"/>
    <w:rsid w:val="009F06F2"/>
    <w:rsid w:val="009F08AE"/>
    <w:rsid w:val="009F0BF8"/>
    <w:rsid w:val="009F0C6C"/>
    <w:rsid w:val="009F0F3F"/>
    <w:rsid w:val="009F106C"/>
    <w:rsid w:val="009F1345"/>
    <w:rsid w:val="009F155E"/>
    <w:rsid w:val="009F1563"/>
    <w:rsid w:val="009F163D"/>
    <w:rsid w:val="009F19C3"/>
    <w:rsid w:val="009F1A0C"/>
    <w:rsid w:val="009F1CBC"/>
    <w:rsid w:val="009F1E4A"/>
    <w:rsid w:val="009F21BA"/>
    <w:rsid w:val="009F23DA"/>
    <w:rsid w:val="009F252C"/>
    <w:rsid w:val="009F25C6"/>
    <w:rsid w:val="009F265E"/>
    <w:rsid w:val="009F29B0"/>
    <w:rsid w:val="009F2A09"/>
    <w:rsid w:val="009F2C71"/>
    <w:rsid w:val="009F2C8B"/>
    <w:rsid w:val="009F2CC3"/>
    <w:rsid w:val="009F2D25"/>
    <w:rsid w:val="009F2DEC"/>
    <w:rsid w:val="009F2E11"/>
    <w:rsid w:val="009F2F11"/>
    <w:rsid w:val="009F33A8"/>
    <w:rsid w:val="009F34A6"/>
    <w:rsid w:val="009F3707"/>
    <w:rsid w:val="009F37A9"/>
    <w:rsid w:val="009F37FA"/>
    <w:rsid w:val="009F37FF"/>
    <w:rsid w:val="009F3854"/>
    <w:rsid w:val="009F3CAF"/>
    <w:rsid w:val="009F3DC8"/>
    <w:rsid w:val="009F421F"/>
    <w:rsid w:val="009F42C1"/>
    <w:rsid w:val="009F4404"/>
    <w:rsid w:val="009F4411"/>
    <w:rsid w:val="009F449D"/>
    <w:rsid w:val="009F465C"/>
    <w:rsid w:val="009F468C"/>
    <w:rsid w:val="009F47AE"/>
    <w:rsid w:val="009F47EE"/>
    <w:rsid w:val="009F4963"/>
    <w:rsid w:val="009F4D32"/>
    <w:rsid w:val="009F4DB7"/>
    <w:rsid w:val="009F5041"/>
    <w:rsid w:val="009F5096"/>
    <w:rsid w:val="009F523A"/>
    <w:rsid w:val="009F5380"/>
    <w:rsid w:val="009F53F1"/>
    <w:rsid w:val="009F5719"/>
    <w:rsid w:val="009F5C47"/>
    <w:rsid w:val="009F5EA8"/>
    <w:rsid w:val="009F5FBB"/>
    <w:rsid w:val="009F61A3"/>
    <w:rsid w:val="009F62A9"/>
    <w:rsid w:val="009F6564"/>
    <w:rsid w:val="009F6573"/>
    <w:rsid w:val="009F657D"/>
    <w:rsid w:val="009F66B6"/>
    <w:rsid w:val="009F675F"/>
    <w:rsid w:val="009F68A0"/>
    <w:rsid w:val="009F6B6A"/>
    <w:rsid w:val="009F6C46"/>
    <w:rsid w:val="009F6FCF"/>
    <w:rsid w:val="009F70B2"/>
    <w:rsid w:val="009F762A"/>
    <w:rsid w:val="009F7A49"/>
    <w:rsid w:val="009F7F6E"/>
    <w:rsid w:val="00A00019"/>
    <w:rsid w:val="00A00AE9"/>
    <w:rsid w:val="00A00E22"/>
    <w:rsid w:val="00A012A3"/>
    <w:rsid w:val="00A0145F"/>
    <w:rsid w:val="00A01463"/>
    <w:rsid w:val="00A0146D"/>
    <w:rsid w:val="00A014DA"/>
    <w:rsid w:val="00A016E2"/>
    <w:rsid w:val="00A0173D"/>
    <w:rsid w:val="00A01801"/>
    <w:rsid w:val="00A01956"/>
    <w:rsid w:val="00A01B45"/>
    <w:rsid w:val="00A01BF5"/>
    <w:rsid w:val="00A01E3E"/>
    <w:rsid w:val="00A01EE4"/>
    <w:rsid w:val="00A01FE2"/>
    <w:rsid w:val="00A02085"/>
    <w:rsid w:val="00A02186"/>
    <w:rsid w:val="00A024FC"/>
    <w:rsid w:val="00A026BE"/>
    <w:rsid w:val="00A02798"/>
    <w:rsid w:val="00A02B15"/>
    <w:rsid w:val="00A02CDF"/>
    <w:rsid w:val="00A02CF3"/>
    <w:rsid w:val="00A03079"/>
    <w:rsid w:val="00A0328D"/>
    <w:rsid w:val="00A032E4"/>
    <w:rsid w:val="00A03475"/>
    <w:rsid w:val="00A03533"/>
    <w:rsid w:val="00A035F2"/>
    <w:rsid w:val="00A036F0"/>
    <w:rsid w:val="00A0386E"/>
    <w:rsid w:val="00A03D9B"/>
    <w:rsid w:val="00A03D9E"/>
    <w:rsid w:val="00A03F2E"/>
    <w:rsid w:val="00A0403E"/>
    <w:rsid w:val="00A0406E"/>
    <w:rsid w:val="00A041C4"/>
    <w:rsid w:val="00A041F4"/>
    <w:rsid w:val="00A04530"/>
    <w:rsid w:val="00A047CE"/>
    <w:rsid w:val="00A04CA7"/>
    <w:rsid w:val="00A04E7E"/>
    <w:rsid w:val="00A0524F"/>
    <w:rsid w:val="00A052BB"/>
    <w:rsid w:val="00A05578"/>
    <w:rsid w:val="00A05741"/>
    <w:rsid w:val="00A05785"/>
    <w:rsid w:val="00A05812"/>
    <w:rsid w:val="00A05827"/>
    <w:rsid w:val="00A06001"/>
    <w:rsid w:val="00A0613E"/>
    <w:rsid w:val="00A06406"/>
    <w:rsid w:val="00A06640"/>
    <w:rsid w:val="00A07289"/>
    <w:rsid w:val="00A07334"/>
    <w:rsid w:val="00A07609"/>
    <w:rsid w:val="00A07B5F"/>
    <w:rsid w:val="00A07DB2"/>
    <w:rsid w:val="00A1032F"/>
    <w:rsid w:val="00A10847"/>
    <w:rsid w:val="00A10E34"/>
    <w:rsid w:val="00A1108F"/>
    <w:rsid w:val="00A11111"/>
    <w:rsid w:val="00A1112D"/>
    <w:rsid w:val="00A11388"/>
    <w:rsid w:val="00A113C3"/>
    <w:rsid w:val="00A11568"/>
    <w:rsid w:val="00A115C7"/>
    <w:rsid w:val="00A11670"/>
    <w:rsid w:val="00A11AC0"/>
    <w:rsid w:val="00A11E80"/>
    <w:rsid w:val="00A11F09"/>
    <w:rsid w:val="00A1208F"/>
    <w:rsid w:val="00A123A1"/>
    <w:rsid w:val="00A1251E"/>
    <w:rsid w:val="00A12536"/>
    <w:rsid w:val="00A12D04"/>
    <w:rsid w:val="00A12D2D"/>
    <w:rsid w:val="00A12D50"/>
    <w:rsid w:val="00A13008"/>
    <w:rsid w:val="00A131C4"/>
    <w:rsid w:val="00A13223"/>
    <w:rsid w:val="00A1327C"/>
    <w:rsid w:val="00A13409"/>
    <w:rsid w:val="00A13806"/>
    <w:rsid w:val="00A139BC"/>
    <w:rsid w:val="00A14057"/>
    <w:rsid w:val="00A14191"/>
    <w:rsid w:val="00A141C2"/>
    <w:rsid w:val="00A14202"/>
    <w:rsid w:val="00A1421E"/>
    <w:rsid w:val="00A14310"/>
    <w:rsid w:val="00A143E1"/>
    <w:rsid w:val="00A144AE"/>
    <w:rsid w:val="00A14642"/>
    <w:rsid w:val="00A1486E"/>
    <w:rsid w:val="00A14C30"/>
    <w:rsid w:val="00A14D1B"/>
    <w:rsid w:val="00A15256"/>
    <w:rsid w:val="00A1527D"/>
    <w:rsid w:val="00A155B6"/>
    <w:rsid w:val="00A1586F"/>
    <w:rsid w:val="00A15AE6"/>
    <w:rsid w:val="00A15BDA"/>
    <w:rsid w:val="00A15F9B"/>
    <w:rsid w:val="00A161BE"/>
    <w:rsid w:val="00A16522"/>
    <w:rsid w:val="00A16641"/>
    <w:rsid w:val="00A16736"/>
    <w:rsid w:val="00A1687D"/>
    <w:rsid w:val="00A16952"/>
    <w:rsid w:val="00A16A62"/>
    <w:rsid w:val="00A16B6B"/>
    <w:rsid w:val="00A16C8E"/>
    <w:rsid w:val="00A16CF9"/>
    <w:rsid w:val="00A17092"/>
    <w:rsid w:val="00A173BC"/>
    <w:rsid w:val="00A173DA"/>
    <w:rsid w:val="00A17425"/>
    <w:rsid w:val="00A17687"/>
    <w:rsid w:val="00A1799F"/>
    <w:rsid w:val="00A17B4B"/>
    <w:rsid w:val="00A20127"/>
    <w:rsid w:val="00A203D2"/>
    <w:rsid w:val="00A2060D"/>
    <w:rsid w:val="00A209A1"/>
    <w:rsid w:val="00A209C3"/>
    <w:rsid w:val="00A20A5C"/>
    <w:rsid w:val="00A20E99"/>
    <w:rsid w:val="00A2106A"/>
    <w:rsid w:val="00A2121F"/>
    <w:rsid w:val="00A21276"/>
    <w:rsid w:val="00A2134A"/>
    <w:rsid w:val="00A21369"/>
    <w:rsid w:val="00A218F9"/>
    <w:rsid w:val="00A21977"/>
    <w:rsid w:val="00A21B99"/>
    <w:rsid w:val="00A21C6A"/>
    <w:rsid w:val="00A21E92"/>
    <w:rsid w:val="00A21FB5"/>
    <w:rsid w:val="00A221BD"/>
    <w:rsid w:val="00A22768"/>
    <w:rsid w:val="00A22873"/>
    <w:rsid w:val="00A22BB2"/>
    <w:rsid w:val="00A22E62"/>
    <w:rsid w:val="00A23113"/>
    <w:rsid w:val="00A23240"/>
    <w:rsid w:val="00A23390"/>
    <w:rsid w:val="00A234ED"/>
    <w:rsid w:val="00A2351A"/>
    <w:rsid w:val="00A23A02"/>
    <w:rsid w:val="00A23C5D"/>
    <w:rsid w:val="00A240DA"/>
    <w:rsid w:val="00A242A2"/>
    <w:rsid w:val="00A24467"/>
    <w:rsid w:val="00A24506"/>
    <w:rsid w:val="00A2451E"/>
    <w:rsid w:val="00A2453E"/>
    <w:rsid w:val="00A2459F"/>
    <w:rsid w:val="00A247EC"/>
    <w:rsid w:val="00A24933"/>
    <w:rsid w:val="00A2496F"/>
    <w:rsid w:val="00A24D1B"/>
    <w:rsid w:val="00A24FAC"/>
    <w:rsid w:val="00A25023"/>
    <w:rsid w:val="00A25980"/>
    <w:rsid w:val="00A25F96"/>
    <w:rsid w:val="00A26537"/>
    <w:rsid w:val="00A266E1"/>
    <w:rsid w:val="00A26F7E"/>
    <w:rsid w:val="00A27145"/>
    <w:rsid w:val="00A272F3"/>
    <w:rsid w:val="00A27363"/>
    <w:rsid w:val="00A273DC"/>
    <w:rsid w:val="00A2767D"/>
    <w:rsid w:val="00A2772C"/>
    <w:rsid w:val="00A27AB1"/>
    <w:rsid w:val="00A27C0A"/>
    <w:rsid w:val="00A27C5B"/>
    <w:rsid w:val="00A27C7F"/>
    <w:rsid w:val="00A27E53"/>
    <w:rsid w:val="00A27EC2"/>
    <w:rsid w:val="00A30337"/>
    <w:rsid w:val="00A304D1"/>
    <w:rsid w:val="00A3051F"/>
    <w:rsid w:val="00A305EE"/>
    <w:rsid w:val="00A306B3"/>
    <w:rsid w:val="00A306B8"/>
    <w:rsid w:val="00A30923"/>
    <w:rsid w:val="00A30993"/>
    <w:rsid w:val="00A30C40"/>
    <w:rsid w:val="00A310D3"/>
    <w:rsid w:val="00A3151C"/>
    <w:rsid w:val="00A315DF"/>
    <w:rsid w:val="00A3161A"/>
    <w:rsid w:val="00A31699"/>
    <w:rsid w:val="00A316C4"/>
    <w:rsid w:val="00A3174D"/>
    <w:rsid w:val="00A31B44"/>
    <w:rsid w:val="00A31C42"/>
    <w:rsid w:val="00A31F1C"/>
    <w:rsid w:val="00A3206D"/>
    <w:rsid w:val="00A3236C"/>
    <w:rsid w:val="00A32439"/>
    <w:rsid w:val="00A324C5"/>
    <w:rsid w:val="00A32699"/>
    <w:rsid w:val="00A3291B"/>
    <w:rsid w:val="00A329F7"/>
    <w:rsid w:val="00A32C07"/>
    <w:rsid w:val="00A32CB9"/>
    <w:rsid w:val="00A3302D"/>
    <w:rsid w:val="00A3309B"/>
    <w:rsid w:val="00A33200"/>
    <w:rsid w:val="00A33274"/>
    <w:rsid w:val="00A334A8"/>
    <w:rsid w:val="00A33565"/>
    <w:rsid w:val="00A3388A"/>
    <w:rsid w:val="00A338A6"/>
    <w:rsid w:val="00A33BB2"/>
    <w:rsid w:val="00A33DBF"/>
    <w:rsid w:val="00A341A4"/>
    <w:rsid w:val="00A3451A"/>
    <w:rsid w:val="00A34A14"/>
    <w:rsid w:val="00A34D16"/>
    <w:rsid w:val="00A35464"/>
    <w:rsid w:val="00A3565C"/>
    <w:rsid w:val="00A357BF"/>
    <w:rsid w:val="00A35AF1"/>
    <w:rsid w:val="00A35C30"/>
    <w:rsid w:val="00A35DA9"/>
    <w:rsid w:val="00A36070"/>
    <w:rsid w:val="00A36072"/>
    <w:rsid w:val="00A361D9"/>
    <w:rsid w:val="00A36488"/>
    <w:rsid w:val="00A369F8"/>
    <w:rsid w:val="00A36C11"/>
    <w:rsid w:val="00A36CB9"/>
    <w:rsid w:val="00A36FB4"/>
    <w:rsid w:val="00A37492"/>
    <w:rsid w:val="00A37EE5"/>
    <w:rsid w:val="00A4049B"/>
    <w:rsid w:val="00A404A7"/>
    <w:rsid w:val="00A40561"/>
    <w:rsid w:val="00A40607"/>
    <w:rsid w:val="00A406AC"/>
    <w:rsid w:val="00A409AA"/>
    <w:rsid w:val="00A40A21"/>
    <w:rsid w:val="00A40ECF"/>
    <w:rsid w:val="00A40FF2"/>
    <w:rsid w:val="00A4116E"/>
    <w:rsid w:val="00A4161F"/>
    <w:rsid w:val="00A41A9B"/>
    <w:rsid w:val="00A41B1C"/>
    <w:rsid w:val="00A41D32"/>
    <w:rsid w:val="00A41D96"/>
    <w:rsid w:val="00A41EA7"/>
    <w:rsid w:val="00A42207"/>
    <w:rsid w:val="00A42484"/>
    <w:rsid w:val="00A424FD"/>
    <w:rsid w:val="00A42535"/>
    <w:rsid w:val="00A42653"/>
    <w:rsid w:val="00A42A3C"/>
    <w:rsid w:val="00A42B9B"/>
    <w:rsid w:val="00A42C1F"/>
    <w:rsid w:val="00A42D38"/>
    <w:rsid w:val="00A42E15"/>
    <w:rsid w:val="00A42F18"/>
    <w:rsid w:val="00A435B4"/>
    <w:rsid w:val="00A4360D"/>
    <w:rsid w:val="00A43722"/>
    <w:rsid w:val="00A4410D"/>
    <w:rsid w:val="00A441E8"/>
    <w:rsid w:val="00A447FE"/>
    <w:rsid w:val="00A44D76"/>
    <w:rsid w:val="00A44F08"/>
    <w:rsid w:val="00A44FCA"/>
    <w:rsid w:val="00A45463"/>
    <w:rsid w:val="00A45521"/>
    <w:rsid w:val="00A4569E"/>
    <w:rsid w:val="00A4598D"/>
    <w:rsid w:val="00A459C9"/>
    <w:rsid w:val="00A459D4"/>
    <w:rsid w:val="00A45B15"/>
    <w:rsid w:val="00A45D0A"/>
    <w:rsid w:val="00A45D1F"/>
    <w:rsid w:val="00A45E73"/>
    <w:rsid w:val="00A45EC3"/>
    <w:rsid w:val="00A45F2A"/>
    <w:rsid w:val="00A45F53"/>
    <w:rsid w:val="00A46445"/>
    <w:rsid w:val="00A464C0"/>
    <w:rsid w:val="00A4667F"/>
    <w:rsid w:val="00A4670B"/>
    <w:rsid w:val="00A468D4"/>
    <w:rsid w:val="00A46C54"/>
    <w:rsid w:val="00A46C92"/>
    <w:rsid w:val="00A47370"/>
    <w:rsid w:val="00A479A7"/>
    <w:rsid w:val="00A47F0D"/>
    <w:rsid w:val="00A50069"/>
    <w:rsid w:val="00A501E0"/>
    <w:rsid w:val="00A509D1"/>
    <w:rsid w:val="00A50E1A"/>
    <w:rsid w:val="00A50ED3"/>
    <w:rsid w:val="00A51125"/>
    <w:rsid w:val="00A51481"/>
    <w:rsid w:val="00A51897"/>
    <w:rsid w:val="00A519A1"/>
    <w:rsid w:val="00A51F87"/>
    <w:rsid w:val="00A52326"/>
    <w:rsid w:val="00A52383"/>
    <w:rsid w:val="00A52A22"/>
    <w:rsid w:val="00A52CB9"/>
    <w:rsid w:val="00A534B2"/>
    <w:rsid w:val="00A539DF"/>
    <w:rsid w:val="00A53AB1"/>
    <w:rsid w:val="00A53AD9"/>
    <w:rsid w:val="00A53B12"/>
    <w:rsid w:val="00A53C1B"/>
    <w:rsid w:val="00A53CCD"/>
    <w:rsid w:val="00A53D73"/>
    <w:rsid w:val="00A53F28"/>
    <w:rsid w:val="00A54206"/>
    <w:rsid w:val="00A54342"/>
    <w:rsid w:val="00A543BD"/>
    <w:rsid w:val="00A5440B"/>
    <w:rsid w:val="00A54505"/>
    <w:rsid w:val="00A54672"/>
    <w:rsid w:val="00A546C9"/>
    <w:rsid w:val="00A54CE9"/>
    <w:rsid w:val="00A54D98"/>
    <w:rsid w:val="00A550A1"/>
    <w:rsid w:val="00A55137"/>
    <w:rsid w:val="00A553CD"/>
    <w:rsid w:val="00A55479"/>
    <w:rsid w:val="00A5566B"/>
    <w:rsid w:val="00A55A53"/>
    <w:rsid w:val="00A55F1B"/>
    <w:rsid w:val="00A560A8"/>
    <w:rsid w:val="00A56334"/>
    <w:rsid w:val="00A5654E"/>
    <w:rsid w:val="00A5668B"/>
    <w:rsid w:val="00A567AB"/>
    <w:rsid w:val="00A5688D"/>
    <w:rsid w:val="00A56A12"/>
    <w:rsid w:val="00A56BF1"/>
    <w:rsid w:val="00A57799"/>
    <w:rsid w:val="00A5794B"/>
    <w:rsid w:val="00A60412"/>
    <w:rsid w:val="00A609B4"/>
    <w:rsid w:val="00A609B8"/>
    <w:rsid w:val="00A60AA7"/>
    <w:rsid w:val="00A60B62"/>
    <w:rsid w:val="00A6110F"/>
    <w:rsid w:val="00A61347"/>
    <w:rsid w:val="00A61DFE"/>
    <w:rsid w:val="00A6205A"/>
    <w:rsid w:val="00A620AB"/>
    <w:rsid w:val="00A624B1"/>
    <w:rsid w:val="00A62613"/>
    <w:rsid w:val="00A62692"/>
    <w:rsid w:val="00A628A2"/>
    <w:rsid w:val="00A629F1"/>
    <w:rsid w:val="00A62B03"/>
    <w:rsid w:val="00A62EBC"/>
    <w:rsid w:val="00A6322E"/>
    <w:rsid w:val="00A632B4"/>
    <w:rsid w:val="00A636FF"/>
    <w:rsid w:val="00A63ACE"/>
    <w:rsid w:val="00A63DA4"/>
    <w:rsid w:val="00A63FB5"/>
    <w:rsid w:val="00A6400C"/>
    <w:rsid w:val="00A642A5"/>
    <w:rsid w:val="00A644E0"/>
    <w:rsid w:val="00A64A38"/>
    <w:rsid w:val="00A64CC4"/>
    <w:rsid w:val="00A64D9B"/>
    <w:rsid w:val="00A64DE9"/>
    <w:rsid w:val="00A65369"/>
    <w:rsid w:val="00A653E7"/>
    <w:rsid w:val="00A65553"/>
    <w:rsid w:val="00A655B1"/>
    <w:rsid w:val="00A657A1"/>
    <w:rsid w:val="00A657B4"/>
    <w:rsid w:val="00A6597F"/>
    <w:rsid w:val="00A659BC"/>
    <w:rsid w:val="00A65A13"/>
    <w:rsid w:val="00A65DB8"/>
    <w:rsid w:val="00A65E1B"/>
    <w:rsid w:val="00A65EDF"/>
    <w:rsid w:val="00A66358"/>
    <w:rsid w:val="00A666FD"/>
    <w:rsid w:val="00A667AB"/>
    <w:rsid w:val="00A668AB"/>
    <w:rsid w:val="00A66A90"/>
    <w:rsid w:val="00A66B54"/>
    <w:rsid w:val="00A670D3"/>
    <w:rsid w:val="00A6719D"/>
    <w:rsid w:val="00A6725A"/>
    <w:rsid w:val="00A67874"/>
    <w:rsid w:val="00A678C3"/>
    <w:rsid w:val="00A67D2F"/>
    <w:rsid w:val="00A7042C"/>
    <w:rsid w:val="00A7046F"/>
    <w:rsid w:val="00A707D4"/>
    <w:rsid w:val="00A70AD8"/>
    <w:rsid w:val="00A70BBA"/>
    <w:rsid w:val="00A70E36"/>
    <w:rsid w:val="00A714AD"/>
    <w:rsid w:val="00A71751"/>
    <w:rsid w:val="00A717A5"/>
    <w:rsid w:val="00A71DFA"/>
    <w:rsid w:val="00A71E9A"/>
    <w:rsid w:val="00A72158"/>
    <w:rsid w:val="00A723D9"/>
    <w:rsid w:val="00A72470"/>
    <w:rsid w:val="00A7247B"/>
    <w:rsid w:val="00A72550"/>
    <w:rsid w:val="00A72BB5"/>
    <w:rsid w:val="00A72BE3"/>
    <w:rsid w:val="00A72C2E"/>
    <w:rsid w:val="00A72E27"/>
    <w:rsid w:val="00A73004"/>
    <w:rsid w:val="00A73075"/>
    <w:rsid w:val="00A7310E"/>
    <w:rsid w:val="00A73209"/>
    <w:rsid w:val="00A73583"/>
    <w:rsid w:val="00A736EC"/>
    <w:rsid w:val="00A737A8"/>
    <w:rsid w:val="00A73A62"/>
    <w:rsid w:val="00A73A88"/>
    <w:rsid w:val="00A73B12"/>
    <w:rsid w:val="00A73CE6"/>
    <w:rsid w:val="00A73E66"/>
    <w:rsid w:val="00A73EAD"/>
    <w:rsid w:val="00A74076"/>
    <w:rsid w:val="00A7439D"/>
    <w:rsid w:val="00A74402"/>
    <w:rsid w:val="00A74678"/>
    <w:rsid w:val="00A746DF"/>
    <w:rsid w:val="00A74822"/>
    <w:rsid w:val="00A7498B"/>
    <w:rsid w:val="00A74CBC"/>
    <w:rsid w:val="00A74EF8"/>
    <w:rsid w:val="00A7547F"/>
    <w:rsid w:val="00A757EB"/>
    <w:rsid w:val="00A75A7A"/>
    <w:rsid w:val="00A75AB0"/>
    <w:rsid w:val="00A75EE9"/>
    <w:rsid w:val="00A760F3"/>
    <w:rsid w:val="00A76109"/>
    <w:rsid w:val="00A761DF"/>
    <w:rsid w:val="00A7623C"/>
    <w:rsid w:val="00A7636E"/>
    <w:rsid w:val="00A765D5"/>
    <w:rsid w:val="00A7666F"/>
    <w:rsid w:val="00A766CC"/>
    <w:rsid w:val="00A76A7A"/>
    <w:rsid w:val="00A76A9C"/>
    <w:rsid w:val="00A76B49"/>
    <w:rsid w:val="00A76CFD"/>
    <w:rsid w:val="00A770DB"/>
    <w:rsid w:val="00A77233"/>
    <w:rsid w:val="00A7732D"/>
    <w:rsid w:val="00A773E8"/>
    <w:rsid w:val="00A7750E"/>
    <w:rsid w:val="00A778A8"/>
    <w:rsid w:val="00A7795E"/>
    <w:rsid w:val="00A77B10"/>
    <w:rsid w:val="00A77B4C"/>
    <w:rsid w:val="00A77BAF"/>
    <w:rsid w:val="00A77CB7"/>
    <w:rsid w:val="00A77D67"/>
    <w:rsid w:val="00A77D74"/>
    <w:rsid w:val="00A77EE8"/>
    <w:rsid w:val="00A80192"/>
    <w:rsid w:val="00A80444"/>
    <w:rsid w:val="00A80B79"/>
    <w:rsid w:val="00A80DA8"/>
    <w:rsid w:val="00A80E21"/>
    <w:rsid w:val="00A80FE5"/>
    <w:rsid w:val="00A81240"/>
    <w:rsid w:val="00A813DD"/>
    <w:rsid w:val="00A81435"/>
    <w:rsid w:val="00A81862"/>
    <w:rsid w:val="00A819DA"/>
    <w:rsid w:val="00A81A99"/>
    <w:rsid w:val="00A81BCA"/>
    <w:rsid w:val="00A81C7A"/>
    <w:rsid w:val="00A81CD9"/>
    <w:rsid w:val="00A82188"/>
    <w:rsid w:val="00A82306"/>
    <w:rsid w:val="00A82334"/>
    <w:rsid w:val="00A823C2"/>
    <w:rsid w:val="00A82442"/>
    <w:rsid w:val="00A8289E"/>
    <w:rsid w:val="00A82CC5"/>
    <w:rsid w:val="00A83205"/>
    <w:rsid w:val="00A83361"/>
    <w:rsid w:val="00A83876"/>
    <w:rsid w:val="00A83CDF"/>
    <w:rsid w:val="00A83D12"/>
    <w:rsid w:val="00A83FD7"/>
    <w:rsid w:val="00A8400C"/>
    <w:rsid w:val="00A8422E"/>
    <w:rsid w:val="00A84434"/>
    <w:rsid w:val="00A8492B"/>
    <w:rsid w:val="00A849D8"/>
    <w:rsid w:val="00A84C2E"/>
    <w:rsid w:val="00A84EC5"/>
    <w:rsid w:val="00A850E5"/>
    <w:rsid w:val="00A85179"/>
    <w:rsid w:val="00A858D0"/>
    <w:rsid w:val="00A859FC"/>
    <w:rsid w:val="00A85C98"/>
    <w:rsid w:val="00A85E5A"/>
    <w:rsid w:val="00A863CB"/>
    <w:rsid w:val="00A8673C"/>
    <w:rsid w:val="00A86741"/>
    <w:rsid w:val="00A86A8D"/>
    <w:rsid w:val="00A86ACA"/>
    <w:rsid w:val="00A86EFA"/>
    <w:rsid w:val="00A870B7"/>
    <w:rsid w:val="00A871AD"/>
    <w:rsid w:val="00A87424"/>
    <w:rsid w:val="00A87B70"/>
    <w:rsid w:val="00A87D38"/>
    <w:rsid w:val="00A87E1A"/>
    <w:rsid w:val="00A9005C"/>
    <w:rsid w:val="00A90062"/>
    <w:rsid w:val="00A90210"/>
    <w:rsid w:val="00A9088A"/>
    <w:rsid w:val="00A90F10"/>
    <w:rsid w:val="00A91474"/>
    <w:rsid w:val="00A917AF"/>
    <w:rsid w:val="00A91809"/>
    <w:rsid w:val="00A9188E"/>
    <w:rsid w:val="00A918A0"/>
    <w:rsid w:val="00A91C68"/>
    <w:rsid w:val="00A91DE0"/>
    <w:rsid w:val="00A92159"/>
    <w:rsid w:val="00A9222B"/>
    <w:rsid w:val="00A9228F"/>
    <w:rsid w:val="00A927ED"/>
    <w:rsid w:val="00A929FD"/>
    <w:rsid w:val="00A92BF7"/>
    <w:rsid w:val="00A92F24"/>
    <w:rsid w:val="00A92F3D"/>
    <w:rsid w:val="00A931C2"/>
    <w:rsid w:val="00A9324E"/>
    <w:rsid w:val="00A934BB"/>
    <w:rsid w:val="00A93694"/>
    <w:rsid w:val="00A93716"/>
    <w:rsid w:val="00A93C27"/>
    <w:rsid w:val="00A93D2C"/>
    <w:rsid w:val="00A940FB"/>
    <w:rsid w:val="00A94402"/>
    <w:rsid w:val="00A94467"/>
    <w:rsid w:val="00A94540"/>
    <w:rsid w:val="00A94628"/>
    <w:rsid w:val="00A948D8"/>
    <w:rsid w:val="00A94C70"/>
    <w:rsid w:val="00A94F93"/>
    <w:rsid w:val="00A94FE4"/>
    <w:rsid w:val="00A9574B"/>
    <w:rsid w:val="00A957E7"/>
    <w:rsid w:val="00A95ADA"/>
    <w:rsid w:val="00A95C54"/>
    <w:rsid w:val="00A95C82"/>
    <w:rsid w:val="00A95CA7"/>
    <w:rsid w:val="00A95D5E"/>
    <w:rsid w:val="00A95F36"/>
    <w:rsid w:val="00A9608A"/>
    <w:rsid w:val="00A960F7"/>
    <w:rsid w:val="00A9610D"/>
    <w:rsid w:val="00A96280"/>
    <w:rsid w:val="00A9649D"/>
    <w:rsid w:val="00A96547"/>
    <w:rsid w:val="00A9659C"/>
    <w:rsid w:val="00A9675A"/>
    <w:rsid w:val="00A969BC"/>
    <w:rsid w:val="00A970E9"/>
    <w:rsid w:val="00A97155"/>
    <w:rsid w:val="00A971B8"/>
    <w:rsid w:val="00A97268"/>
    <w:rsid w:val="00A976B7"/>
    <w:rsid w:val="00A9783E"/>
    <w:rsid w:val="00A978A9"/>
    <w:rsid w:val="00A979B4"/>
    <w:rsid w:val="00A97CEA"/>
    <w:rsid w:val="00AA0269"/>
    <w:rsid w:val="00AA0614"/>
    <w:rsid w:val="00AA0663"/>
    <w:rsid w:val="00AA0DFF"/>
    <w:rsid w:val="00AA0E24"/>
    <w:rsid w:val="00AA130E"/>
    <w:rsid w:val="00AA13A9"/>
    <w:rsid w:val="00AA1401"/>
    <w:rsid w:val="00AA175A"/>
    <w:rsid w:val="00AA1E88"/>
    <w:rsid w:val="00AA1F6C"/>
    <w:rsid w:val="00AA1FF8"/>
    <w:rsid w:val="00AA20A7"/>
    <w:rsid w:val="00AA22D5"/>
    <w:rsid w:val="00AA2723"/>
    <w:rsid w:val="00AA27E3"/>
    <w:rsid w:val="00AA2B3F"/>
    <w:rsid w:val="00AA2B7D"/>
    <w:rsid w:val="00AA2E72"/>
    <w:rsid w:val="00AA3195"/>
    <w:rsid w:val="00AA31D0"/>
    <w:rsid w:val="00AA3253"/>
    <w:rsid w:val="00AA3909"/>
    <w:rsid w:val="00AA435A"/>
    <w:rsid w:val="00AA443E"/>
    <w:rsid w:val="00AA4460"/>
    <w:rsid w:val="00AA4632"/>
    <w:rsid w:val="00AA46F4"/>
    <w:rsid w:val="00AA48E1"/>
    <w:rsid w:val="00AA49A5"/>
    <w:rsid w:val="00AA4CD0"/>
    <w:rsid w:val="00AA52F8"/>
    <w:rsid w:val="00AA53F3"/>
    <w:rsid w:val="00AA5502"/>
    <w:rsid w:val="00AA55A4"/>
    <w:rsid w:val="00AA5BDA"/>
    <w:rsid w:val="00AA5D75"/>
    <w:rsid w:val="00AA5D8B"/>
    <w:rsid w:val="00AA5DF4"/>
    <w:rsid w:val="00AA60AD"/>
    <w:rsid w:val="00AA63DE"/>
    <w:rsid w:val="00AA6775"/>
    <w:rsid w:val="00AA680B"/>
    <w:rsid w:val="00AA698A"/>
    <w:rsid w:val="00AA6B6C"/>
    <w:rsid w:val="00AA6CA1"/>
    <w:rsid w:val="00AA6FB3"/>
    <w:rsid w:val="00AA702C"/>
    <w:rsid w:val="00AA70BB"/>
    <w:rsid w:val="00AA7150"/>
    <w:rsid w:val="00AA729E"/>
    <w:rsid w:val="00AA72F4"/>
    <w:rsid w:val="00AA7580"/>
    <w:rsid w:val="00AA76E8"/>
    <w:rsid w:val="00AA7A95"/>
    <w:rsid w:val="00AA7AF7"/>
    <w:rsid w:val="00AA7D09"/>
    <w:rsid w:val="00AA7E22"/>
    <w:rsid w:val="00AB0203"/>
    <w:rsid w:val="00AB042D"/>
    <w:rsid w:val="00AB0674"/>
    <w:rsid w:val="00AB097C"/>
    <w:rsid w:val="00AB0D0E"/>
    <w:rsid w:val="00AB132C"/>
    <w:rsid w:val="00AB14B0"/>
    <w:rsid w:val="00AB1591"/>
    <w:rsid w:val="00AB1970"/>
    <w:rsid w:val="00AB1B2F"/>
    <w:rsid w:val="00AB1B41"/>
    <w:rsid w:val="00AB2229"/>
    <w:rsid w:val="00AB2309"/>
    <w:rsid w:val="00AB2948"/>
    <w:rsid w:val="00AB2AF6"/>
    <w:rsid w:val="00AB2D5A"/>
    <w:rsid w:val="00AB324A"/>
    <w:rsid w:val="00AB33E3"/>
    <w:rsid w:val="00AB35F5"/>
    <w:rsid w:val="00AB39C8"/>
    <w:rsid w:val="00AB3C8D"/>
    <w:rsid w:val="00AB4504"/>
    <w:rsid w:val="00AB4783"/>
    <w:rsid w:val="00AB49DA"/>
    <w:rsid w:val="00AB4A42"/>
    <w:rsid w:val="00AB4ACF"/>
    <w:rsid w:val="00AB4E02"/>
    <w:rsid w:val="00AB4EAE"/>
    <w:rsid w:val="00AB4FD7"/>
    <w:rsid w:val="00AB5193"/>
    <w:rsid w:val="00AB54F6"/>
    <w:rsid w:val="00AB57F4"/>
    <w:rsid w:val="00AB5FE3"/>
    <w:rsid w:val="00AB612C"/>
    <w:rsid w:val="00AB618E"/>
    <w:rsid w:val="00AB631B"/>
    <w:rsid w:val="00AB6497"/>
    <w:rsid w:val="00AB6524"/>
    <w:rsid w:val="00AB653B"/>
    <w:rsid w:val="00AB6564"/>
    <w:rsid w:val="00AB675F"/>
    <w:rsid w:val="00AB67F5"/>
    <w:rsid w:val="00AB6AC9"/>
    <w:rsid w:val="00AB6B70"/>
    <w:rsid w:val="00AB6CB2"/>
    <w:rsid w:val="00AB6D80"/>
    <w:rsid w:val="00AB6DB0"/>
    <w:rsid w:val="00AB6FB8"/>
    <w:rsid w:val="00AB713C"/>
    <w:rsid w:val="00AB739B"/>
    <w:rsid w:val="00AB75CB"/>
    <w:rsid w:val="00AB77C4"/>
    <w:rsid w:val="00AB787A"/>
    <w:rsid w:val="00AB7A89"/>
    <w:rsid w:val="00AB7A97"/>
    <w:rsid w:val="00AC00CE"/>
    <w:rsid w:val="00AC0250"/>
    <w:rsid w:val="00AC02FA"/>
    <w:rsid w:val="00AC0301"/>
    <w:rsid w:val="00AC03C9"/>
    <w:rsid w:val="00AC0456"/>
    <w:rsid w:val="00AC061A"/>
    <w:rsid w:val="00AC0628"/>
    <w:rsid w:val="00AC06EE"/>
    <w:rsid w:val="00AC0787"/>
    <w:rsid w:val="00AC0ACD"/>
    <w:rsid w:val="00AC0BC7"/>
    <w:rsid w:val="00AC0C07"/>
    <w:rsid w:val="00AC0CD0"/>
    <w:rsid w:val="00AC0E16"/>
    <w:rsid w:val="00AC0E67"/>
    <w:rsid w:val="00AC1054"/>
    <w:rsid w:val="00AC1B62"/>
    <w:rsid w:val="00AC1E14"/>
    <w:rsid w:val="00AC20A6"/>
    <w:rsid w:val="00AC2971"/>
    <w:rsid w:val="00AC2991"/>
    <w:rsid w:val="00AC2C43"/>
    <w:rsid w:val="00AC31A7"/>
    <w:rsid w:val="00AC340C"/>
    <w:rsid w:val="00AC3466"/>
    <w:rsid w:val="00AC358F"/>
    <w:rsid w:val="00AC367D"/>
    <w:rsid w:val="00AC3B90"/>
    <w:rsid w:val="00AC3E21"/>
    <w:rsid w:val="00AC3E3B"/>
    <w:rsid w:val="00AC3FF9"/>
    <w:rsid w:val="00AC4394"/>
    <w:rsid w:val="00AC444C"/>
    <w:rsid w:val="00AC452E"/>
    <w:rsid w:val="00AC48E9"/>
    <w:rsid w:val="00AC4A95"/>
    <w:rsid w:val="00AC4AB5"/>
    <w:rsid w:val="00AC4CC8"/>
    <w:rsid w:val="00AC50D3"/>
    <w:rsid w:val="00AC526A"/>
    <w:rsid w:val="00AC54D4"/>
    <w:rsid w:val="00AC577D"/>
    <w:rsid w:val="00AC5C78"/>
    <w:rsid w:val="00AC5C96"/>
    <w:rsid w:val="00AC5CE3"/>
    <w:rsid w:val="00AC5F04"/>
    <w:rsid w:val="00AC5F46"/>
    <w:rsid w:val="00AC64F6"/>
    <w:rsid w:val="00AC6AA4"/>
    <w:rsid w:val="00AC6C57"/>
    <w:rsid w:val="00AC6FD0"/>
    <w:rsid w:val="00AC7055"/>
    <w:rsid w:val="00AC7236"/>
    <w:rsid w:val="00AC7491"/>
    <w:rsid w:val="00AC75B0"/>
    <w:rsid w:val="00AC78DA"/>
    <w:rsid w:val="00AC7E54"/>
    <w:rsid w:val="00AD01AF"/>
    <w:rsid w:val="00AD0636"/>
    <w:rsid w:val="00AD0705"/>
    <w:rsid w:val="00AD09D7"/>
    <w:rsid w:val="00AD0C07"/>
    <w:rsid w:val="00AD0E98"/>
    <w:rsid w:val="00AD0EA1"/>
    <w:rsid w:val="00AD0FD9"/>
    <w:rsid w:val="00AD1040"/>
    <w:rsid w:val="00AD13B4"/>
    <w:rsid w:val="00AD141B"/>
    <w:rsid w:val="00AD1497"/>
    <w:rsid w:val="00AD15B3"/>
    <w:rsid w:val="00AD15E7"/>
    <w:rsid w:val="00AD1740"/>
    <w:rsid w:val="00AD17B2"/>
    <w:rsid w:val="00AD1AB5"/>
    <w:rsid w:val="00AD1D1D"/>
    <w:rsid w:val="00AD1EAE"/>
    <w:rsid w:val="00AD1FE6"/>
    <w:rsid w:val="00AD207A"/>
    <w:rsid w:val="00AD22F8"/>
    <w:rsid w:val="00AD239C"/>
    <w:rsid w:val="00AD23B8"/>
    <w:rsid w:val="00AD23C6"/>
    <w:rsid w:val="00AD29D6"/>
    <w:rsid w:val="00AD2C75"/>
    <w:rsid w:val="00AD2CF3"/>
    <w:rsid w:val="00AD2DC1"/>
    <w:rsid w:val="00AD2DF2"/>
    <w:rsid w:val="00AD2E2A"/>
    <w:rsid w:val="00AD2FDB"/>
    <w:rsid w:val="00AD3248"/>
    <w:rsid w:val="00AD32FC"/>
    <w:rsid w:val="00AD345E"/>
    <w:rsid w:val="00AD34E6"/>
    <w:rsid w:val="00AD38D4"/>
    <w:rsid w:val="00AD3C16"/>
    <w:rsid w:val="00AD41BC"/>
    <w:rsid w:val="00AD42C7"/>
    <w:rsid w:val="00AD42DB"/>
    <w:rsid w:val="00AD42E8"/>
    <w:rsid w:val="00AD432B"/>
    <w:rsid w:val="00AD4362"/>
    <w:rsid w:val="00AD46AA"/>
    <w:rsid w:val="00AD4741"/>
    <w:rsid w:val="00AD478A"/>
    <w:rsid w:val="00AD498D"/>
    <w:rsid w:val="00AD4A8C"/>
    <w:rsid w:val="00AD4B16"/>
    <w:rsid w:val="00AD4B81"/>
    <w:rsid w:val="00AD4D28"/>
    <w:rsid w:val="00AD4D76"/>
    <w:rsid w:val="00AD5155"/>
    <w:rsid w:val="00AD52FE"/>
    <w:rsid w:val="00AD537F"/>
    <w:rsid w:val="00AD5620"/>
    <w:rsid w:val="00AD5C36"/>
    <w:rsid w:val="00AD6035"/>
    <w:rsid w:val="00AD6075"/>
    <w:rsid w:val="00AD6385"/>
    <w:rsid w:val="00AD63D2"/>
    <w:rsid w:val="00AD67A7"/>
    <w:rsid w:val="00AD69FB"/>
    <w:rsid w:val="00AD6F26"/>
    <w:rsid w:val="00AD703A"/>
    <w:rsid w:val="00AD71DD"/>
    <w:rsid w:val="00AD73E5"/>
    <w:rsid w:val="00AD7518"/>
    <w:rsid w:val="00AD7614"/>
    <w:rsid w:val="00AD7632"/>
    <w:rsid w:val="00AD7863"/>
    <w:rsid w:val="00AD7A72"/>
    <w:rsid w:val="00AD7D9F"/>
    <w:rsid w:val="00AD7E3C"/>
    <w:rsid w:val="00AD7F00"/>
    <w:rsid w:val="00AD7FCD"/>
    <w:rsid w:val="00AE0446"/>
    <w:rsid w:val="00AE0789"/>
    <w:rsid w:val="00AE0893"/>
    <w:rsid w:val="00AE09B3"/>
    <w:rsid w:val="00AE09DF"/>
    <w:rsid w:val="00AE0A63"/>
    <w:rsid w:val="00AE0D0C"/>
    <w:rsid w:val="00AE0E6E"/>
    <w:rsid w:val="00AE1049"/>
    <w:rsid w:val="00AE1744"/>
    <w:rsid w:val="00AE19E5"/>
    <w:rsid w:val="00AE1B20"/>
    <w:rsid w:val="00AE1C8E"/>
    <w:rsid w:val="00AE1E11"/>
    <w:rsid w:val="00AE1F61"/>
    <w:rsid w:val="00AE229F"/>
    <w:rsid w:val="00AE24A6"/>
    <w:rsid w:val="00AE25AC"/>
    <w:rsid w:val="00AE2AF7"/>
    <w:rsid w:val="00AE2AFA"/>
    <w:rsid w:val="00AE2FA2"/>
    <w:rsid w:val="00AE32CA"/>
    <w:rsid w:val="00AE3565"/>
    <w:rsid w:val="00AE35A6"/>
    <w:rsid w:val="00AE379F"/>
    <w:rsid w:val="00AE381E"/>
    <w:rsid w:val="00AE39F1"/>
    <w:rsid w:val="00AE3A81"/>
    <w:rsid w:val="00AE4083"/>
    <w:rsid w:val="00AE4611"/>
    <w:rsid w:val="00AE486C"/>
    <w:rsid w:val="00AE4A99"/>
    <w:rsid w:val="00AE5455"/>
    <w:rsid w:val="00AE56F3"/>
    <w:rsid w:val="00AE58A2"/>
    <w:rsid w:val="00AE5914"/>
    <w:rsid w:val="00AE5929"/>
    <w:rsid w:val="00AE5966"/>
    <w:rsid w:val="00AE5A9D"/>
    <w:rsid w:val="00AE5AEC"/>
    <w:rsid w:val="00AE5AFA"/>
    <w:rsid w:val="00AE5CCC"/>
    <w:rsid w:val="00AE5D5E"/>
    <w:rsid w:val="00AE5D9D"/>
    <w:rsid w:val="00AE5E1E"/>
    <w:rsid w:val="00AE63E9"/>
    <w:rsid w:val="00AE6955"/>
    <w:rsid w:val="00AE6B3B"/>
    <w:rsid w:val="00AE6B52"/>
    <w:rsid w:val="00AE6B58"/>
    <w:rsid w:val="00AE7374"/>
    <w:rsid w:val="00AE76D7"/>
    <w:rsid w:val="00AE7BA5"/>
    <w:rsid w:val="00AE7C8D"/>
    <w:rsid w:val="00AE7D89"/>
    <w:rsid w:val="00AE7F21"/>
    <w:rsid w:val="00AF010F"/>
    <w:rsid w:val="00AF0130"/>
    <w:rsid w:val="00AF013D"/>
    <w:rsid w:val="00AF0497"/>
    <w:rsid w:val="00AF0554"/>
    <w:rsid w:val="00AF0579"/>
    <w:rsid w:val="00AF08A5"/>
    <w:rsid w:val="00AF0902"/>
    <w:rsid w:val="00AF0C3F"/>
    <w:rsid w:val="00AF0E9C"/>
    <w:rsid w:val="00AF10EA"/>
    <w:rsid w:val="00AF1141"/>
    <w:rsid w:val="00AF13C7"/>
    <w:rsid w:val="00AF156C"/>
    <w:rsid w:val="00AF18C8"/>
    <w:rsid w:val="00AF1A51"/>
    <w:rsid w:val="00AF1ABA"/>
    <w:rsid w:val="00AF1B3C"/>
    <w:rsid w:val="00AF1D97"/>
    <w:rsid w:val="00AF2014"/>
    <w:rsid w:val="00AF23A7"/>
    <w:rsid w:val="00AF23F2"/>
    <w:rsid w:val="00AF241D"/>
    <w:rsid w:val="00AF2480"/>
    <w:rsid w:val="00AF26CA"/>
    <w:rsid w:val="00AF26CD"/>
    <w:rsid w:val="00AF2873"/>
    <w:rsid w:val="00AF294E"/>
    <w:rsid w:val="00AF29FC"/>
    <w:rsid w:val="00AF2A43"/>
    <w:rsid w:val="00AF2ED5"/>
    <w:rsid w:val="00AF2F5D"/>
    <w:rsid w:val="00AF33D1"/>
    <w:rsid w:val="00AF34B5"/>
    <w:rsid w:val="00AF3696"/>
    <w:rsid w:val="00AF36DA"/>
    <w:rsid w:val="00AF3898"/>
    <w:rsid w:val="00AF39CB"/>
    <w:rsid w:val="00AF3B54"/>
    <w:rsid w:val="00AF3C9D"/>
    <w:rsid w:val="00AF3EC9"/>
    <w:rsid w:val="00AF438B"/>
    <w:rsid w:val="00AF4470"/>
    <w:rsid w:val="00AF4498"/>
    <w:rsid w:val="00AF4528"/>
    <w:rsid w:val="00AF45B8"/>
    <w:rsid w:val="00AF4AFF"/>
    <w:rsid w:val="00AF4C0F"/>
    <w:rsid w:val="00AF4FC4"/>
    <w:rsid w:val="00AF5028"/>
    <w:rsid w:val="00AF5284"/>
    <w:rsid w:val="00AF5BBF"/>
    <w:rsid w:val="00AF5BE6"/>
    <w:rsid w:val="00AF5E5E"/>
    <w:rsid w:val="00AF61F2"/>
    <w:rsid w:val="00AF62B0"/>
    <w:rsid w:val="00AF633E"/>
    <w:rsid w:val="00AF64A2"/>
    <w:rsid w:val="00AF669E"/>
    <w:rsid w:val="00AF66FC"/>
    <w:rsid w:val="00AF68A9"/>
    <w:rsid w:val="00AF6A10"/>
    <w:rsid w:val="00AF6A80"/>
    <w:rsid w:val="00AF6D63"/>
    <w:rsid w:val="00AF6F69"/>
    <w:rsid w:val="00AF70F2"/>
    <w:rsid w:val="00AF725F"/>
    <w:rsid w:val="00AF7412"/>
    <w:rsid w:val="00AF744F"/>
    <w:rsid w:val="00AF77A5"/>
    <w:rsid w:val="00AF78A0"/>
    <w:rsid w:val="00AF7AA1"/>
    <w:rsid w:val="00AF7B0B"/>
    <w:rsid w:val="00AF7B1E"/>
    <w:rsid w:val="00AF7C2F"/>
    <w:rsid w:val="00AF7D91"/>
    <w:rsid w:val="00B00087"/>
    <w:rsid w:val="00B002A0"/>
    <w:rsid w:val="00B002D8"/>
    <w:rsid w:val="00B00445"/>
    <w:rsid w:val="00B0051C"/>
    <w:rsid w:val="00B00796"/>
    <w:rsid w:val="00B009D4"/>
    <w:rsid w:val="00B01372"/>
    <w:rsid w:val="00B016E4"/>
    <w:rsid w:val="00B01B62"/>
    <w:rsid w:val="00B01B8F"/>
    <w:rsid w:val="00B01CF0"/>
    <w:rsid w:val="00B01D72"/>
    <w:rsid w:val="00B02171"/>
    <w:rsid w:val="00B02605"/>
    <w:rsid w:val="00B02863"/>
    <w:rsid w:val="00B02A0D"/>
    <w:rsid w:val="00B02AF4"/>
    <w:rsid w:val="00B02DE7"/>
    <w:rsid w:val="00B034E3"/>
    <w:rsid w:val="00B03971"/>
    <w:rsid w:val="00B03A24"/>
    <w:rsid w:val="00B03EF6"/>
    <w:rsid w:val="00B0406F"/>
    <w:rsid w:val="00B041A3"/>
    <w:rsid w:val="00B042EB"/>
    <w:rsid w:val="00B04855"/>
    <w:rsid w:val="00B04C40"/>
    <w:rsid w:val="00B05139"/>
    <w:rsid w:val="00B054FF"/>
    <w:rsid w:val="00B05715"/>
    <w:rsid w:val="00B05839"/>
    <w:rsid w:val="00B05A05"/>
    <w:rsid w:val="00B05ABC"/>
    <w:rsid w:val="00B06082"/>
    <w:rsid w:val="00B060C4"/>
    <w:rsid w:val="00B06108"/>
    <w:rsid w:val="00B061C4"/>
    <w:rsid w:val="00B065A4"/>
    <w:rsid w:val="00B0672C"/>
    <w:rsid w:val="00B068CE"/>
    <w:rsid w:val="00B06B91"/>
    <w:rsid w:val="00B07204"/>
    <w:rsid w:val="00B0742A"/>
    <w:rsid w:val="00B07544"/>
    <w:rsid w:val="00B07558"/>
    <w:rsid w:val="00B07761"/>
    <w:rsid w:val="00B07AAA"/>
    <w:rsid w:val="00B07D0E"/>
    <w:rsid w:val="00B07F99"/>
    <w:rsid w:val="00B1011A"/>
    <w:rsid w:val="00B10B39"/>
    <w:rsid w:val="00B10D4D"/>
    <w:rsid w:val="00B10FAB"/>
    <w:rsid w:val="00B111A9"/>
    <w:rsid w:val="00B113FD"/>
    <w:rsid w:val="00B1151B"/>
    <w:rsid w:val="00B118D1"/>
    <w:rsid w:val="00B118E6"/>
    <w:rsid w:val="00B11C31"/>
    <w:rsid w:val="00B11EBA"/>
    <w:rsid w:val="00B120D8"/>
    <w:rsid w:val="00B12403"/>
    <w:rsid w:val="00B125AB"/>
    <w:rsid w:val="00B1265E"/>
    <w:rsid w:val="00B12824"/>
    <w:rsid w:val="00B1295F"/>
    <w:rsid w:val="00B12C19"/>
    <w:rsid w:val="00B12D56"/>
    <w:rsid w:val="00B12DF2"/>
    <w:rsid w:val="00B12F59"/>
    <w:rsid w:val="00B13069"/>
    <w:rsid w:val="00B1307F"/>
    <w:rsid w:val="00B134AD"/>
    <w:rsid w:val="00B134D0"/>
    <w:rsid w:val="00B1398E"/>
    <w:rsid w:val="00B13B68"/>
    <w:rsid w:val="00B13D51"/>
    <w:rsid w:val="00B13E2F"/>
    <w:rsid w:val="00B14086"/>
    <w:rsid w:val="00B140A2"/>
    <w:rsid w:val="00B14566"/>
    <w:rsid w:val="00B1473A"/>
    <w:rsid w:val="00B14778"/>
    <w:rsid w:val="00B149E6"/>
    <w:rsid w:val="00B14B9B"/>
    <w:rsid w:val="00B14BA7"/>
    <w:rsid w:val="00B14BAD"/>
    <w:rsid w:val="00B14BE6"/>
    <w:rsid w:val="00B14C5D"/>
    <w:rsid w:val="00B14CD7"/>
    <w:rsid w:val="00B151F3"/>
    <w:rsid w:val="00B15330"/>
    <w:rsid w:val="00B1562D"/>
    <w:rsid w:val="00B15B2C"/>
    <w:rsid w:val="00B15BF1"/>
    <w:rsid w:val="00B15DAC"/>
    <w:rsid w:val="00B15DB1"/>
    <w:rsid w:val="00B15F2A"/>
    <w:rsid w:val="00B16041"/>
    <w:rsid w:val="00B16388"/>
    <w:rsid w:val="00B16422"/>
    <w:rsid w:val="00B16AD7"/>
    <w:rsid w:val="00B16B41"/>
    <w:rsid w:val="00B16E17"/>
    <w:rsid w:val="00B16F21"/>
    <w:rsid w:val="00B171D7"/>
    <w:rsid w:val="00B175EE"/>
    <w:rsid w:val="00B17720"/>
    <w:rsid w:val="00B17C4F"/>
    <w:rsid w:val="00B17FAE"/>
    <w:rsid w:val="00B202CB"/>
    <w:rsid w:val="00B2036E"/>
    <w:rsid w:val="00B20562"/>
    <w:rsid w:val="00B2065B"/>
    <w:rsid w:val="00B20C64"/>
    <w:rsid w:val="00B21431"/>
    <w:rsid w:val="00B21461"/>
    <w:rsid w:val="00B21483"/>
    <w:rsid w:val="00B21889"/>
    <w:rsid w:val="00B21A4D"/>
    <w:rsid w:val="00B21A52"/>
    <w:rsid w:val="00B21C92"/>
    <w:rsid w:val="00B21D06"/>
    <w:rsid w:val="00B22319"/>
    <w:rsid w:val="00B2250B"/>
    <w:rsid w:val="00B22705"/>
    <w:rsid w:val="00B22962"/>
    <w:rsid w:val="00B22DCE"/>
    <w:rsid w:val="00B22EF2"/>
    <w:rsid w:val="00B22F17"/>
    <w:rsid w:val="00B22FA5"/>
    <w:rsid w:val="00B2309A"/>
    <w:rsid w:val="00B23C0B"/>
    <w:rsid w:val="00B23D14"/>
    <w:rsid w:val="00B23E8F"/>
    <w:rsid w:val="00B24063"/>
    <w:rsid w:val="00B244FC"/>
    <w:rsid w:val="00B245B5"/>
    <w:rsid w:val="00B24A3D"/>
    <w:rsid w:val="00B24B83"/>
    <w:rsid w:val="00B24CC7"/>
    <w:rsid w:val="00B24E04"/>
    <w:rsid w:val="00B2519B"/>
    <w:rsid w:val="00B255EB"/>
    <w:rsid w:val="00B255ED"/>
    <w:rsid w:val="00B25639"/>
    <w:rsid w:val="00B25664"/>
    <w:rsid w:val="00B257C4"/>
    <w:rsid w:val="00B25900"/>
    <w:rsid w:val="00B25972"/>
    <w:rsid w:val="00B25DB4"/>
    <w:rsid w:val="00B26204"/>
    <w:rsid w:val="00B26301"/>
    <w:rsid w:val="00B26B4F"/>
    <w:rsid w:val="00B26C73"/>
    <w:rsid w:val="00B270C0"/>
    <w:rsid w:val="00B27232"/>
    <w:rsid w:val="00B27608"/>
    <w:rsid w:val="00B27B3F"/>
    <w:rsid w:val="00B27BD0"/>
    <w:rsid w:val="00B3015E"/>
    <w:rsid w:val="00B301D8"/>
    <w:rsid w:val="00B304F4"/>
    <w:rsid w:val="00B305B8"/>
    <w:rsid w:val="00B3082B"/>
    <w:rsid w:val="00B311AC"/>
    <w:rsid w:val="00B311C9"/>
    <w:rsid w:val="00B313C5"/>
    <w:rsid w:val="00B31493"/>
    <w:rsid w:val="00B31A81"/>
    <w:rsid w:val="00B31C0E"/>
    <w:rsid w:val="00B31DBF"/>
    <w:rsid w:val="00B31E2E"/>
    <w:rsid w:val="00B32164"/>
    <w:rsid w:val="00B321A3"/>
    <w:rsid w:val="00B32743"/>
    <w:rsid w:val="00B3276C"/>
    <w:rsid w:val="00B32AEC"/>
    <w:rsid w:val="00B32B9F"/>
    <w:rsid w:val="00B32E63"/>
    <w:rsid w:val="00B33191"/>
    <w:rsid w:val="00B33385"/>
    <w:rsid w:val="00B334FE"/>
    <w:rsid w:val="00B339F3"/>
    <w:rsid w:val="00B33DA7"/>
    <w:rsid w:val="00B33E0E"/>
    <w:rsid w:val="00B340BE"/>
    <w:rsid w:val="00B341F2"/>
    <w:rsid w:val="00B34263"/>
    <w:rsid w:val="00B342CB"/>
    <w:rsid w:val="00B34350"/>
    <w:rsid w:val="00B34613"/>
    <w:rsid w:val="00B34B47"/>
    <w:rsid w:val="00B34E63"/>
    <w:rsid w:val="00B34F7D"/>
    <w:rsid w:val="00B3500A"/>
    <w:rsid w:val="00B351AA"/>
    <w:rsid w:val="00B3544D"/>
    <w:rsid w:val="00B35AE3"/>
    <w:rsid w:val="00B35AEE"/>
    <w:rsid w:val="00B35AF2"/>
    <w:rsid w:val="00B35DD8"/>
    <w:rsid w:val="00B3620A"/>
    <w:rsid w:val="00B36379"/>
    <w:rsid w:val="00B364AE"/>
    <w:rsid w:val="00B3656A"/>
    <w:rsid w:val="00B36A3C"/>
    <w:rsid w:val="00B36BED"/>
    <w:rsid w:val="00B3716B"/>
    <w:rsid w:val="00B371F5"/>
    <w:rsid w:val="00B3747C"/>
    <w:rsid w:val="00B377B6"/>
    <w:rsid w:val="00B3789E"/>
    <w:rsid w:val="00B37B42"/>
    <w:rsid w:val="00B37BA3"/>
    <w:rsid w:val="00B37BF0"/>
    <w:rsid w:val="00B37E5F"/>
    <w:rsid w:val="00B37FEC"/>
    <w:rsid w:val="00B40066"/>
    <w:rsid w:val="00B4011A"/>
    <w:rsid w:val="00B4033A"/>
    <w:rsid w:val="00B40352"/>
    <w:rsid w:val="00B40363"/>
    <w:rsid w:val="00B40776"/>
    <w:rsid w:val="00B4083E"/>
    <w:rsid w:val="00B408A2"/>
    <w:rsid w:val="00B408A5"/>
    <w:rsid w:val="00B40ABF"/>
    <w:rsid w:val="00B40C09"/>
    <w:rsid w:val="00B40D6B"/>
    <w:rsid w:val="00B40E62"/>
    <w:rsid w:val="00B40FDB"/>
    <w:rsid w:val="00B41AD0"/>
    <w:rsid w:val="00B41D32"/>
    <w:rsid w:val="00B41E80"/>
    <w:rsid w:val="00B420F9"/>
    <w:rsid w:val="00B428FC"/>
    <w:rsid w:val="00B4292F"/>
    <w:rsid w:val="00B42B0A"/>
    <w:rsid w:val="00B42BE0"/>
    <w:rsid w:val="00B42C9F"/>
    <w:rsid w:val="00B42FE2"/>
    <w:rsid w:val="00B432ED"/>
    <w:rsid w:val="00B43623"/>
    <w:rsid w:val="00B43675"/>
    <w:rsid w:val="00B436B4"/>
    <w:rsid w:val="00B43800"/>
    <w:rsid w:val="00B43954"/>
    <w:rsid w:val="00B43B50"/>
    <w:rsid w:val="00B43D04"/>
    <w:rsid w:val="00B43D0C"/>
    <w:rsid w:val="00B43F70"/>
    <w:rsid w:val="00B43FB9"/>
    <w:rsid w:val="00B44196"/>
    <w:rsid w:val="00B4422A"/>
    <w:rsid w:val="00B4432F"/>
    <w:rsid w:val="00B4436C"/>
    <w:rsid w:val="00B444A6"/>
    <w:rsid w:val="00B446C8"/>
    <w:rsid w:val="00B4474B"/>
    <w:rsid w:val="00B44955"/>
    <w:rsid w:val="00B44961"/>
    <w:rsid w:val="00B44BE7"/>
    <w:rsid w:val="00B44D38"/>
    <w:rsid w:val="00B44F0A"/>
    <w:rsid w:val="00B4566F"/>
    <w:rsid w:val="00B45BFC"/>
    <w:rsid w:val="00B45CAD"/>
    <w:rsid w:val="00B45EFF"/>
    <w:rsid w:val="00B45F01"/>
    <w:rsid w:val="00B45F06"/>
    <w:rsid w:val="00B45F8E"/>
    <w:rsid w:val="00B4660F"/>
    <w:rsid w:val="00B46B86"/>
    <w:rsid w:val="00B46D8F"/>
    <w:rsid w:val="00B4788D"/>
    <w:rsid w:val="00B478EA"/>
    <w:rsid w:val="00B47936"/>
    <w:rsid w:val="00B47976"/>
    <w:rsid w:val="00B47A26"/>
    <w:rsid w:val="00B47ADD"/>
    <w:rsid w:val="00B47B60"/>
    <w:rsid w:val="00B500DC"/>
    <w:rsid w:val="00B5022C"/>
    <w:rsid w:val="00B5034A"/>
    <w:rsid w:val="00B50385"/>
    <w:rsid w:val="00B5045D"/>
    <w:rsid w:val="00B5051A"/>
    <w:rsid w:val="00B51705"/>
    <w:rsid w:val="00B517C2"/>
    <w:rsid w:val="00B5180E"/>
    <w:rsid w:val="00B51A7F"/>
    <w:rsid w:val="00B51C94"/>
    <w:rsid w:val="00B51F25"/>
    <w:rsid w:val="00B51F5C"/>
    <w:rsid w:val="00B52060"/>
    <w:rsid w:val="00B520A2"/>
    <w:rsid w:val="00B520B0"/>
    <w:rsid w:val="00B52301"/>
    <w:rsid w:val="00B5239D"/>
    <w:rsid w:val="00B52454"/>
    <w:rsid w:val="00B524A2"/>
    <w:rsid w:val="00B526E8"/>
    <w:rsid w:val="00B529B1"/>
    <w:rsid w:val="00B52B58"/>
    <w:rsid w:val="00B52BD5"/>
    <w:rsid w:val="00B52C84"/>
    <w:rsid w:val="00B52FE7"/>
    <w:rsid w:val="00B53091"/>
    <w:rsid w:val="00B53693"/>
    <w:rsid w:val="00B5377C"/>
    <w:rsid w:val="00B53856"/>
    <w:rsid w:val="00B5391E"/>
    <w:rsid w:val="00B53A6C"/>
    <w:rsid w:val="00B53AAA"/>
    <w:rsid w:val="00B53B04"/>
    <w:rsid w:val="00B53BB9"/>
    <w:rsid w:val="00B53C9A"/>
    <w:rsid w:val="00B53D5A"/>
    <w:rsid w:val="00B53E3C"/>
    <w:rsid w:val="00B53EF9"/>
    <w:rsid w:val="00B53FD1"/>
    <w:rsid w:val="00B5439B"/>
    <w:rsid w:val="00B547ED"/>
    <w:rsid w:val="00B54C8F"/>
    <w:rsid w:val="00B550A2"/>
    <w:rsid w:val="00B5589F"/>
    <w:rsid w:val="00B55AE8"/>
    <w:rsid w:val="00B56303"/>
    <w:rsid w:val="00B5670A"/>
    <w:rsid w:val="00B56C1D"/>
    <w:rsid w:val="00B56C20"/>
    <w:rsid w:val="00B56C93"/>
    <w:rsid w:val="00B56D30"/>
    <w:rsid w:val="00B56DFD"/>
    <w:rsid w:val="00B56F3C"/>
    <w:rsid w:val="00B57752"/>
    <w:rsid w:val="00B57771"/>
    <w:rsid w:val="00B57E6E"/>
    <w:rsid w:val="00B57F7D"/>
    <w:rsid w:val="00B6050D"/>
    <w:rsid w:val="00B6076A"/>
    <w:rsid w:val="00B6093B"/>
    <w:rsid w:val="00B60DBF"/>
    <w:rsid w:val="00B60F57"/>
    <w:rsid w:val="00B61307"/>
    <w:rsid w:val="00B614C0"/>
    <w:rsid w:val="00B618F9"/>
    <w:rsid w:val="00B6194E"/>
    <w:rsid w:val="00B61C67"/>
    <w:rsid w:val="00B61D19"/>
    <w:rsid w:val="00B61DDA"/>
    <w:rsid w:val="00B61F7B"/>
    <w:rsid w:val="00B62036"/>
    <w:rsid w:val="00B621B7"/>
    <w:rsid w:val="00B6221E"/>
    <w:rsid w:val="00B6234A"/>
    <w:rsid w:val="00B625DC"/>
    <w:rsid w:val="00B62686"/>
    <w:rsid w:val="00B628F5"/>
    <w:rsid w:val="00B629F3"/>
    <w:rsid w:val="00B62A66"/>
    <w:rsid w:val="00B62DF3"/>
    <w:rsid w:val="00B63214"/>
    <w:rsid w:val="00B635B2"/>
    <w:rsid w:val="00B636F4"/>
    <w:rsid w:val="00B63C08"/>
    <w:rsid w:val="00B63EAC"/>
    <w:rsid w:val="00B64683"/>
    <w:rsid w:val="00B64692"/>
    <w:rsid w:val="00B646A1"/>
    <w:rsid w:val="00B64906"/>
    <w:rsid w:val="00B64B71"/>
    <w:rsid w:val="00B650B0"/>
    <w:rsid w:val="00B651E8"/>
    <w:rsid w:val="00B65302"/>
    <w:rsid w:val="00B6537E"/>
    <w:rsid w:val="00B653E2"/>
    <w:rsid w:val="00B65408"/>
    <w:rsid w:val="00B654E8"/>
    <w:rsid w:val="00B6562C"/>
    <w:rsid w:val="00B657CC"/>
    <w:rsid w:val="00B659D7"/>
    <w:rsid w:val="00B65D00"/>
    <w:rsid w:val="00B65DFB"/>
    <w:rsid w:val="00B65E8E"/>
    <w:rsid w:val="00B65F04"/>
    <w:rsid w:val="00B6615C"/>
    <w:rsid w:val="00B663C1"/>
    <w:rsid w:val="00B664EB"/>
    <w:rsid w:val="00B66590"/>
    <w:rsid w:val="00B6668C"/>
    <w:rsid w:val="00B6686E"/>
    <w:rsid w:val="00B66902"/>
    <w:rsid w:val="00B66AA8"/>
    <w:rsid w:val="00B66BA2"/>
    <w:rsid w:val="00B66C00"/>
    <w:rsid w:val="00B66C99"/>
    <w:rsid w:val="00B66DF8"/>
    <w:rsid w:val="00B66E84"/>
    <w:rsid w:val="00B6769C"/>
    <w:rsid w:val="00B67709"/>
    <w:rsid w:val="00B6786A"/>
    <w:rsid w:val="00B67932"/>
    <w:rsid w:val="00B67B05"/>
    <w:rsid w:val="00B67D7B"/>
    <w:rsid w:val="00B7021E"/>
    <w:rsid w:val="00B702B2"/>
    <w:rsid w:val="00B708AF"/>
    <w:rsid w:val="00B708DF"/>
    <w:rsid w:val="00B709C7"/>
    <w:rsid w:val="00B70AFA"/>
    <w:rsid w:val="00B70D74"/>
    <w:rsid w:val="00B7123E"/>
    <w:rsid w:val="00B7145C"/>
    <w:rsid w:val="00B71705"/>
    <w:rsid w:val="00B71987"/>
    <w:rsid w:val="00B71A6E"/>
    <w:rsid w:val="00B71E71"/>
    <w:rsid w:val="00B71F81"/>
    <w:rsid w:val="00B720F5"/>
    <w:rsid w:val="00B721FE"/>
    <w:rsid w:val="00B72693"/>
    <w:rsid w:val="00B727D0"/>
    <w:rsid w:val="00B7290F"/>
    <w:rsid w:val="00B72C58"/>
    <w:rsid w:val="00B72F95"/>
    <w:rsid w:val="00B72FD2"/>
    <w:rsid w:val="00B731B0"/>
    <w:rsid w:val="00B731DB"/>
    <w:rsid w:val="00B73232"/>
    <w:rsid w:val="00B73C67"/>
    <w:rsid w:val="00B73E17"/>
    <w:rsid w:val="00B73F02"/>
    <w:rsid w:val="00B743BA"/>
    <w:rsid w:val="00B7448C"/>
    <w:rsid w:val="00B74689"/>
    <w:rsid w:val="00B74B10"/>
    <w:rsid w:val="00B74D28"/>
    <w:rsid w:val="00B74D67"/>
    <w:rsid w:val="00B74EBC"/>
    <w:rsid w:val="00B74FCF"/>
    <w:rsid w:val="00B74FDA"/>
    <w:rsid w:val="00B7551F"/>
    <w:rsid w:val="00B75BB5"/>
    <w:rsid w:val="00B763CB"/>
    <w:rsid w:val="00B764D0"/>
    <w:rsid w:val="00B767BB"/>
    <w:rsid w:val="00B76AF1"/>
    <w:rsid w:val="00B76B99"/>
    <w:rsid w:val="00B76CF4"/>
    <w:rsid w:val="00B770DE"/>
    <w:rsid w:val="00B77283"/>
    <w:rsid w:val="00B77504"/>
    <w:rsid w:val="00B77872"/>
    <w:rsid w:val="00B77E9D"/>
    <w:rsid w:val="00B77F5D"/>
    <w:rsid w:val="00B8006E"/>
    <w:rsid w:val="00B802C2"/>
    <w:rsid w:val="00B8030E"/>
    <w:rsid w:val="00B8034A"/>
    <w:rsid w:val="00B80351"/>
    <w:rsid w:val="00B8035B"/>
    <w:rsid w:val="00B803CC"/>
    <w:rsid w:val="00B804CE"/>
    <w:rsid w:val="00B8084E"/>
    <w:rsid w:val="00B809E0"/>
    <w:rsid w:val="00B80AB2"/>
    <w:rsid w:val="00B80AE7"/>
    <w:rsid w:val="00B80BF0"/>
    <w:rsid w:val="00B811F4"/>
    <w:rsid w:val="00B8135D"/>
    <w:rsid w:val="00B8182B"/>
    <w:rsid w:val="00B81861"/>
    <w:rsid w:val="00B81943"/>
    <w:rsid w:val="00B819F5"/>
    <w:rsid w:val="00B81A03"/>
    <w:rsid w:val="00B81A08"/>
    <w:rsid w:val="00B81A84"/>
    <w:rsid w:val="00B81AEB"/>
    <w:rsid w:val="00B81E05"/>
    <w:rsid w:val="00B8255F"/>
    <w:rsid w:val="00B82857"/>
    <w:rsid w:val="00B82F91"/>
    <w:rsid w:val="00B8324D"/>
    <w:rsid w:val="00B83504"/>
    <w:rsid w:val="00B83CE3"/>
    <w:rsid w:val="00B83E93"/>
    <w:rsid w:val="00B83EE2"/>
    <w:rsid w:val="00B83FD7"/>
    <w:rsid w:val="00B84184"/>
    <w:rsid w:val="00B844BB"/>
    <w:rsid w:val="00B8451D"/>
    <w:rsid w:val="00B845D8"/>
    <w:rsid w:val="00B84730"/>
    <w:rsid w:val="00B848B7"/>
    <w:rsid w:val="00B84A58"/>
    <w:rsid w:val="00B84B7C"/>
    <w:rsid w:val="00B84C06"/>
    <w:rsid w:val="00B84C9E"/>
    <w:rsid w:val="00B84E84"/>
    <w:rsid w:val="00B84EBE"/>
    <w:rsid w:val="00B850C4"/>
    <w:rsid w:val="00B85426"/>
    <w:rsid w:val="00B855C6"/>
    <w:rsid w:val="00B85A20"/>
    <w:rsid w:val="00B85AC9"/>
    <w:rsid w:val="00B85D12"/>
    <w:rsid w:val="00B85D3A"/>
    <w:rsid w:val="00B85EDA"/>
    <w:rsid w:val="00B85F2D"/>
    <w:rsid w:val="00B86356"/>
    <w:rsid w:val="00B86468"/>
    <w:rsid w:val="00B8659C"/>
    <w:rsid w:val="00B8684C"/>
    <w:rsid w:val="00B86C97"/>
    <w:rsid w:val="00B86DEF"/>
    <w:rsid w:val="00B86FB3"/>
    <w:rsid w:val="00B87000"/>
    <w:rsid w:val="00B8705A"/>
    <w:rsid w:val="00B871A0"/>
    <w:rsid w:val="00B8739F"/>
    <w:rsid w:val="00B873B6"/>
    <w:rsid w:val="00B873D3"/>
    <w:rsid w:val="00B8743B"/>
    <w:rsid w:val="00B874BF"/>
    <w:rsid w:val="00B8786A"/>
    <w:rsid w:val="00B87B08"/>
    <w:rsid w:val="00B87E7C"/>
    <w:rsid w:val="00B9023F"/>
    <w:rsid w:val="00B90822"/>
    <w:rsid w:val="00B9083B"/>
    <w:rsid w:val="00B908D8"/>
    <w:rsid w:val="00B90A26"/>
    <w:rsid w:val="00B910A7"/>
    <w:rsid w:val="00B911C7"/>
    <w:rsid w:val="00B91346"/>
    <w:rsid w:val="00B9169D"/>
    <w:rsid w:val="00B91ABE"/>
    <w:rsid w:val="00B91B60"/>
    <w:rsid w:val="00B91B9D"/>
    <w:rsid w:val="00B91BF6"/>
    <w:rsid w:val="00B91EEC"/>
    <w:rsid w:val="00B91FA6"/>
    <w:rsid w:val="00B9204B"/>
    <w:rsid w:val="00B9252D"/>
    <w:rsid w:val="00B928B8"/>
    <w:rsid w:val="00B9297F"/>
    <w:rsid w:val="00B92B25"/>
    <w:rsid w:val="00B92B3C"/>
    <w:rsid w:val="00B92FE9"/>
    <w:rsid w:val="00B930D3"/>
    <w:rsid w:val="00B933CD"/>
    <w:rsid w:val="00B939D6"/>
    <w:rsid w:val="00B93CE6"/>
    <w:rsid w:val="00B93ED5"/>
    <w:rsid w:val="00B94177"/>
    <w:rsid w:val="00B94193"/>
    <w:rsid w:val="00B944FF"/>
    <w:rsid w:val="00B94546"/>
    <w:rsid w:val="00B94879"/>
    <w:rsid w:val="00B94A95"/>
    <w:rsid w:val="00B94C41"/>
    <w:rsid w:val="00B94E9D"/>
    <w:rsid w:val="00B950B7"/>
    <w:rsid w:val="00B953DB"/>
    <w:rsid w:val="00B95421"/>
    <w:rsid w:val="00B9545E"/>
    <w:rsid w:val="00B95677"/>
    <w:rsid w:val="00B95B9B"/>
    <w:rsid w:val="00B9621C"/>
    <w:rsid w:val="00B9633D"/>
    <w:rsid w:val="00B96425"/>
    <w:rsid w:val="00B964EC"/>
    <w:rsid w:val="00B96512"/>
    <w:rsid w:val="00B96750"/>
    <w:rsid w:val="00B96AA8"/>
    <w:rsid w:val="00B96CFB"/>
    <w:rsid w:val="00B96EE2"/>
    <w:rsid w:val="00B97208"/>
    <w:rsid w:val="00B97228"/>
    <w:rsid w:val="00B9727F"/>
    <w:rsid w:val="00B97283"/>
    <w:rsid w:val="00B97A81"/>
    <w:rsid w:val="00BA08EC"/>
    <w:rsid w:val="00BA09FB"/>
    <w:rsid w:val="00BA0DC4"/>
    <w:rsid w:val="00BA0EE4"/>
    <w:rsid w:val="00BA172C"/>
    <w:rsid w:val="00BA1DB5"/>
    <w:rsid w:val="00BA1F20"/>
    <w:rsid w:val="00BA1FA5"/>
    <w:rsid w:val="00BA21F6"/>
    <w:rsid w:val="00BA2254"/>
    <w:rsid w:val="00BA2473"/>
    <w:rsid w:val="00BA2596"/>
    <w:rsid w:val="00BA2B5D"/>
    <w:rsid w:val="00BA3149"/>
    <w:rsid w:val="00BA3505"/>
    <w:rsid w:val="00BA36F5"/>
    <w:rsid w:val="00BA3AE6"/>
    <w:rsid w:val="00BA3CCD"/>
    <w:rsid w:val="00BA3D46"/>
    <w:rsid w:val="00BA3E51"/>
    <w:rsid w:val="00BA3ED3"/>
    <w:rsid w:val="00BA3EE4"/>
    <w:rsid w:val="00BA405E"/>
    <w:rsid w:val="00BA41B7"/>
    <w:rsid w:val="00BA4498"/>
    <w:rsid w:val="00BA46E9"/>
    <w:rsid w:val="00BA49BA"/>
    <w:rsid w:val="00BA4C2A"/>
    <w:rsid w:val="00BA4CF2"/>
    <w:rsid w:val="00BA4D4D"/>
    <w:rsid w:val="00BA4E1B"/>
    <w:rsid w:val="00BA4F7B"/>
    <w:rsid w:val="00BA5420"/>
    <w:rsid w:val="00BA56D1"/>
    <w:rsid w:val="00BA5D8A"/>
    <w:rsid w:val="00BA5DAE"/>
    <w:rsid w:val="00BA5DD2"/>
    <w:rsid w:val="00BA5EB7"/>
    <w:rsid w:val="00BA60FD"/>
    <w:rsid w:val="00BA6311"/>
    <w:rsid w:val="00BA6495"/>
    <w:rsid w:val="00BA66EC"/>
    <w:rsid w:val="00BA6AE4"/>
    <w:rsid w:val="00BA6BC2"/>
    <w:rsid w:val="00BA6ED6"/>
    <w:rsid w:val="00BA7006"/>
    <w:rsid w:val="00BA71A8"/>
    <w:rsid w:val="00BA7367"/>
    <w:rsid w:val="00BA75BC"/>
    <w:rsid w:val="00BA7610"/>
    <w:rsid w:val="00BA7677"/>
    <w:rsid w:val="00BA7B39"/>
    <w:rsid w:val="00BB024A"/>
    <w:rsid w:val="00BB0306"/>
    <w:rsid w:val="00BB0383"/>
    <w:rsid w:val="00BB0B50"/>
    <w:rsid w:val="00BB0DF8"/>
    <w:rsid w:val="00BB0F2E"/>
    <w:rsid w:val="00BB1825"/>
    <w:rsid w:val="00BB18FB"/>
    <w:rsid w:val="00BB1BC3"/>
    <w:rsid w:val="00BB1BD3"/>
    <w:rsid w:val="00BB1D5A"/>
    <w:rsid w:val="00BB2061"/>
    <w:rsid w:val="00BB242F"/>
    <w:rsid w:val="00BB24F3"/>
    <w:rsid w:val="00BB2795"/>
    <w:rsid w:val="00BB27E2"/>
    <w:rsid w:val="00BB2A04"/>
    <w:rsid w:val="00BB2A1D"/>
    <w:rsid w:val="00BB2F20"/>
    <w:rsid w:val="00BB3326"/>
    <w:rsid w:val="00BB333F"/>
    <w:rsid w:val="00BB35BA"/>
    <w:rsid w:val="00BB3741"/>
    <w:rsid w:val="00BB3A6E"/>
    <w:rsid w:val="00BB3AC4"/>
    <w:rsid w:val="00BB3B22"/>
    <w:rsid w:val="00BB3C1F"/>
    <w:rsid w:val="00BB3DFE"/>
    <w:rsid w:val="00BB3E01"/>
    <w:rsid w:val="00BB3E1A"/>
    <w:rsid w:val="00BB3E5D"/>
    <w:rsid w:val="00BB4574"/>
    <w:rsid w:val="00BB460E"/>
    <w:rsid w:val="00BB4A93"/>
    <w:rsid w:val="00BB4BB0"/>
    <w:rsid w:val="00BB4C05"/>
    <w:rsid w:val="00BB5083"/>
    <w:rsid w:val="00BB531A"/>
    <w:rsid w:val="00BB56D3"/>
    <w:rsid w:val="00BB5803"/>
    <w:rsid w:val="00BB580C"/>
    <w:rsid w:val="00BB5A53"/>
    <w:rsid w:val="00BB5CCD"/>
    <w:rsid w:val="00BB5DF4"/>
    <w:rsid w:val="00BB5EF9"/>
    <w:rsid w:val="00BB5F5F"/>
    <w:rsid w:val="00BB5F67"/>
    <w:rsid w:val="00BB5FC8"/>
    <w:rsid w:val="00BB627E"/>
    <w:rsid w:val="00BB6741"/>
    <w:rsid w:val="00BB6770"/>
    <w:rsid w:val="00BB6ADE"/>
    <w:rsid w:val="00BB6E25"/>
    <w:rsid w:val="00BB6F8D"/>
    <w:rsid w:val="00BB6FDA"/>
    <w:rsid w:val="00BB6FFA"/>
    <w:rsid w:val="00BB7012"/>
    <w:rsid w:val="00BB7078"/>
    <w:rsid w:val="00BB748A"/>
    <w:rsid w:val="00BB756E"/>
    <w:rsid w:val="00BB78EB"/>
    <w:rsid w:val="00BB7A61"/>
    <w:rsid w:val="00BB7AAB"/>
    <w:rsid w:val="00BB7ACE"/>
    <w:rsid w:val="00BB7D27"/>
    <w:rsid w:val="00BB7DCF"/>
    <w:rsid w:val="00BB7E84"/>
    <w:rsid w:val="00BB7E94"/>
    <w:rsid w:val="00BC0231"/>
    <w:rsid w:val="00BC0372"/>
    <w:rsid w:val="00BC06EA"/>
    <w:rsid w:val="00BC0AEF"/>
    <w:rsid w:val="00BC0BEC"/>
    <w:rsid w:val="00BC1027"/>
    <w:rsid w:val="00BC1135"/>
    <w:rsid w:val="00BC12CD"/>
    <w:rsid w:val="00BC16AE"/>
    <w:rsid w:val="00BC16E3"/>
    <w:rsid w:val="00BC171B"/>
    <w:rsid w:val="00BC180F"/>
    <w:rsid w:val="00BC18B1"/>
    <w:rsid w:val="00BC215D"/>
    <w:rsid w:val="00BC23DB"/>
    <w:rsid w:val="00BC2703"/>
    <w:rsid w:val="00BC2800"/>
    <w:rsid w:val="00BC29B3"/>
    <w:rsid w:val="00BC2A2B"/>
    <w:rsid w:val="00BC2AA2"/>
    <w:rsid w:val="00BC39D0"/>
    <w:rsid w:val="00BC3A16"/>
    <w:rsid w:val="00BC3B0F"/>
    <w:rsid w:val="00BC3F0C"/>
    <w:rsid w:val="00BC4012"/>
    <w:rsid w:val="00BC4322"/>
    <w:rsid w:val="00BC446B"/>
    <w:rsid w:val="00BC4901"/>
    <w:rsid w:val="00BC4B0A"/>
    <w:rsid w:val="00BC565E"/>
    <w:rsid w:val="00BC56D9"/>
    <w:rsid w:val="00BC57DF"/>
    <w:rsid w:val="00BC597B"/>
    <w:rsid w:val="00BC5A5A"/>
    <w:rsid w:val="00BC5A66"/>
    <w:rsid w:val="00BC5EBB"/>
    <w:rsid w:val="00BC5F9F"/>
    <w:rsid w:val="00BC60A6"/>
    <w:rsid w:val="00BC634E"/>
    <w:rsid w:val="00BC6379"/>
    <w:rsid w:val="00BC65A2"/>
    <w:rsid w:val="00BC6764"/>
    <w:rsid w:val="00BC69B5"/>
    <w:rsid w:val="00BC6AAD"/>
    <w:rsid w:val="00BC6AD6"/>
    <w:rsid w:val="00BC6D9C"/>
    <w:rsid w:val="00BC6DC4"/>
    <w:rsid w:val="00BC6F01"/>
    <w:rsid w:val="00BC7059"/>
    <w:rsid w:val="00BC72AA"/>
    <w:rsid w:val="00BC72D5"/>
    <w:rsid w:val="00BC73F0"/>
    <w:rsid w:val="00BC74D5"/>
    <w:rsid w:val="00BC75ED"/>
    <w:rsid w:val="00BC7B25"/>
    <w:rsid w:val="00BC7BF7"/>
    <w:rsid w:val="00BC7C67"/>
    <w:rsid w:val="00BC7D76"/>
    <w:rsid w:val="00BC7EF1"/>
    <w:rsid w:val="00BD00D2"/>
    <w:rsid w:val="00BD00F5"/>
    <w:rsid w:val="00BD01B4"/>
    <w:rsid w:val="00BD01C1"/>
    <w:rsid w:val="00BD03D7"/>
    <w:rsid w:val="00BD075F"/>
    <w:rsid w:val="00BD0807"/>
    <w:rsid w:val="00BD08B5"/>
    <w:rsid w:val="00BD09A7"/>
    <w:rsid w:val="00BD12B6"/>
    <w:rsid w:val="00BD15B9"/>
    <w:rsid w:val="00BD161D"/>
    <w:rsid w:val="00BD1636"/>
    <w:rsid w:val="00BD183B"/>
    <w:rsid w:val="00BD18D5"/>
    <w:rsid w:val="00BD1F49"/>
    <w:rsid w:val="00BD1FAB"/>
    <w:rsid w:val="00BD20DD"/>
    <w:rsid w:val="00BD2517"/>
    <w:rsid w:val="00BD2864"/>
    <w:rsid w:val="00BD2DEC"/>
    <w:rsid w:val="00BD2FC0"/>
    <w:rsid w:val="00BD3149"/>
    <w:rsid w:val="00BD31B3"/>
    <w:rsid w:val="00BD32EA"/>
    <w:rsid w:val="00BD349B"/>
    <w:rsid w:val="00BD35CA"/>
    <w:rsid w:val="00BD36E0"/>
    <w:rsid w:val="00BD3883"/>
    <w:rsid w:val="00BD3AE2"/>
    <w:rsid w:val="00BD3B78"/>
    <w:rsid w:val="00BD3C8F"/>
    <w:rsid w:val="00BD3C94"/>
    <w:rsid w:val="00BD3CCC"/>
    <w:rsid w:val="00BD41C4"/>
    <w:rsid w:val="00BD44E7"/>
    <w:rsid w:val="00BD482D"/>
    <w:rsid w:val="00BD492B"/>
    <w:rsid w:val="00BD4A6A"/>
    <w:rsid w:val="00BD4CD8"/>
    <w:rsid w:val="00BD4E27"/>
    <w:rsid w:val="00BD4E41"/>
    <w:rsid w:val="00BD4EA8"/>
    <w:rsid w:val="00BD50D9"/>
    <w:rsid w:val="00BD5581"/>
    <w:rsid w:val="00BD58F9"/>
    <w:rsid w:val="00BD5B5F"/>
    <w:rsid w:val="00BD5B73"/>
    <w:rsid w:val="00BD5B7B"/>
    <w:rsid w:val="00BD5EDA"/>
    <w:rsid w:val="00BD5EEE"/>
    <w:rsid w:val="00BD6109"/>
    <w:rsid w:val="00BD63B3"/>
    <w:rsid w:val="00BD669D"/>
    <w:rsid w:val="00BD669F"/>
    <w:rsid w:val="00BD66B4"/>
    <w:rsid w:val="00BD69AE"/>
    <w:rsid w:val="00BD6E48"/>
    <w:rsid w:val="00BD71CB"/>
    <w:rsid w:val="00BD71F1"/>
    <w:rsid w:val="00BD72A5"/>
    <w:rsid w:val="00BD72EF"/>
    <w:rsid w:val="00BD74D8"/>
    <w:rsid w:val="00BD77D4"/>
    <w:rsid w:val="00BD7C54"/>
    <w:rsid w:val="00BD7ECD"/>
    <w:rsid w:val="00BE017B"/>
    <w:rsid w:val="00BE06ED"/>
    <w:rsid w:val="00BE0A78"/>
    <w:rsid w:val="00BE0D67"/>
    <w:rsid w:val="00BE0F57"/>
    <w:rsid w:val="00BE10E8"/>
    <w:rsid w:val="00BE11B7"/>
    <w:rsid w:val="00BE11F6"/>
    <w:rsid w:val="00BE13FB"/>
    <w:rsid w:val="00BE147C"/>
    <w:rsid w:val="00BE153E"/>
    <w:rsid w:val="00BE1694"/>
    <w:rsid w:val="00BE190E"/>
    <w:rsid w:val="00BE1A1D"/>
    <w:rsid w:val="00BE24DF"/>
    <w:rsid w:val="00BE267E"/>
    <w:rsid w:val="00BE2932"/>
    <w:rsid w:val="00BE2B46"/>
    <w:rsid w:val="00BE3071"/>
    <w:rsid w:val="00BE330D"/>
    <w:rsid w:val="00BE3645"/>
    <w:rsid w:val="00BE3B42"/>
    <w:rsid w:val="00BE3E94"/>
    <w:rsid w:val="00BE4248"/>
    <w:rsid w:val="00BE45D4"/>
    <w:rsid w:val="00BE4818"/>
    <w:rsid w:val="00BE4A4D"/>
    <w:rsid w:val="00BE4BD4"/>
    <w:rsid w:val="00BE5554"/>
    <w:rsid w:val="00BE55D0"/>
    <w:rsid w:val="00BE55D6"/>
    <w:rsid w:val="00BE591F"/>
    <w:rsid w:val="00BE5B8F"/>
    <w:rsid w:val="00BE5BBB"/>
    <w:rsid w:val="00BE5BE2"/>
    <w:rsid w:val="00BE5C17"/>
    <w:rsid w:val="00BE5EC8"/>
    <w:rsid w:val="00BE5EE2"/>
    <w:rsid w:val="00BE5EF0"/>
    <w:rsid w:val="00BE60BE"/>
    <w:rsid w:val="00BE6134"/>
    <w:rsid w:val="00BE61A0"/>
    <w:rsid w:val="00BE61C0"/>
    <w:rsid w:val="00BE6349"/>
    <w:rsid w:val="00BE64E0"/>
    <w:rsid w:val="00BE65B0"/>
    <w:rsid w:val="00BE6607"/>
    <w:rsid w:val="00BE69D8"/>
    <w:rsid w:val="00BE6AFE"/>
    <w:rsid w:val="00BE6E6B"/>
    <w:rsid w:val="00BE72B3"/>
    <w:rsid w:val="00BE72CD"/>
    <w:rsid w:val="00BE7468"/>
    <w:rsid w:val="00BE74C3"/>
    <w:rsid w:val="00BE75B3"/>
    <w:rsid w:val="00BE77E1"/>
    <w:rsid w:val="00BE7865"/>
    <w:rsid w:val="00BE7AA0"/>
    <w:rsid w:val="00BF0051"/>
    <w:rsid w:val="00BF0187"/>
    <w:rsid w:val="00BF01E8"/>
    <w:rsid w:val="00BF03A6"/>
    <w:rsid w:val="00BF06B8"/>
    <w:rsid w:val="00BF07AB"/>
    <w:rsid w:val="00BF0826"/>
    <w:rsid w:val="00BF0AB4"/>
    <w:rsid w:val="00BF0C47"/>
    <w:rsid w:val="00BF0E9C"/>
    <w:rsid w:val="00BF0EA5"/>
    <w:rsid w:val="00BF0EEA"/>
    <w:rsid w:val="00BF0F3B"/>
    <w:rsid w:val="00BF1293"/>
    <w:rsid w:val="00BF12CF"/>
    <w:rsid w:val="00BF12D2"/>
    <w:rsid w:val="00BF1698"/>
    <w:rsid w:val="00BF16BE"/>
    <w:rsid w:val="00BF1FFA"/>
    <w:rsid w:val="00BF2711"/>
    <w:rsid w:val="00BF2732"/>
    <w:rsid w:val="00BF2867"/>
    <w:rsid w:val="00BF2A5E"/>
    <w:rsid w:val="00BF2CC0"/>
    <w:rsid w:val="00BF3410"/>
    <w:rsid w:val="00BF3551"/>
    <w:rsid w:val="00BF376F"/>
    <w:rsid w:val="00BF3866"/>
    <w:rsid w:val="00BF3A7C"/>
    <w:rsid w:val="00BF3AFD"/>
    <w:rsid w:val="00BF3E50"/>
    <w:rsid w:val="00BF4027"/>
    <w:rsid w:val="00BF429A"/>
    <w:rsid w:val="00BF42FD"/>
    <w:rsid w:val="00BF44CA"/>
    <w:rsid w:val="00BF4C9E"/>
    <w:rsid w:val="00BF4EC6"/>
    <w:rsid w:val="00BF4EEC"/>
    <w:rsid w:val="00BF519E"/>
    <w:rsid w:val="00BF54FD"/>
    <w:rsid w:val="00BF5731"/>
    <w:rsid w:val="00BF6427"/>
    <w:rsid w:val="00BF6731"/>
    <w:rsid w:val="00BF6BF1"/>
    <w:rsid w:val="00BF6EDA"/>
    <w:rsid w:val="00BF6F53"/>
    <w:rsid w:val="00BF70B2"/>
    <w:rsid w:val="00BF7671"/>
    <w:rsid w:val="00BF793F"/>
    <w:rsid w:val="00BF7E29"/>
    <w:rsid w:val="00BF7EF9"/>
    <w:rsid w:val="00C00211"/>
    <w:rsid w:val="00C003CB"/>
    <w:rsid w:val="00C0044C"/>
    <w:rsid w:val="00C00C8C"/>
    <w:rsid w:val="00C00CBE"/>
    <w:rsid w:val="00C00EA0"/>
    <w:rsid w:val="00C010B1"/>
    <w:rsid w:val="00C01468"/>
    <w:rsid w:val="00C01778"/>
    <w:rsid w:val="00C01781"/>
    <w:rsid w:val="00C01AE3"/>
    <w:rsid w:val="00C01D20"/>
    <w:rsid w:val="00C01DDE"/>
    <w:rsid w:val="00C01E0A"/>
    <w:rsid w:val="00C01F91"/>
    <w:rsid w:val="00C02112"/>
    <w:rsid w:val="00C02208"/>
    <w:rsid w:val="00C0234C"/>
    <w:rsid w:val="00C0260D"/>
    <w:rsid w:val="00C0263D"/>
    <w:rsid w:val="00C02A1E"/>
    <w:rsid w:val="00C02BA0"/>
    <w:rsid w:val="00C02CD7"/>
    <w:rsid w:val="00C0333E"/>
    <w:rsid w:val="00C03617"/>
    <w:rsid w:val="00C03A20"/>
    <w:rsid w:val="00C03DA8"/>
    <w:rsid w:val="00C04204"/>
    <w:rsid w:val="00C04395"/>
    <w:rsid w:val="00C044C0"/>
    <w:rsid w:val="00C04922"/>
    <w:rsid w:val="00C04CB9"/>
    <w:rsid w:val="00C04EB1"/>
    <w:rsid w:val="00C04EC0"/>
    <w:rsid w:val="00C0531F"/>
    <w:rsid w:val="00C0534D"/>
    <w:rsid w:val="00C054F6"/>
    <w:rsid w:val="00C05656"/>
    <w:rsid w:val="00C05974"/>
    <w:rsid w:val="00C05E6A"/>
    <w:rsid w:val="00C05F18"/>
    <w:rsid w:val="00C05FE6"/>
    <w:rsid w:val="00C061AA"/>
    <w:rsid w:val="00C06322"/>
    <w:rsid w:val="00C063E4"/>
    <w:rsid w:val="00C0649D"/>
    <w:rsid w:val="00C065E5"/>
    <w:rsid w:val="00C06A95"/>
    <w:rsid w:val="00C06BF6"/>
    <w:rsid w:val="00C06C8D"/>
    <w:rsid w:val="00C06D74"/>
    <w:rsid w:val="00C06E20"/>
    <w:rsid w:val="00C07099"/>
    <w:rsid w:val="00C072EF"/>
    <w:rsid w:val="00C074D1"/>
    <w:rsid w:val="00C075C5"/>
    <w:rsid w:val="00C07DA8"/>
    <w:rsid w:val="00C10226"/>
    <w:rsid w:val="00C10360"/>
    <w:rsid w:val="00C10674"/>
    <w:rsid w:val="00C10866"/>
    <w:rsid w:val="00C11475"/>
    <w:rsid w:val="00C11551"/>
    <w:rsid w:val="00C115FB"/>
    <w:rsid w:val="00C1170F"/>
    <w:rsid w:val="00C117AE"/>
    <w:rsid w:val="00C117B5"/>
    <w:rsid w:val="00C11AD3"/>
    <w:rsid w:val="00C11CCB"/>
    <w:rsid w:val="00C11EFB"/>
    <w:rsid w:val="00C12106"/>
    <w:rsid w:val="00C12285"/>
    <w:rsid w:val="00C1253A"/>
    <w:rsid w:val="00C12591"/>
    <w:rsid w:val="00C126D2"/>
    <w:rsid w:val="00C128E1"/>
    <w:rsid w:val="00C130C0"/>
    <w:rsid w:val="00C130C8"/>
    <w:rsid w:val="00C13628"/>
    <w:rsid w:val="00C13650"/>
    <w:rsid w:val="00C139C0"/>
    <w:rsid w:val="00C13ACE"/>
    <w:rsid w:val="00C13C4E"/>
    <w:rsid w:val="00C13CB8"/>
    <w:rsid w:val="00C13D9C"/>
    <w:rsid w:val="00C14F2E"/>
    <w:rsid w:val="00C14FE2"/>
    <w:rsid w:val="00C15060"/>
    <w:rsid w:val="00C151BA"/>
    <w:rsid w:val="00C151F5"/>
    <w:rsid w:val="00C1545C"/>
    <w:rsid w:val="00C154BE"/>
    <w:rsid w:val="00C15693"/>
    <w:rsid w:val="00C159FF"/>
    <w:rsid w:val="00C15F45"/>
    <w:rsid w:val="00C1629C"/>
    <w:rsid w:val="00C16701"/>
    <w:rsid w:val="00C1678E"/>
    <w:rsid w:val="00C167FD"/>
    <w:rsid w:val="00C16824"/>
    <w:rsid w:val="00C16931"/>
    <w:rsid w:val="00C16DDB"/>
    <w:rsid w:val="00C16EFF"/>
    <w:rsid w:val="00C16FFD"/>
    <w:rsid w:val="00C1752B"/>
    <w:rsid w:val="00C17578"/>
    <w:rsid w:val="00C17630"/>
    <w:rsid w:val="00C17857"/>
    <w:rsid w:val="00C17887"/>
    <w:rsid w:val="00C17DDD"/>
    <w:rsid w:val="00C20260"/>
    <w:rsid w:val="00C202DF"/>
    <w:rsid w:val="00C20505"/>
    <w:rsid w:val="00C205B9"/>
    <w:rsid w:val="00C2063A"/>
    <w:rsid w:val="00C20708"/>
    <w:rsid w:val="00C2075C"/>
    <w:rsid w:val="00C208EB"/>
    <w:rsid w:val="00C209AD"/>
    <w:rsid w:val="00C20AD5"/>
    <w:rsid w:val="00C20B82"/>
    <w:rsid w:val="00C20D3C"/>
    <w:rsid w:val="00C20E05"/>
    <w:rsid w:val="00C20E19"/>
    <w:rsid w:val="00C20F76"/>
    <w:rsid w:val="00C215AE"/>
    <w:rsid w:val="00C21753"/>
    <w:rsid w:val="00C217CA"/>
    <w:rsid w:val="00C21C7A"/>
    <w:rsid w:val="00C220DC"/>
    <w:rsid w:val="00C22317"/>
    <w:rsid w:val="00C22538"/>
    <w:rsid w:val="00C225F9"/>
    <w:rsid w:val="00C22826"/>
    <w:rsid w:val="00C22A7D"/>
    <w:rsid w:val="00C22C0C"/>
    <w:rsid w:val="00C22CF1"/>
    <w:rsid w:val="00C22D9F"/>
    <w:rsid w:val="00C22EC4"/>
    <w:rsid w:val="00C2304E"/>
    <w:rsid w:val="00C23071"/>
    <w:rsid w:val="00C233A1"/>
    <w:rsid w:val="00C234CF"/>
    <w:rsid w:val="00C2370B"/>
    <w:rsid w:val="00C237EC"/>
    <w:rsid w:val="00C2381B"/>
    <w:rsid w:val="00C23FCF"/>
    <w:rsid w:val="00C24087"/>
    <w:rsid w:val="00C2422D"/>
    <w:rsid w:val="00C242E7"/>
    <w:rsid w:val="00C2463C"/>
    <w:rsid w:val="00C247C6"/>
    <w:rsid w:val="00C248F8"/>
    <w:rsid w:val="00C24C5B"/>
    <w:rsid w:val="00C24D1F"/>
    <w:rsid w:val="00C24D92"/>
    <w:rsid w:val="00C24F65"/>
    <w:rsid w:val="00C25039"/>
    <w:rsid w:val="00C251B9"/>
    <w:rsid w:val="00C253AB"/>
    <w:rsid w:val="00C25564"/>
    <w:rsid w:val="00C25633"/>
    <w:rsid w:val="00C25D56"/>
    <w:rsid w:val="00C25F56"/>
    <w:rsid w:val="00C261B0"/>
    <w:rsid w:val="00C262CA"/>
    <w:rsid w:val="00C26431"/>
    <w:rsid w:val="00C26433"/>
    <w:rsid w:val="00C265E8"/>
    <w:rsid w:val="00C26766"/>
    <w:rsid w:val="00C2684F"/>
    <w:rsid w:val="00C26BFF"/>
    <w:rsid w:val="00C26FFB"/>
    <w:rsid w:val="00C27194"/>
    <w:rsid w:val="00C271B2"/>
    <w:rsid w:val="00C27383"/>
    <w:rsid w:val="00C2752D"/>
    <w:rsid w:val="00C27608"/>
    <w:rsid w:val="00C278AF"/>
    <w:rsid w:val="00C278DE"/>
    <w:rsid w:val="00C27B49"/>
    <w:rsid w:val="00C27D3E"/>
    <w:rsid w:val="00C27FBE"/>
    <w:rsid w:val="00C3019F"/>
    <w:rsid w:val="00C30394"/>
    <w:rsid w:val="00C30432"/>
    <w:rsid w:val="00C304B5"/>
    <w:rsid w:val="00C3060D"/>
    <w:rsid w:val="00C308A2"/>
    <w:rsid w:val="00C308E0"/>
    <w:rsid w:val="00C309EC"/>
    <w:rsid w:val="00C30D35"/>
    <w:rsid w:val="00C30DCE"/>
    <w:rsid w:val="00C30E3B"/>
    <w:rsid w:val="00C30FD1"/>
    <w:rsid w:val="00C310D5"/>
    <w:rsid w:val="00C3146A"/>
    <w:rsid w:val="00C314B9"/>
    <w:rsid w:val="00C315BB"/>
    <w:rsid w:val="00C31AC7"/>
    <w:rsid w:val="00C320D7"/>
    <w:rsid w:val="00C321B3"/>
    <w:rsid w:val="00C32513"/>
    <w:rsid w:val="00C32516"/>
    <w:rsid w:val="00C3276E"/>
    <w:rsid w:val="00C327AE"/>
    <w:rsid w:val="00C3288C"/>
    <w:rsid w:val="00C32A7F"/>
    <w:rsid w:val="00C32C70"/>
    <w:rsid w:val="00C32F00"/>
    <w:rsid w:val="00C33351"/>
    <w:rsid w:val="00C33494"/>
    <w:rsid w:val="00C3359A"/>
    <w:rsid w:val="00C3374D"/>
    <w:rsid w:val="00C3397A"/>
    <w:rsid w:val="00C33DA6"/>
    <w:rsid w:val="00C3417C"/>
    <w:rsid w:val="00C341F1"/>
    <w:rsid w:val="00C34591"/>
    <w:rsid w:val="00C34A6E"/>
    <w:rsid w:val="00C34D7C"/>
    <w:rsid w:val="00C354AB"/>
    <w:rsid w:val="00C35624"/>
    <w:rsid w:val="00C357AD"/>
    <w:rsid w:val="00C35A71"/>
    <w:rsid w:val="00C35B0F"/>
    <w:rsid w:val="00C35BA9"/>
    <w:rsid w:val="00C35BBD"/>
    <w:rsid w:val="00C35C37"/>
    <w:rsid w:val="00C35F96"/>
    <w:rsid w:val="00C3605C"/>
    <w:rsid w:val="00C36089"/>
    <w:rsid w:val="00C361AE"/>
    <w:rsid w:val="00C361EB"/>
    <w:rsid w:val="00C36646"/>
    <w:rsid w:val="00C36C10"/>
    <w:rsid w:val="00C36CA8"/>
    <w:rsid w:val="00C36D48"/>
    <w:rsid w:val="00C37307"/>
    <w:rsid w:val="00C373DD"/>
    <w:rsid w:val="00C37666"/>
    <w:rsid w:val="00C3770A"/>
    <w:rsid w:val="00C378D4"/>
    <w:rsid w:val="00C37912"/>
    <w:rsid w:val="00C37B98"/>
    <w:rsid w:val="00C37D0E"/>
    <w:rsid w:val="00C37DF6"/>
    <w:rsid w:val="00C40129"/>
    <w:rsid w:val="00C401BF"/>
    <w:rsid w:val="00C40402"/>
    <w:rsid w:val="00C4084C"/>
    <w:rsid w:val="00C40D3D"/>
    <w:rsid w:val="00C411B4"/>
    <w:rsid w:val="00C41390"/>
    <w:rsid w:val="00C4161F"/>
    <w:rsid w:val="00C416EA"/>
    <w:rsid w:val="00C416F9"/>
    <w:rsid w:val="00C41916"/>
    <w:rsid w:val="00C41B8D"/>
    <w:rsid w:val="00C420D0"/>
    <w:rsid w:val="00C42115"/>
    <w:rsid w:val="00C42187"/>
    <w:rsid w:val="00C42264"/>
    <w:rsid w:val="00C428FA"/>
    <w:rsid w:val="00C429D7"/>
    <w:rsid w:val="00C42A17"/>
    <w:rsid w:val="00C42A9A"/>
    <w:rsid w:val="00C42C48"/>
    <w:rsid w:val="00C4325B"/>
    <w:rsid w:val="00C437CE"/>
    <w:rsid w:val="00C43B81"/>
    <w:rsid w:val="00C43ECA"/>
    <w:rsid w:val="00C44188"/>
    <w:rsid w:val="00C4427C"/>
    <w:rsid w:val="00C442D7"/>
    <w:rsid w:val="00C443B7"/>
    <w:rsid w:val="00C44B35"/>
    <w:rsid w:val="00C45231"/>
    <w:rsid w:val="00C45376"/>
    <w:rsid w:val="00C454AA"/>
    <w:rsid w:val="00C456B3"/>
    <w:rsid w:val="00C456BE"/>
    <w:rsid w:val="00C45D04"/>
    <w:rsid w:val="00C45DBE"/>
    <w:rsid w:val="00C46035"/>
    <w:rsid w:val="00C46105"/>
    <w:rsid w:val="00C46139"/>
    <w:rsid w:val="00C4636D"/>
    <w:rsid w:val="00C464BB"/>
    <w:rsid w:val="00C464D1"/>
    <w:rsid w:val="00C4659C"/>
    <w:rsid w:val="00C46632"/>
    <w:rsid w:val="00C4671D"/>
    <w:rsid w:val="00C46728"/>
    <w:rsid w:val="00C468B5"/>
    <w:rsid w:val="00C46A06"/>
    <w:rsid w:val="00C46C5D"/>
    <w:rsid w:val="00C46CB0"/>
    <w:rsid w:val="00C46D46"/>
    <w:rsid w:val="00C47090"/>
    <w:rsid w:val="00C470C1"/>
    <w:rsid w:val="00C4733D"/>
    <w:rsid w:val="00C4752D"/>
    <w:rsid w:val="00C47828"/>
    <w:rsid w:val="00C47BF1"/>
    <w:rsid w:val="00C47EE4"/>
    <w:rsid w:val="00C5039D"/>
    <w:rsid w:val="00C5057A"/>
    <w:rsid w:val="00C505A0"/>
    <w:rsid w:val="00C5066B"/>
    <w:rsid w:val="00C508BA"/>
    <w:rsid w:val="00C509BF"/>
    <w:rsid w:val="00C50B0D"/>
    <w:rsid w:val="00C50B1C"/>
    <w:rsid w:val="00C50D49"/>
    <w:rsid w:val="00C50F78"/>
    <w:rsid w:val="00C5125A"/>
    <w:rsid w:val="00C513B7"/>
    <w:rsid w:val="00C5152F"/>
    <w:rsid w:val="00C51B12"/>
    <w:rsid w:val="00C51BE4"/>
    <w:rsid w:val="00C51CD1"/>
    <w:rsid w:val="00C51DE6"/>
    <w:rsid w:val="00C51DFD"/>
    <w:rsid w:val="00C51E28"/>
    <w:rsid w:val="00C51ECF"/>
    <w:rsid w:val="00C522DF"/>
    <w:rsid w:val="00C523B1"/>
    <w:rsid w:val="00C5259E"/>
    <w:rsid w:val="00C525E6"/>
    <w:rsid w:val="00C526E2"/>
    <w:rsid w:val="00C527A7"/>
    <w:rsid w:val="00C52C29"/>
    <w:rsid w:val="00C52E7A"/>
    <w:rsid w:val="00C53025"/>
    <w:rsid w:val="00C53127"/>
    <w:rsid w:val="00C532BD"/>
    <w:rsid w:val="00C532C7"/>
    <w:rsid w:val="00C534D2"/>
    <w:rsid w:val="00C53702"/>
    <w:rsid w:val="00C5386A"/>
    <w:rsid w:val="00C538EA"/>
    <w:rsid w:val="00C53AA5"/>
    <w:rsid w:val="00C53C05"/>
    <w:rsid w:val="00C53E4C"/>
    <w:rsid w:val="00C5462B"/>
    <w:rsid w:val="00C54675"/>
    <w:rsid w:val="00C54893"/>
    <w:rsid w:val="00C54AEA"/>
    <w:rsid w:val="00C54B7D"/>
    <w:rsid w:val="00C550E6"/>
    <w:rsid w:val="00C55159"/>
    <w:rsid w:val="00C55195"/>
    <w:rsid w:val="00C551F6"/>
    <w:rsid w:val="00C55404"/>
    <w:rsid w:val="00C55606"/>
    <w:rsid w:val="00C55A61"/>
    <w:rsid w:val="00C55C6B"/>
    <w:rsid w:val="00C55EAB"/>
    <w:rsid w:val="00C56679"/>
    <w:rsid w:val="00C5667F"/>
    <w:rsid w:val="00C56683"/>
    <w:rsid w:val="00C56B1F"/>
    <w:rsid w:val="00C56C01"/>
    <w:rsid w:val="00C56EA9"/>
    <w:rsid w:val="00C56F71"/>
    <w:rsid w:val="00C57384"/>
    <w:rsid w:val="00C57582"/>
    <w:rsid w:val="00C57796"/>
    <w:rsid w:val="00C60118"/>
    <w:rsid w:val="00C60771"/>
    <w:rsid w:val="00C60B7E"/>
    <w:rsid w:val="00C60F1F"/>
    <w:rsid w:val="00C60FD0"/>
    <w:rsid w:val="00C61169"/>
    <w:rsid w:val="00C611FE"/>
    <w:rsid w:val="00C613B1"/>
    <w:rsid w:val="00C6150E"/>
    <w:rsid w:val="00C61623"/>
    <w:rsid w:val="00C616C6"/>
    <w:rsid w:val="00C61BBC"/>
    <w:rsid w:val="00C61D19"/>
    <w:rsid w:val="00C61DD5"/>
    <w:rsid w:val="00C61F7B"/>
    <w:rsid w:val="00C620E9"/>
    <w:rsid w:val="00C62154"/>
    <w:rsid w:val="00C623D6"/>
    <w:rsid w:val="00C62474"/>
    <w:rsid w:val="00C624C1"/>
    <w:rsid w:val="00C62697"/>
    <w:rsid w:val="00C62915"/>
    <w:rsid w:val="00C62991"/>
    <w:rsid w:val="00C62A00"/>
    <w:rsid w:val="00C62B85"/>
    <w:rsid w:val="00C62C53"/>
    <w:rsid w:val="00C63B0B"/>
    <w:rsid w:val="00C63B53"/>
    <w:rsid w:val="00C63BF6"/>
    <w:rsid w:val="00C63CF7"/>
    <w:rsid w:val="00C64021"/>
    <w:rsid w:val="00C640C7"/>
    <w:rsid w:val="00C64504"/>
    <w:rsid w:val="00C646B9"/>
    <w:rsid w:val="00C64BA9"/>
    <w:rsid w:val="00C6565B"/>
    <w:rsid w:val="00C656B9"/>
    <w:rsid w:val="00C659A3"/>
    <w:rsid w:val="00C659B8"/>
    <w:rsid w:val="00C65A0C"/>
    <w:rsid w:val="00C65D18"/>
    <w:rsid w:val="00C661CC"/>
    <w:rsid w:val="00C6624E"/>
    <w:rsid w:val="00C6629D"/>
    <w:rsid w:val="00C6640E"/>
    <w:rsid w:val="00C664AA"/>
    <w:rsid w:val="00C66667"/>
    <w:rsid w:val="00C668AD"/>
    <w:rsid w:val="00C66B1D"/>
    <w:rsid w:val="00C66C08"/>
    <w:rsid w:val="00C676A8"/>
    <w:rsid w:val="00C677D8"/>
    <w:rsid w:val="00C678AB"/>
    <w:rsid w:val="00C67976"/>
    <w:rsid w:val="00C67B1E"/>
    <w:rsid w:val="00C67C28"/>
    <w:rsid w:val="00C67C6F"/>
    <w:rsid w:val="00C67D6F"/>
    <w:rsid w:val="00C67F96"/>
    <w:rsid w:val="00C70272"/>
    <w:rsid w:val="00C703F5"/>
    <w:rsid w:val="00C7053B"/>
    <w:rsid w:val="00C706E9"/>
    <w:rsid w:val="00C708D1"/>
    <w:rsid w:val="00C70A6B"/>
    <w:rsid w:val="00C70D49"/>
    <w:rsid w:val="00C70F34"/>
    <w:rsid w:val="00C71EBE"/>
    <w:rsid w:val="00C71F2E"/>
    <w:rsid w:val="00C720EC"/>
    <w:rsid w:val="00C721AE"/>
    <w:rsid w:val="00C728BB"/>
    <w:rsid w:val="00C72B2E"/>
    <w:rsid w:val="00C72B40"/>
    <w:rsid w:val="00C72F3A"/>
    <w:rsid w:val="00C730C0"/>
    <w:rsid w:val="00C7323F"/>
    <w:rsid w:val="00C733D1"/>
    <w:rsid w:val="00C7371A"/>
    <w:rsid w:val="00C7385D"/>
    <w:rsid w:val="00C739FC"/>
    <w:rsid w:val="00C73ACA"/>
    <w:rsid w:val="00C73CA4"/>
    <w:rsid w:val="00C73D68"/>
    <w:rsid w:val="00C73DD5"/>
    <w:rsid w:val="00C73E4B"/>
    <w:rsid w:val="00C73F29"/>
    <w:rsid w:val="00C740FC"/>
    <w:rsid w:val="00C74699"/>
    <w:rsid w:val="00C746A8"/>
    <w:rsid w:val="00C7472E"/>
    <w:rsid w:val="00C74BA5"/>
    <w:rsid w:val="00C74BB2"/>
    <w:rsid w:val="00C74C21"/>
    <w:rsid w:val="00C74EBD"/>
    <w:rsid w:val="00C7513A"/>
    <w:rsid w:val="00C7528A"/>
    <w:rsid w:val="00C75A01"/>
    <w:rsid w:val="00C75A8A"/>
    <w:rsid w:val="00C75BBF"/>
    <w:rsid w:val="00C75BFF"/>
    <w:rsid w:val="00C761EA"/>
    <w:rsid w:val="00C763DF"/>
    <w:rsid w:val="00C76403"/>
    <w:rsid w:val="00C764F9"/>
    <w:rsid w:val="00C76751"/>
    <w:rsid w:val="00C7685C"/>
    <w:rsid w:val="00C76EB1"/>
    <w:rsid w:val="00C76EB4"/>
    <w:rsid w:val="00C7732F"/>
    <w:rsid w:val="00C77ACD"/>
    <w:rsid w:val="00C77FFC"/>
    <w:rsid w:val="00C80096"/>
    <w:rsid w:val="00C8013C"/>
    <w:rsid w:val="00C8045D"/>
    <w:rsid w:val="00C806AE"/>
    <w:rsid w:val="00C8084D"/>
    <w:rsid w:val="00C80DFF"/>
    <w:rsid w:val="00C80F6B"/>
    <w:rsid w:val="00C8138F"/>
    <w:rsid w:val="00C8155D"/>
    <w:rsid w:val="00C81603"/>
    <w:rsid w:val="00C81794"/>
    <w:rsid w:val="00C8188E"/>
    <w:rsid w:val="00C8198E"/>
    <w:rsid w:val="00C81AA9"/>
    <w:rsid w:val="00C81C86"/>
    <w:rsid w:val="00C81D06"/>
    <w:rsid w:val="00C81E5C"/>
    <w:rsid w:val="00C8226A"/>
    <w:rsid w:val="00C822A3"/>
    <w:rsid w:val="00C82593"/>
    <w:rsid w:val="00C8269B"/>
    <w:rsid w:val="00C826E0"/>
    <w:rsid w:val="00C82865"/>
    <w:rsid w:val="00C828AA"/>
    <w:rsid w:val="00C82915"/>
    <w:rsid w:val="00C829A1"/>
    <w:rsid w:val="00C82B68"/>
    <w:rsid w:val="00C82CBB"/>
    <w:rsid w:val="00C83300"/>
    <w:rsid w:val="00C83610"/>
    <w:rsid w:val="00C83882"/>
    <w:rsid w:val="00C83E05"/>
    <w:rsid w:val="00C83F1A"/>
    <w:rsid w:val="00C84109"/>
    <w:rsid w:val="00C84156"/>
    <w:rsid w:val="00C8415B"/>
    <w:rsid w:val="00C843F4"/>
    <w:rsid w:val="00C84881"/>
    <w:rsid w:val="00C84F54"/>
    <w:rsid w:val="00C8508F"/>
    <w:rsid w:val="00C852BB"/>
    <w:rsid w:val="00C85316"/>
    <w:rsid w:val="00C855A0"/>
    <w:rsid w:val="00C8566D"/>
    <w:rsid w:val="00C85871"/>
    <w:rsid w:val="00C86054"/>
    <w:rsid w:val="00C860C8"/>
    <w:rsid w:val="00C861B6"/>
    <w:rsid w:val="00C86360"/>
    <w:rsid w:val="00C86714"/>
    <w:rsid w:val="00C8697F"/>
    <w:rsid w:val="00C869E0"/>
    <w:rsid w:val="00C86E63"/>
    <w:rsid w:val="00C86F2A"/>
    <w:rsid w:val="00C871F6"/>
    <w:rsid w:val="00C87432"/>
    <w:rsid w:val="00C876B1"/>
    <w:rsid w:val="00C877F6"/>
    <w:rsid w:val="00C87841"/>
    <w:rsid w:val="00C87CCC"/>
    <w:rsid w:val="00C87F66"/>
    <w:rsid w:val="00C90494"/>
    <w:rsid w:val="00C90596"/>
    <w:rsid w:val="00C9064F"/>
    <w:rsid w:val="00C90754"/>
    <w:rsid w:val="00C907A2"/>
    <w:rsid w:val="00C9109B"/>
    <w:rsid w:val="00C911AE"/>
    <w:rsid w:val="00C9121A"/>
    <w:rsid w:val="00C9151B"/>
    <w:rsid w:val="00C9175E"/>
    <w:rsid w:val="00C91847"/>
    <w:rsid w:val="00C91A61"/>
    <w:rsid w:val="00C91AF9"/>
    <w:rsid w:val="00C91F31"/>
    <w:rsid w:val="00C91F44"/>
    <w:rsid w:val="00C91FCC"/>
    <w:rsid w:val="00C91FDA"/>
    <w:rsid w:val="00C92591"/>
    <w:rsid w:val="00C926C1"/>
    <w:rsid w:val="00C9286D"/>
    <w:rsid w:val="00C928F0"/>
    <w:rsid w:val="00C92CD6"/>
    <w:rsid w:val="00C930E3"/>
    <w:rsid w:val="00C932AF"/>
    <w:rsid w:val="00C936A3"/>
    <w:rsid w:val="00C93740"/>
    <w:rsid w:val="00C93B78"/>
    <w:rsid w:val="00C93D0E"/>
    <w:rsid w:val="00C93DA7"/>
    <w:rsid w:val="00C93EB8"/>
    <w:rsid w:val="00C94289"/>
    <w:rsid w:val="00C942EA"/>
    <w:rsid w:val="00C9472D"/>
    <w:rsid w:val="00C94796"/>
    <w:rsid w:val="00C9491B"/>
    <w:rsid w:val="00C94C2A"/>
    <w:rsid w:val="00C94C36"/>
    <w:rsid w:val="00C94DCB"/>
    <w:rsid w:val="00C9571D"/>
    <w:rsid w:val="00C95CEA"/>
    <w:rsid w:val="00C95EA6"/>
    <w:rsid w:val="00C96197"/>
    <w:rsid w:val="00C961B3"/>
    <w:rsid w:val="00C9650D"/>
    <w:rsid w:val="00C96B1B"/>
    <w:rsid w:val="00C96B7E"/>
    <w:rsid w:val="00C96C4D"/>
    <w:rsid w:val="00C96D64"/>
    <w:rsid w:val="00C96D6A"/>
    <w:rsid w:val="00C96E7C"/>
    <w:rsid w:val="00C975D6"/>
    <w:rsid w:val="00C97BF9"/>
    <w:rsid w:val="00C97D04"/>
    <w:rsid w:val="00C97EF8"/>
    <w:rsid w:val="00CA00F3"/>
    <w:rsid w:val="00CA04FE"/>
    <w:rsid w:val="00CA095F"/>
    <w:rsid w:val="00CA0F2F"/>
    <w:rsid w:val="00CA1197"/>
    <w:rsid w:val="00CA12F4"/>
    <w:rsid w:val="00CA1682"/>
    <w:rsid w:val="00CA1779"/>
    <w:rsid w:val="00CA184F"/>
    <w:rsid w:val="00CA196C"/>
    <w:rsid w:val="00CA1A27"/>
    <w:rsid w:val="00CA1B6B"/>
    <w:rsid w:val="00CA1C41"/>
    <w:rsid w:val="00CA1CA8"/>
    <w:rsid w:val="00CA1D22"/>
    <w:rsid w:val="00CA1F5D"/>
    <w:rsid w:val="00CA20B1"/>
    <w:rsid w:val="00CA2156"/>
    <w:rsid w:val="00CA21E5"/>
    <w:rsid w:val="00CA24E3"/>
    <w:rsid w:val="00CA2500"/>
    <w:rsid w:val="00CA2D61"/>
    <w:rsid w:val="00CA2DC2"/>
    <w:rsid w:val="00CA310B"/>
    <w:rsid w:val="00CA3393"/>
    <w:rsid w:val="00CA3465"/>
    <w:rsid w:val="00CA373B"/>
    <w:rsid w:val="00CA3821"/>
    <w:rsid w:val="00CA3D87"/>
    <w:rsid w:val="00CA3F08"/>
    <w:rsid w:val="00CA442E"/>
    <w:rsid w:val="00CA46A9"/>
    <w:rsid w:val="00CA4983"/>
    <w:rsid w:val="00CA4BD8"/>
    <w:rsid w:val="00CA4C55"/>
    <w:rsid w:val="00CA51D8"/>
    <w:rsid w:val="00CA5360"/>
    <w:rsid w:val="00CA5392"/>
    <w:rsid w:val="00CA5607"/>
    <w:rsid w:val="00CA5805"/>
    <w:rsid w:val="00CA58CB"/>
    <w:rsid w:val="00CA59EB"/>
    <w:rsid w:val="00CA5CE7"/>
    <w:rsid w:val="00CA5DED"/>
    <w:rsid w:val="00CA6149"/>
    <w:rsid w:val="00CA61B4"/>
    <w:rsid w:val="00CA64DF"/>
    <w:rsid w:val="00CA66D4"/>
    <w:rsid w:val="00CA6C97"/>
    <w:rsid w:val="00CA6D1B"/>
    <w:rsid w:val="00CA6E1B"/>
    <w:rsid w:val="00CA6ECE"/>
    <w:rsid w:val="00CA707E"/>
    <w:rsid w:val="00CA7770"/>
    <w:rsid w:val="00CA7D6C"/>
    <w:rsid w:val="00CA7F10"/>
    <w:rsid w:val="00CB0018"/>
    <w:rsid w:val="00CB01BC"/>
    <w:rsid w:val="00CB0257"/>
    <w:rsid w:val="00CB0315"/>
    <w:rsid w:val="00CB0326"/>
    <w:rsid w:val="00CB03A8"/>
    <w:rsid w:val="00CB051D"/>
    <w:rsid w:val="00CB0CBC"/>
    <w:rsid w:val="00CB0CF0"/>
    <w:rsid w:val="00CB0D9B"/>
    <w:rsid w:val="00CB0DD3"/>
    <w:rsid w:val="00CB0DD9"/>
    <w:rsid w:val="00CB0E9B"/>
    <w:rsid w:val="00CB1085"/>
    <w:rsid w:val="00CB11C5"/>
    <w:rsid w:val="00CB18C6"/>
    <w:rsid w:val="00CB1A22"/>
    <w:rsid w:val="00CB1DE6"/>
    <w:rsid w:val="00CB2029"/>
    <w:rsid w:val="00CB2373"/>
    <w:rsid w:val="00CB23A5"/>
    <w:rsid w:val="00CB28EB"/>
    <w:rsid w:val="00CB2A4A"/>
    <w:rsid w:val="00CB2E92"/>
    <w:rsid w:val="00CB2F49"/>
    <w:rsid w:val="00CB31BE"/>
    <w:rsid w:val="00CB348A"/>
    <w:rsid w:val="00CB37F2"/>
    <w:rsid w:val="00CB399F"/>
    <w:rsid w:val="00CB3C11"/>
    <w:rsid w:val="00CB3C65"/>
    <w:rsid w:val="00CB4249"/>
    <w:rsid w:val="00CB42A6"/>
    <w:rsid w:val="00CB4382"/>
    <w:rsid w:val="00CB45B0"/>
    <w:rsid w:val="00CB45B6"/>
    <w:rsid w:val="00CB46BF"/>
    <w:rsid w:val="00CB48D5"/>
    <w:rsid w:val="00CB495A"/>
    <w:rsid w:val="00CB4A80"/>
    <w:rsid w:val="00CB4D59"/>
    <w:rsid w:val="00CB51D5"/>
    <w:rsid w:val="00CB53A5"/>
    <w:rsid w:val="00CB53F2"/>
    <w:rsid w:val="00CB543D"/>
    <w:rsid w:val="00CB581B"/>
    <w:rsid w:val="00CB595F"/>
    <w:rsid w:val="00CB5AC3"/>
    <w:rsid w:val="00CB5B8E"/>
    <w:rsid w:val="00CB5C57"/>
    <w:rsid w:val="00CB5CAB"/>
    <w:rsid w:val="00CB5F2F"/>
    <w:rsid w:val="00CB5FB7"/>
    <w:rsid w:val="00CB60B1"/>
    <w:rsid w:val="00CB6229"/>
    <w:rsid w:val="00CB67F9"/>
    <w:rsid w:val="00CB6C6C"/>
    <w:rsid w:val="00CB6DF0"/>
    <w:rsid w:val="00CB6EA1"/>
    <w:rsid w:val="00CB6F67"/>
    <w:rsid w:val="00CB6FBA"/>
    <w:rsid w:val="00CB70B2"/>
    <w:rsid w:val="00CB71C8"/>
    <w:rsid w:val="00CB7293"/>
    <w:rsid w:val="00CB75C3"/>
    <w:rsid w:val="00CB7666"/>
    <w:rsid w:val="00CB7A9D"/>
    <w:rsid w:val="00CB7BFE"/>
    <w:rsid w:val="00CB7C4F"/>
    <w:rsid w:val="00CC0076"/>
    <w:rsid w:val="00CC014D"/>
    <w:rsid w:val="00CC028C"/>
    <w:rsid w:val="00CC032C"/>
    <w:rsid w:val="00CC038F"/>
    <w:rsid w:val="00CC052B"/>
    <w:rsid w:val="00CC09E4"/>
    <w:rsid w:val="00CC0C33"/>
    <w:rsid w:val="00CC0CD0"/>
    <w:rsid w:val="00CC0ED2"/>
    <w:rsid w:val="00CC0F62"/>
    <w:rsid w:val="00CC16B6"/>
    <w:rsid w:val="00CC1D12"/>
    <w:rsid w:val="00CC1D44"/>
    <w:rsid w:val="00CC1DF3"/>
    <w:rsid w:val="00CC1F0B"/>
    <w:rsid w:val="00CC1F75"/>
    <w:rsid w:val="00CC2551"/>
    <w:rsid w:val="00CC2868"/>
    <w:rsid w:val="00CC29A4"/>
    <w:rsid w:val="00CC2A9C"/>
    <w:rsid w:val="00CC303A"/>
    <w:rsid w:val="00CC30A5"/>
    <w:rsid w:val="00CC3164"/>
    <w:rsid w:val="00CC37E6"/>
    <w:rsid w:val="00CC3DAB"/>
    <w:rsid w:val="00CC3ECB"/>
    <w:rsid w:val="00CC412D"/>
    <w:rsid w:val="00CC4378"/>
    <w:rsid w:val="00CC43FC"/>
    <w:rsid w:val="00CC4674"/>
    <w:rsid w:val="00CC4694"/>
    <w:rsid w:val="00CC49A3"/>
    <w:rsid w:val="00CC4BC2"/>
    <w:rsid w:val="00CC4D8D"/>
    <w:rsid w:val="00CC4EB3"/>
    <w:rsid w:val="00CC4F74"/>
    <w:rsid w:val="00CC50DB"/>
    <w:rsid w:val="00CC5145"/>
    <w:rsid w:val="00CC55C8"/>
    <w:rsid w:val="00CC5972"/>
    <w:rsid w:val="00CC5E40"/>
    <w:rsid w:val="00CC5E56"/>
    <w:rsid w:val="00CC63B4"/>
    <w:rsid w:val="00CC6688"/>
    <w:rsid w:val="00CC6850"/>
    <w:rsid w:val="00CC6886"/>
    <w:rsid w:val="00CC7053"/>
    <w:rsid w:val="00CC723A"/>
    <w:rsid w:val="00CC72AC"/>
    <w:rsid w:val="00CC74B8"/>
    <w:rsid w:val="00CC763C"/>
    <w:rsid w:val="00CC7AE6"/>
    <w:rsid w:val="00CC7B95"/>
    <w:rsid w:val="00CD0047"/>
    <w:rsid w:val="00CD0255"/>
    <w:rsid w:val="00CD0288"/>
    <w:rsid w:val="00CD029B"/>
    <w:rsid w:val="00CD04D0"/>
    <w:rsid w:val="00CD053E"/>
    <w:rsid w:val="00CD07CB"/>
    <w:rsid w:val="00CD0822"/>
    <w:rsid w:val="00CD08D4"/>
    <w:rsid w:val="00CD0C5C"/>
    <w:rsid w:val="00CD0D2C"/>
    <w:rsid w:val="00CD0FF7"/>
    <w:rsid w:val="00CD1044"/>
    <w:rsid w:val="00CD10B8"/>
    <w:rsid w:val="00CD10B9"/>
    <w:rsid w:val="00CD13BC"/>
    <w:rsid w:val="00CD1608"/>
    <w:rsid w:val="00CD1E3F"/>
    <w:rsid w:val="00CD2476"/>
    <w:rsid w:val="00CD2659"/>
    <w:rsid w:val="00CD28A0"/>
    <w:rsid w:val="00CD28C0"/>
    <w:rsid w:val="00CD2935"/>
    <w:rsid w:val="00CD2C2A"/>
    <w:rsid w:val="00CD2ED5"/>
    <w:rsid w:val="00CD3021"/>
    <w:rsid w:val="00CD3747"/>
    <w:rsid w:val="00CD411E"/>
    <w:rsid w:val="00CD42EE"/>
    <w:rsid w:val="00CD446E"/>
    <w:rsid w:val="00CD44F3"/>
    <w:rsid w:val="00CD4643"/>
    <w:rsid w:val="00CD4674"/>
    <w:rsid w:val="00CD4B78"/>
    <w:rsid w:val="00CD4BB6"/>
    <w:rsid w:val="00CD4BFD"/>
    <w:rsid w:val="00CD4E76"/>
    <w:rsid w:val="00CD4F1D"/>
    <w:rsid w:val="00CD4F3F"/>
    <w:rsid w:val="00CD51F4"/>
    <w:rsid w:val="00CD521D"/>
    <w:rsid w:val="00CD523B"/>
    <w:rsid w:val="00CD5393"/>
    <w:rsid w:val="00CD5D1F"/>
    <w:rsid w:val="00CD5E9C"/>
    <w:rsid w:val="00CD610F"/>
    <w:rsid w:val="00CD643D"/>
    <w:rsid w:val="00CD64F2"/>
    <w:rsid w:val="00CD6513"/>
    <w:rsid w:val="00CD699E"/>
    <w:rsid w:val="00CD6B7D"/>
    <w:rsid w:val="00CD70B0"/>
    <w:rsid w:val="00CD7390"/>
    <w:rsid w:val="00CD73CA"/>
    <w:rsid w:val="00CD7404"/>
    <w:rsid w:val="00CD7629"/>
    <w:rsid w:val="00CD76D5"/>
    <w:rsid w:val="00CD7753"/>
    <w:rsid w:val="00CD7CBB"/>
    <w:rsid w:val="00CD7FA5"/>
    <w:rsid w:val="00CE006B"/>
    <w:rsid w:val="00CE0131"/>
    <w:rsid w:val="00CE0245"/>
    <w:rsid w:val="00CE035A"/>
    <w:rsid w:val="00CE0395"/>
    <w:rsid w:val="00CE055B"/>
    <w:rsid w:val="00CE05CD"/>
    <w:rsid w:val="00CE0771"/>
    <w:rsid w:val="00CE0857"/>
    <w:rsid w:val="00CE08FF"/>
    <w:rsid w:val="00CE0B0D"/>
    <w:rsid w:val="00CE0E7C"/>
    <w:rsid w:val="00CE1396"/>
    <w:rsid w:val="00CE13D7"/>
    <w:rsid w:val="00CE154F"/>
    <w:rsid w:val="00CE17AA"/>
    <w:rsid w:val="00CE17E1"/>
    <w:rsid w:val="00CE1B9B"/>
    <w:rsid w:val="00CE1D01"/>
    <w:rsid w:val="00CE1E36"/>
    <w:rsid w:val="00CE1FD9"/>
    <w:rsid w:val="00CE20B6"/>
    <w:rsid w:val="00CE21A7"/>
    <w:rsid w:val="00CE2364"/>
    <w:rsid w:val="00CE25CC"/>
    <w:rsid w:val="00CE26DA"/>
    <w:rsid w:val="00CE2BAB"/>
    <w:rsid w:val="00CE2BE6"/>
    <w:rsid w:val="00CE2C2E"/>
    <w:rsid w:val="00CE30B0"/>
    <w:rsid w:val="00CE30CC"/>
    <w:rsid w:val="00CE30E7"/>
    <w:rsid w:val="00CE31C5"/>
    <w:rsid w:val="00CE32E1"/>
    <w:rsid w:val="00CE33AF"/>
    <w:rsid w:val="00CE3455"/>
    <w:rsid w:val="00CE34DF"/>
    <w:rsid w:val="00CE368F"/>
    <w:rsid w:val="00CE370E"/>
    <w:rsid w:val="00CE38FE"/>
    <w:rsid w:val="00CE3E67"/>
    <w:rsid w:val="00CE3EBA"/>
    <w:rsid w:val="00CE3F37"/>
    <w:rsid w:val="00CE3F5C"/>
    <w:rsid w:val="00CE4309"/>
    <w:rsid w:val="00CE4410"/>
    <w:rsid w:val="00CE447B"/>
    <w:rsid w:val="00CE44DF"/>
    <w:rsid w:val="00CE45A2"/>
    <w:rsid w:val="00CE4732"/>
    <w:rsid w:val="00CE5090"/>
    <w:rsid w:val="00CE50FC"/>
    <w:rsid w:val="00CE5A7E"/>
    <w:rsid w:val="00CE5ACB"/>
    <w:rsid w:val="00CE5ACF"/>
    <w:rsid w:val="00CE5C52"/>
    <w:rsid w:val="00CE5DD7"/>
    <w:rsid w:val="00CE60BD"/>
    <w:rsid w:val="00CE6175"/>
    <w:rsid w:val="00CE6316"/>
    <w:rsid w:val="00CE639E"/>
    <w:rsid w:val="00CE6694"/>
    <w:rsid w:val="00CE6C6E"/>
    <w:rsid w:val="00CE6E72"/>
    <w:rsid w:val="00CE7218"/>
    <w:rsid w:val="00CE758A"/>
    <w:rsid w:val="00CE76F7"/>
    <w:rsid w:val="00CE7AC0"/>
    <w:rsid w:val="00CE7B7B"/>
    <w:rsid w:val="00CE7C34"/>
    <w:rsid w:val="00CE7D03"/>
    <w:rsid w:val="00CE7F8B"/>
    <w:rsid w:val="00CF0149"/>
    <w:rsid w:val="00CF059A"/>
    <w:rsid w:val="00CF06F9"/>
    <w:rsid w:val="00CF08E8"/>
    <w:rsid w:val="00CF0ABB"/>
    <w:rsid w:val="00CF0B14"/>
    <w:rsid w:val="00CF0DD4"/>
    <w:rsid w:val="00CF0EFA"/>
    <w:rsid w:val="00CF1045"/>
    <w:rsid w:val="00CF129B"/>
    <w:rsid w:val="00CF13B3"/>
    <w:rsid w:val="00CF1402"/>
    <w:rsid w:val="00CF173B"/>
    <w:rsid w:val="00CF1FA9"/>
    <w:rsid w:val="00CF2135"/>
    <w:rsid w:val="00CF2227"/>
    <w:rsid w:val="00CF22C4"/>
    <w:rsid w:val="00CF2334"/>
    <w:rsid w:val="00CF23CF"/>
    <w:rsid w:val="00CF24C3"/>
    <w:rsid w:val="00CF291B"/>
    <w:rsid w:val="00CF2B30"/>
    <w:rsid w:val="00CF2F01"/>
    <w:rsid w:val="00CF2FD6"/>
    <w:rsid w:val="00CF3590"/>
    <w:rsid w:val="00CF37E7"/>
    <w:rsid w:val="00CF386D"/>
    <w:rsid w:val="00CF3F02"/>
    <w:rsid w:val="00CF4134"/>
    <w:rsid w:val="00CF4175"/>
    <w:rsid w:val="00CF435D"/>
    <w:rsid w:val="00CF43D0"/>
    <w:rsid w:val="00CF4779"/>
    <w:rsid w:val="00CF4A14"/>
    <w:rsid w:val="00CF4A1A"/>
    <w:rsid w:val="00CF4E04"/>
    <w:rsid w:val="00CF5050"/>
    <w:rsid w:val="00CF51D1"/>
    <w:rsid w:val="00CF5424"/>
    <w:rsid w:val="00CF56FF"/>
    <w:rsid w:val="00CF58A6"/>
    <w:rsid w:val="00CF58F7"/>
    <w:rsid w:val="00CF5E62"/>
    <w:rsid w:val="00CF5F47"/>
    <w:rsid w:val="00CF60C6"/>
    <w:rsid w:val="00CF67B9"/>
    <w:rsid w:val="00CF67E2"/>
    <w:rsid w:val="00CF6811"/>
    <w:rsid w:val="00CF6A1D"/>
    <w:rsid w:val="00CF6B7E"/>
    <w:rsid w:val="00CF6E91"/>
    <w:rsid w:val="00CF6EB9"/>
    <w:rsid w:val="00CF7061"/>
    <w:rsid w:val="00CF72B2"/>
    <w:rsid w:val="00CF74B4"/>
    <w:rsid w:val="00CF752F"/>
    <w:rsid w:val="00CF7535"/>
    <w:rsid w:val="00CF775D"/>
    <w:rsid w:val="00CF7B25"/>
    <w:rsid w:val="00CF7D67"/>
    <w:rsid w:val="00D002AC"/>
    <w:rsid w:val="00D002DF"/>
    <w:rsid w:val="00D0069B"/>
    <w:rsid w:val="00D0080D"/>
    <w:rsid w:val="00D008FB"/>
    <w:rsid w:val="00D0103A"/>
    <w:rsid w:val="00D012CF"/>
    <w:rsid w:val="00D01336"/>
    <w:rsid w:val="00D01634"/>
    <w:rsid w:val="00D01912"/>
    <w:rsid w:val="00D019D6"/>
    <w:rsid w:val="00D01AA4"/>
    <w:rsid w:val="00D01C71"/>
    <w:rsid w:val="00D01CB6"/>
    <w:rsid w:val="00D01EBD"/>
    <w:rsid w:val="00D01F46"/>
    <w:rsid w:val="00D01FF9"/>
    <w:rsid w:val="00D02159"/>
    <w:rsid w:val="00D0217B"/>
    <w:rsid w:val="00D027F0"/>
    <w:rsid w:val="00D02A5B"/>
    <w:rsid w:val="00D02D2E"/>
    <w:rsid w:val="00D02E1C"/>
    <w:rsid w:val="00D033E0"/>
    <w:rsid w:val="00D0348D"/>
    <w:rsid w:val="00D03AED"/>
    <w:rsid w:val="00D03E63"/>
    <w:rsid w:val="00D04344"/>
    <w:rsid w:val="00D0443D"/>
    <w:rsid w:val="00D044A6"/>
    <w:rsid w:val="00D04720"/>
    <w:rsid w:val="00D04837"/>
    <w:rsid w:val="00D048AB"/>
    <w:rsid w:val="00D04AE3"/>
    <w:rsid w:val="00D04B7A"/>
    <w:rsid w:val="00D04CBD"/>
    <w:rsid w:val="00D0508E"/>
    <w:rsid w:val="00D05098"/>
    <w:rsid w:val="00D0513F"/>
    <w:rsid w:val="00D05281"/>
    <w:rsid w:val="00D05298"/>
    <w:rsid w:val="00D053DE"/>
    <w:rsid w:val="00D053FD"/>
    <w:rsid w:val="00D0561C"/>
    <w:rsid w:val="00D056F5"/>
    <w:rsid w:val="00D05AD5"/>
    <w:rsid w:val="00D05BB8"/>
    <w:rsid w:val="00D05D36"/>
    <w:rsid w:val="00D05D9E"/>
    <w:rsid w:val="00D05EF3"/>
    <w:rsid w:val="00D0601A"/>
    <w:rsid w:val="00D06027"/>
    <w:rsid w:val="00D06620"/>
    <w:rsid w:val="00D0681A"/>
    <w:rsid w:val="00D0690B"/>
    <w:rsid w:val="00D06F00"/>
    <w:rsid w:val="00D06F13"/>
    <w:rsid w:val="00D071F9"/>
    <w:rsid w:val="00D076BA"/>
    <w:rsid w:val="00D07911"/>
    <w:rsid w:val="00D0799F"/>
    <w:rsid w:val="00D079E3"/>
    <w:rsid w:val="00D07B51"/>
    <w:rsid w:val="00D07C8A"/>
    <w:rsid w:val="00D07EB0"/>
    <w:rsid w:val="00D10131"/>
    <w:rsid w:val="00D10145"/>
    <w:rsid w:val="00D102EF"/>
    <w:rsid w:val="00D10477"/>
    <w:rsid w:val="00D10838"/>
    <w:rsid w:val="00D10864"/>
    <w:rsid w:val="00D108FC"/>
    <w:rsid w:val="00D10A8A"/>
    <w:rsid w:val="00D10D00"/>
    <w:rsid w:val="00D10E1A"/>
    <w:rsid w:val="00D10E5E"/>
    <w:rsid w:val="00D10FD7"/>
    <w:rsid w:val="00D11116"/>
    <w:rsid w:val="00D11852"/>
    <w:rsid w:val="00D11B0D"/>
    <w:rsid w:val="00D11D45"/>
    <w:rsid w:val="00D1207F"/>
    <w:rsid w:val="00D1227A"/>
    <w:rsid w:val="00D123AD"/>
    <w:rsid w:val="00D126AF"/>
    <w:rsid w:val="00D129BB"/>
    <w:rsid w:val="00D12B7E"/>
    <w:rsid w:val="00D12C9F"/>
    <w:rsid w:val="00D12EC1"/>
    <w:rsid w:val="00D130F6"/>
    <w:rsid w:val="00D13297"/>
    <w:rsid w:val="00D134C1"/>
    <w:rsid w:val="00D1376C"/>
    <w:rsid w:val="00D13776"/>
    <w:rsid w:val="00D13B01"/>
    <w:rsid w:val="00D13DD0"/>
    <w:rsid w:val="00D13E80"/>
    <w:rsid w:val="00D13F64"/>
    <w:rsid w:val="00D1406E"/>
    <w:rsid w:val="00D143C8"/>
    <w:rsid w:val="00D144F9"/>
    <w:rsid w:val="00D147E8"/>
    <w:rsid w:val="00D14851"/>
    <w:rsid w:val="00D148D4"/>
    <w:rsid w:val="00D14C02"/>
    <w:rsid w:val="00D1501C"/>
    <w:rsid w:val="00D1518F"/>
    <w:rsid w:val="00D15530"/>
    <w:rsid w:val="00D157E7"/>
    <w:rsid w:val="00D158D8"/>
    <w:rsid w:val="00D159D7"/>
    <w:rsid w:val="00D15A4C"/>
    <w:rsid w:val="00D15C87"/>
    <w:rsid w:val="00D1601A"/>
    <w:rsid w:val="00D168DF"/>
    <w:rsid w:val="00D16B4E"/>
    <w:rsid w:val="00D16C22"/>
    <w:rsid w:val="00D16E1F"/>
    <w:rsid w:val="00D1710B"/>
    <w:rsid w:val="00D171D4"/>
    <w:rsid w:val="00D1720F"/>
    <w:rsid w:val="00D17605"/>
    <w:rsid w:val="00D17635"/>
    <w:rsid w:val="00D1792A"/>
    <w:rsid w:val="00D17A28"/>
    <w:rsid w:val="00D17C04"/>
    <w:rsid w:val="00D17C56"/>
    <w:rsid w:val="00D17E16"/>
    <w:rsid w:val="00D17FE7"/>
    <w:rsid w:val="00D20537"/>
    <w:rsid w:val="00D2057E"/>
    <w:rsid w:val="00D2064D"/>
    <w:rsid w:val="00D20669"/>
    <w:rsid w:val="00D20FD3"/>
    <w:rsid w:val="00D20FEC"/>
    <w:rsid w:val="00D21308"/>
    <w:rsid w:val="00D214CC"/>
    <w:rsid w:val="00D216FD"/>
    <w:rsid w:val="00D21798"/>
    <w:rsid w:val="00D21811"/>
    <w:rsid w:val="00D2191D"/>
    <w:rsid w:val="00D219E9"/>
    <w:rsid w:val="00D21A47"/>
    <w:rsid w:val="00D21A8B"/>
    <w:rsid w:val="00D21AD6"/>
    <w:rsid w:val="00D21C41"/>
    <w:rsid w:val="00D21D78"/>
    <w:rsid w:val="00D221DE"/>
    <w:rsid w:val="00D22319"/>
    <w:rsid w:val="00D22329"/>
    <w:rsid w:val="00D223E6"/>
    <w:rsid w:val="00D2283D"/>
    <w:rsid w:val="00D2287E"/>
    <w:rsid w:val="00D22A72"/>
    <w:rsid w:val="00D22C4C"/>
    <w:rsid w:val="00D22D55"/>
    <w:rsid w:val="00D22DED"/>
    <w:rsid w:val="00D22E91"/>
    <w:rsid w:val="00D22EDE"/>
    <w:rsid w:val="00D23077"/>
    <w:rsid w:val="00D23150"/>
    <w:rsid w:val="00D232F1"/>
    <w:rsid w:val="00D23483"/>
    <w:rsid w:val="00D237F5"/>
    <w:rsid w:val="00D2386B"/>
    <w:rsid w:val="00D239B0"/>
    <w:rsid w:val="00D23BF2"/>
    <w:rsid w:val="00D23EE2"/>
    <w:rsid w:val="00D240B4"/>
    <w:rsid w:val="00D24112"/>
    <w:rsid w:val="00D24120"/>
    <w:rsid w:val="00D242CC"/>
    <w:rsid w:val="00D24498"/>
    <w:rsid w:val="00D244A8"/>
    <w:rsid w:val="00D24B43"/>
    <w:rsid w:val="00D24CE5"/>
    <w:rsid w:val="00D24D0F"/>
    <w:rsid w:val="00D24DE2"/>
    <w:rsid w:val="00D252D7"/>
    <w:rsid w:val="00D2544A"/>
    <w:rsid w:val="00D25882"/>
    <w:rsid w:val="00D25CA3"/>
    <w:rsid w:val="00D261EB"/>
    <w:rsid w:val="00D26225"/>
    <w:rsid w:val="00D26358"/>
    <w:rsid w:val="00D26B9B"/>
    <w:rsid w:val="00D26D98"/>
    <w:rsid w:val="00D270BE"/>
    <w:rsid w:val="00D27194"/>
    <w:rsid w:val="00D27419"/>
    <w:rsid w:val="00D27438"/>
    <w:rsid w:val="00D274E9"/>
    <w:rsid w:val="00D279E1"/>
    <w:rsid w:val="00D27B2B"/>
    <w:rsid w:val="00D27BD7"/>
    <w:rsid w:val="00D27D7B"/>
    <w:rsid w:val="00D30050"/>
    <w:rsid w:val="00D300A2"/>
    <w:rsid w:val="00D30105"/>
    <w:rsid w:val="00D30454"/>
    <w:rsid w:val="00D3054D"/>
    <w:rsid w:val="00D309F3"/>
    <w:rsid w:val="00D30A72"/>
    <w:rsid w:val="00D30CF1"/>
    <w:rsid w:val="00D30EC7"/>
    <w:rsid w:val="00D30FE1"/>
    <w:rsid w:val="00D31477"/>
    <w:rsid w:val="00D314F5"/>
    <w:rsid w:val="00D31577"/>
    <w:rsid w:val="00D316E8"/>
    <w:rsid w:val="00D319CF"/>
    <w:rsid w:val="00D31B24"/>
    <w:rsid w:val="00D31E4F"/>
    <w:rsid w:val="00D31F01"/>
    <w:rsid w:val="00D32043"/>
    <w:rsid w:val="00D32416"/>
    <w:rsid w:val="00D32466"/>
    <w:rsid w:val="00D32583"/>
    <w:rsid w:val="00D326AC"/>
    <w:rsid w:val="00D3278C"/>
    <w:rsid w:val="00D32E1D"/>
    <w:rsid w:val="00D32E3C"/>
    <w:rsid w:val="00D32F6E"/>
    <w:rsid w:val="00D331D2"/>
    <w:rsid w:val="00D331D5"/>
    <w:rsid w:val="00D332AB"/>
    <w:rsid w:val="00D3337F"/>
    <w:rsid w:val="00D3345E"/>
    <w:rsid w:val="00D334E4"/>
    <w:rsid w:val="00D334F7"/>
    <w:rsid w:val="00D33533"/>
    <w:rsid w:val="00D336F2"/>
    <w:rsid w:val="00D33B1E"/>
    <w:rsid w:val="00D33E85"/>
    <w:rsid w:val="00D33F0E"/>
    <w:rsid w:val="00D34293"/>
    <w:rsid w:val="00D34674"/>
    <w:rsid w:val="00D3478D"/>
    <w:rsid w:val="00D34856"/>
    <w:rsid w:val="00D3498A"/>
    <w:rsid w:val="00D34A45"/>
    <w:rsid w:val="00D34EDF"/>
    <w:rsid w:val="00D34FF5"/>
    <w:rsid w:val="00D351B4"/>
    <w:rsid w:val="00D35369"/>
    <w:rsid w:val="00D3538A"/>
    <w:rsid w:val="00D35464"/>
    <w:rsid w:val="00D355C4"/>
    <w:rsid w:val="00D357C8"/>
    <w:rsid w:val="00D35D2E"/>
    <w:rsid w:val="00D35D96"/>
    <w:rsid w:val="00D3601C"/>
    <w:rsid w:val="00D360B6"/>
    <w:rsid w:val="00D361DB"/>
    <w:rsid w:val="00D36456"/>
    <w:rsid w:val="00D36465"/>
    <w:rsid w:val="00D364A8"/>
    <w:rsid w:val="00D364EF"/>
    <w:rsid w:val="00D367C0"/>
    <w:rsid w:val="00D3693A"/>
    <w:rsid w:val="00D36AB0"/>
    <w:rsid w:val="00D36E86"/>
    <w:rsid w:val="00D374A4"/>
    <w:rsid w:val="00D37508"/>
    <w:rsid w:val="00D37630"/>
    <w:rsid w:val="00D37BBD"/>
    <w:rsid w:val="00D37C56"/>
    <w:rsid w:val="00D402A1"/>
    <w:rsid w:val="00D402E2"/>
    <w:rsid w:val="00D404BE"/>
    <w:rsid w:val="00D404FA"/>
    <w:rsid w:val="00D40652"/>
    <w:rsid w:val="00D4086D"/>
    <w:rsid w:val="00D409AC"/>
    <w:rsid w:val="00D40AA2"/>
    <w:rsid w:val="00D40AF6"/>
    <w:rsid w:val="00D40BFF"/>
    <w:rsid w:val="00D41012"/>
    <w:rsid w:val="00D412D5"/>
    <w:rsid w:val="00D412E6"/>
    <w:rsid w:val="00D415E8"/>
    <w:rsid w:val="00D41827"/>
    <w:rsid w:val="00D41843"/>
    <w:rsid w:val="00D41A3F"/>
    <w:rsid w:val="00D41A76"/>
    <w:rsid w:val="00D41F59"/>
    <w:rsid w:val="00D41F84"/>
    <w:rsid w:val="00D42532"/>
    <w:rsid w:val="00D42D00"/>
    <w:rsid w:val="00D43128"/>
    <w:rsid w:val="00D43137"/>
    <w:rsid w:val="00D431D1"/>
    <w:rsid w:val="00D4344B"/>
    <w:rsid w:val="00D4369D"/>
    <w:rsid w:val="00D437AD"/>
    <w:rsid w:val="00D43A2C"/>
    <w:rsid w:val="00D43AD1"/>
    <w:rsid w:val="00D43C4A"/>
    <w:rsid w:val="00D43D07"/>
    <w:rsid w:val="00D43E18"/>
    <w:rsid w:val="00D4428D"/>
    <w:rsid w:val="00D442B1"/>
    <w:rsid w:val="00D44603"/>
    <w:rsid w:val="00D4470A"/>
    <w:rsid w:val="00D44987"/>
    <w:rsid w:val="00D44A69"/>
    <w:rsid w:val="00D44BDB"/>
    <w:rsid w:val="00D44D12"/>
    <w:rsid w:val="00D450C6"/>
    <w:rsid w:val="00D45337"/>
    <w:rsid w:val="00D45558"/>
    <w:rsid w:val="00D45758"/>
    <w:rsid w:val="00D457D2"/>
    <w:rsid w:val="00D45930"/>
    <w:rsid w:val="00D45EB0"/>
    <w:rsid w:val="00D45F89"/>
    <w:rsid w:val="00D46106"/>
    <w:rsid w:val="00D4611E"/>
    <w:rsid w:val="00D46217"/>
    <w:rsid w:val="00D4633D"/>
    <w:rsid w:val="00D464D3"/>
    <w:rsid w:val="00D46656"/>
    <w:rsid w:val="00D46BCC"/>
    <w:rsid w:val="00D46DBB"/>
    <w:rsid w:val="00D472F6"/>
    <w:rsid w:val="00D47490"/>
    <w:rsid w:val="00D4783D"/>
    <w:rsid w:val="00D47AE1"/>
    <w:rsid w:val="00D47CAC"/>
    <w:rsid w:val="00D50500"/>
    <w:rsid w:val="00D506F5"/>
    <w:rsid w:val="00D50CC9"/>
    <w:rsid w:val="00D50F8A"/>
    <w:rsid w:val="00D5134C"/>
    <w:rsid w:val="00D51566"/>
    <w:rsid w:val="00D5161D"/>
    <w:rsid w:val="00D51AB9"/>
    <w:rsid w:val="00D51D10"/>
    <w:rsid w:val="00D51DD5"/>
    <w:rsid w:val="00D51DE4"/>
    <w:rsid w:val="00D51F54"/>
    <w:rsid w:val="00D52530"/>
    <w:rsid w:val="00D52F55"/>
    <w:rsid w:val="00D52FB5"/>
    <w:rsid w:val="00D52FC6"/>
    <w:rsid w:val="00D53023"/>
    <w:rsid w:val="00D537C0"/>
    <w:rsid w:val="00D53890"/>
    <w:rsid w:val="00D53990"/>
    <w:rsid w:val="00D53F15"/>
    <w:rsid w:val="00D5403B"/>
    <w:rsid w:val="00D540C3"/>
    <w:rsid w:val="00D541A7"/>
    <w:rsid w:val="00D545B8"/>
    <w:rsid w:val="00D545DC"/>
    <w:rsid w:val="00D546C2"/>
    <w:rsid w:val="00D549B7"/>
    <w:rsid w:val="00D54A42"/>
    <w:rsid w:val="00D54AB2"/>
    <w:rsid w:val="00D554B2"/>
    <w:rsid w:val="00D556BC"/>
    <w:rsid w:val="00D55F30"/>
    <w:rsid w:val="00D561BB"/>
    <w:rsid w:val="00D56285"/>
    <w:rsid w:val="00D563C1"/>
    <w:rsid w:val="00D567EE"/>
    <w:rsid w:val="00D569BC"/>
    <w:rsid w:val="00D56D7B"/>
    <w:rsid w:val="00D56DB8"/>
    <w:rsid w:val="00D56DD2"/>
    <w:rsid w:val="00D5739D"/>
    <w:rsid w:val="00D5745C"/>
    <w:rsid w:val="00D57684"/>
    <w:rsid w:val="00D57787"/>
    <w:rsid w:val="00D57AA6"/>
    <w:rsid w:val="00D57B69"/>
    <w:rsid w:val="00D57C55"/>
    <w:rsid w:val="00D57D59"/>
    <w:rsid w:val="00D57E22"/>
    <w:rsid w:val="00D57FCC"/>
    <w:rsid w:val="00D6013E"/>
    <w:rsid w:val="00D60452"/>
    <w:rsid w:val="00D604B3"/>
    <w:rsid w:val="00D604F3"/>
    <w:rsid w:val="00D605FF"/>
    <w:rsid w:val="00D60664"/>
    <w:rsid w:val="00D607E1"/>
    <w:rsid w:val="00D608CB"/>
    <w:rsid w:val="00D60C9C"/>
    <w:rsid w:val="00D6124C"/>
    <w:rsid w:val="00D61513"/>
    <w:rsid w:val="00D6185C"/>
    <w:rsid w:val="00D6191B"/>
    <w:rsid w:val="00D61BFD"/>
    <w:rsid w:val="00D61C9E"/>
    <w:rsid w:val="00D61E98"/>
    <w:rsid w:val="00D6237E"/>
    <w:rsid w:val="00D62575"/>
    <w:rsid w:val="00D62643"/>
    <w:rsid w:val="00D626D5"/>
    <w:rsid w:val="00D62773"/>
    <w:rsid w:val="00D62B04"/>
    <w:rsid w:val="00D62B2D"/>
    <w:rsid w:val="00D62CB7"/>
    <w:rsid w:val="00D63443"/>
    <w:rsid w:val="00D635D4"/>
    <w:rsid w:val="00D637ED"/>
    <w:rsid w:val="00D6398C"/>
    <w:rsid w:val="00D63E38"/>
    <w:rsid w:val="00D63E84"/>
    <w:rsid w:val="00D64135"/>
    <w:rsid w:val="00D6469D"/>
    <w:rsid w:val="00D649A0"/>
    <w:rsid w:val="00D64AFB"/>
    <w:rsid w:val="00D64CBD"/>
    <w:rsid w:val="00D64DC1"/>
    <w:rsid w:val="00D64E45"/>
    <w:rsid w:val="00D65151"/>
    <w:rsid w:val="00D653C5"/>
    <w:rsid w:val="00D65533"/>
    <w:rsid w:val="00D65773"/>
    <w:rsid w:val="00D657A2"/>
    <w:rsid w:val="00D657CC"/>
    <w:rsid w:val="00D658D8"/>
    <w:rsid w:val="00D6590C"/>
    <w:rsid w:val="00D6596A"/>
    <w:rsid w:val="00D65C5D"/>
    <w:rsid w:val="00D65DD7"/>
    <w:rsid w:val="00D65DE9"/>
    <w:rsid w:val="00D65EE4"/>
    <w:rsid w:val="00D66040"/>
    <w:rsid w:val="00D6624A"/>
    <w:rsid w:val="00D66355"/>
    <w:rsid w:val="00D66495"/>
    <w:rsid w:val="00D665FF"/>
    <w:rsid w:val="00D666F9"/>
    <w:rsid w:val="00D66A40"/>
    <w:rsid w:val="00D66D49"/>
    <w:rsid w:val="00D66E13"/>
    <w:rsid w:val="00D6711D"/>
    <w:rsid w:val="00D672CF"/>
    <w:rsid w:val="00D6758C"/>
    <w:rsid w:val="00D675D1"/>
    <w:rsid w:val="00D675ED"/>
    <w:rsid w:val="00D67648"/>
    <w:rsid w:val="00D67A26"/>
    <w:rsid w:val="00D67A89"/>
    <w:rsid w:val="00D67D21"/>
    <w:rsid w:val="00D67D28"/>
    <w:rsid w:val="00D67FE7"/>
    <w:rsid w:val="00D70005"/>
    <w:rsid w:val="00D703E3"/>
    <w:rsid w:val="00D704BF"/>
    <w:rsid w:val="00D70FC5"/>
    <w:rsid w:val="00D7101C"/>
    <w:rsid w:val="00D71361"/>
    <w:rsid w:val="00D71379"/>
    <w:rsid w:val="00D71545"/>
    <w:rsid w:val="00D72726"/>
    <w:rsid w:val="00D72D17"/>
    <w:rsid w:val="00D735FE"/>
    <w:rsid w:val="00D73671"/>
    <w:rsid w:val="00D739D5"/>
    <w:rsid w:val="00D73FB1"/>
    <w:rsid w:val="00D7401A"/>
    <w:rsid w:val="00D744BD"/>
    <w:rsid w:val="00D74CC8"/>
    <w:rsid w:val="00D7521F"/>
    <w:rsid w:val="00D7543C"/>
    <w:rsid w:val="00D754FD"/>
    <w:rsid w:val="00D755D0"/>
    <w:rsid w:val="00D7568C"/>
    <w:rsid w:val="00D759E2"/>
    <w:rsid w:val="00D75BED"/>
    <w:rsid w:val="00D75E05"/>
    <w:rsid w:val="00D76197"/>
    <w:rsid w:val="00D7645B"/>
    <w:rsid w:val="00D76785"/>
    <w:rsid w:val="00D76911"/>
    <w:rsid w:val="00D76A0D"/>
    <w:rsid w:val="00D76A91"/>
    <w:rsid w:val="00D77031"/>
    <w:rsid w:val="00D77129"/>
    <w:rsid w:val="00D771ED"/>
    <w:rsid w:val="00D7726F"/>
    <w:rsid w:val="00D772D5"/>
    <w:rsid w:val="00D777DE"/>
    <w:rsid w:val="00D77965"/>
    <w:rsid w:val="00D77D97"/>
    <w:rsid w:val="00D80024"/>
    <w:rsid w:val="00D80171"/>
    <w:rsid w:val="00D80460"/>
    <w:rsid w:val="00D804A2"/>
    <w:rsid w:val="00D809E5"/>
    <w:rsid w:val="00D80A23"/>
    <w:rsid w:val="00D80ACE"/>
    <w:rsid w:val="00D80C78"/>
    <w:rsid w:val="00D80F13"/>
    <w:rsid w:val="00D8103F"/>
    <w:rsid w:val="00D8145C"/>
    <w:rsid w:val="00D814C5"/>
    <w:rsid w:val="00D81C86"/>
    <w:rsid w:val="00D81C9A"/>
    <w:rsid w:val="00D81EF8"/>
    <w:rsid w:val="00D82165"/>
    <w:rsid w:val="00D82396"/>
    <w:rsid w:val="00D8240F"/>
    <w:rsid w:val="00D824AE"/>
    <w:rsid w:val="00D82926"/>
    <w:rsid w:val="00D82939"/>
    <w:rsid w:val="00D82A87"/>
    <w:rsid w:val="00D82AE6"/>
    <w:rsid w:val="00D830BA"/>
    <w:rsid w:val="00D83386"/>
    <w:rsid w:val="00D83EAD"/>
    <w:rsid w:val="00D83EF6"/>
    <w:rsid w:val="00D8420D"/>
    <w:rsid w:val="00D843B2"/>
    <w:rsid w:val="00D84419"/>
    <w:rsid w:val="00D84590"/>
    <w:rsid w:val="00D846D4"/>
    <w:rsid w:val="00D8474D"/>
    <w:rsid w:val="00D8495B"/>
    <w:rsid w:val="00D84A0F"/>
    <w:rsid w:val="00D84C1D"/>
    <w:rsid w:val="00D850BE"/>
    <w:rsid w:val="00D851D2"/>
    <w:rsid w:val="00D852D5"/>
    <w:rsid w:val="00D85346"/>
    <w:rsid w:val="00D8551D"/>
    <w:rsid w:val="00D857FF"/>
    <w:rsid w:val="00D85A1C"/>
    <w:rsid w:val="00D85A20"/>
    <w:rsid w:val="00D85AC1"/>
    <w:rsid w:val="00D85AE7"/>
    <w:rsid w:val="00D85D30"/>
    <w:rsid w:val="00D8600A"/>
    <w:rsid w:val="00D86067"/>
    <w:rsid w:val="00D8633C"/>
    <w:rsid w:val="00D86412"/>
    <w:rsid w:val="00D86652"/>
    <w:rsid w:val="00D86831"/>
    <w:rsid w:val="00D86D6B"/>
    <w:rsid w:val="00D86D99"/>
    <w:rsid w:val="00D86EF7"/>
    <w:rsid w:val="00D86F60"/>
    <w:rsid w:val="00D87050"/>
    <w:rsid w:val="00D87333"/>
    <w:rsid w:val="00D873AB"/>
    <w:rsid w:val="00D873D6"/>
    <w:rsid w:val="00D87500"/>
    <w:rsid w:val="00D8761E"/>
    <w:rsid w:val="00D87836"/>
    <w:rsid w:val="00D87B15"/>
    <w:rsid w:val="00D87CF5"/>
    <w:rsid w:val="00D9030E"/>
    <w:rsid w:val="00D9078D"/>
    <w:rsid w:val="00D908C8"/>
    <w:rsid w:val="00D90931"/>
    <w:rsid w:val="00D90C58"/>
    <w:rsid w:val="00D90CCA"/>
    <w:rsid w:val="00D90D0C"/>
    <w:rsid w:val="00D912DA"/>
    <w:rsid w:val="00D9137F"/>
    <w:rsid w:val="00D91668"/>
    <w:rsid w:val="00D91904"/>
    <w:rsid w:val="00D91941"/>
    <w:rsid w:val="00D91E2B"/>
    <w:rsid w:val="00D92118"/>
    <w:rsid w:val="00D92198"/>
    <w:rsid w:val="00D921ED"/>
    <w:rsid w:val="00D92240"/>
    <w:rsid w:val="00D9233D"/>
    <w:rsid w:val="00D929E9"/>
    <w:rsid w:val="00D92D79"/>
    <w:rsid w:val="00D92DA6"/>
    <w:rsid w:val="00D92E42"/>
    <w:rsid w:val="00D93179"/>
    <w:rsid w:val="00D93414"/>
    <w:rsid w:val="00D934DF"/>
    <w:rsid w:val="00D93844"/>
    <w:rsid w:val="00D93B6B"/>
    <w:rsid w:val="00D93BFE"/>
    <w:rsid w:val="00D93E8D"/>
    <w:rsid w:val="00D93E96"/>
    <w:rsid w:val="00D940EB"/>
    <w:rsid w:val="00D94237"/>
    <w:rsid w:val="00D942C0"/>
    <w:rsid w:val="00D94698"/>
    <w:rsid w:val="00D94703"/>
    <w:rsid w:val="00D9491E"/>
    <w:rsid w:val="00D94A0D"/>
    <w:rsid w:val="00D94A89"/>
    <w:rsid w:val="00D94AC8"/>
    <w:rsid w:val="00D94BFC"/>
    <w:rsid w:val="00D94E03"/>
    <w:rsid w:val="00D94F33"/>
    <w:rsid w:val="00D95253"/>
    <w:rsid w:val="00D9535F"/>
    <w:rsid w:val="00D95496"/>
    <w:rsid w:val="00D9557A"/>
    <w:rsid w:val="00D95B08"/>
    <w:rsid w:val="00D95B75"/>
    <w:rsid w:val="00D95C3A"/>
    <w:rsid w:val="00D960A6"/>
    <w:rsid w:val="00D9642C"/>
    <w:rsid w:val="00D96993"/>
    <w:rsid w:val="00D96B58"/>
    <w:rsid w:val="00D96D2E"/>
    <w:rsid w:val="00D96D9E"/>
    <w:rsid w:val="00D96F28"/>
    <w:rsid w:val="00D9705E"/>
    <w:rsid w:val="00D9717E"/>
    <w:rsid w:val="00D97349"/>
    <w:rsid w:val="00D97393"/>
    <w:rsid w:val="00D97646"/>
    <w:rsid w:val="00D977EB"/>
    <w:rsid w:val="00D97970"/>
    <w:rsid w:val="00D97A72"/>
    <w:rsid w:val="00D97D3E"/>
    <w:rsid w:val="00D97DFA"/>
    <w:rsid w:val="00D97EFC"/>
    <w:rsid w:val="00DA00F7"/>
    <w:rsid w:val="00DA04D0"/>
    <w:rsid w:val="00DA04DA"/>
    <w:rsid w:val="00DA0E46"/>
    <w:rsid w:val="00DA1010"/>
    <w:rsid w:val="00DA1015"/>
    <w:rsid w:val="00DA15A2"/>
    <w:rsid w:val="00DA1808"/>
    <w:rsid w:val="00DA1DF7"/>
    <w:rsid w:val="00DA1F5D"/>
    <w:rsid w:val="00DA1F60"/>
    <w:rsid w:val="00DA1FF3"/>
    <w:rsid w:val="00DA201D"/>
    <w:rsid w:val="00DA2088"/>
    <w:rsid w:val="00DA2901"/>
    <w:rsid w:val="00DA31E8"/>
    <w:rsid w:val="00DA3294"/>
    <w:rsid w:val="00DA377D"/>
    <w:rsid w:val="00DA3DC2"/>
    <w:rsid w:val="00DA3E16"/>
    <w:rsid w:val="00DA3E59"/>
    <w:rsid w:val="00DA4367"/>
    <w:rsid w:val="00DA461B"/>
    <w:rsid w:val="00DA4A35"/>
    <w:rsid w:val="00DA4AEC"/>
    <w:rsid w:val="00DA4B31"/>
    <w:rsid w:val="00DA4BB0"/>
    <w:rsid w:val="00DA4F9C"/>
    <w:rsid w:val="00DA4FA3"/>
    <w:rsid w:val="00DA50D8"/>
    <w:rsid w:val="00DA5152"/>
    <w:rsid w:val="00DA515D"/>
    <w:rsid w:val="00DA5196"/>
    <w:rsid w:val="00DA52EF"/>
    <w:rsid w:val="00DA53AF"/>
    <w:rsid w:val="00DA5475"/>
    <w:rsid w:val="00DA573B"/>
    <w:rsid w:val="00DA59BF"/>
    <w:rsid w:val="00DA5BD7"/>
    <w:rsid w:val="00DA5C3F"/>
    <w:rsid w:val="00DA5E17"/>
    <w:rsid w:val="00DA5EAF"/>
    <w:rsid w:val="00DA5F54"/>
    <w:rsid w:val="00DA6057"/>
    <w:rsid w:val="00DA6087"/>
    <w:rsid w:val="00DA629F"/>
    <w:rsid w:val="00DA67E6"/>
    <w:rsid w:val="00DA6C18"/>
    <w:rsid w:val="00DA6C28"/>
    <w:rsid w:val="00DA6E72"/>
    <w:rsid w:val="00DA6E8B"/>
    <w:rsid w:val="00DA6E8D"/>
    <w:rsid w:val="00DA713C"/>
    <w:rsid w:val="00DA716F"/>
    <w:rsid w:val="00DA74A2"/>
    <w:rsid w:val="00DA74BC"/>
    <w:rsid w:val="00DA78C4"/>
    <w:rsid w:val="00DA7AFB"/>
    <w:rsid w:val="00DB01EA"/>
    <w:rsid w:val="00DB039A"/>
    <w:rsid w:val="00DB0601"/>
    <w:rsid w:val="00DB0B57"/>
    <w:rsid w:val="00DB0D7D"/>
    <w:rsid w:val="00DB0E6A"/>
    <w:rsid w:val="00DB1316"/>
    <w:rsid w:val="00DB141F"/>
    <w:rsid w:val="00DB1589"/>
    <w:rsid w:val="00DB1592"/>
    <w:rsid w:val="00DB171E"/>
    <w:rsid w:val="00DB1770"/>
    <w:rsid w:val="00DB17DD"/>
    <w:rsid w:val="00DB1A0E"/>
    <w:rsid w:val="00DB1A76"/>
    <w:rsid w:val="00DB1E14"/>
    <w:rsid w:val="00DB2126"/>
    <w:rsid w:val="00DB2136"/>
    <w:rsid w:val="00DB2256"/>
    <w:rsid w:val="00DB24F6"/>
    <w:rsid w:val="00DB2972"/>
    <w:rsid w:val="00DB310E"/>
    <w:rsid w:val="00DB3255"/>
    <w:rsid w:val="00DB3349"/>
    <w:rsid w:val="00DB34EA"/>
    <w:rsid w:val="00DB3922"/>
    <w:rsid w:val="00DB39AB"/>
    <w:rsid w:val="00DB3FB9"/>
    <w:rsid w:val="00DB41CE"/>
    <w:rsid w:val="00DB45D5"/>
    <w:rsid w:val="00DB468E"/>
    <w:rsid w:val="00DB48AA"/>
    <w:rsid w:val="00DB48D3"/>
    <w:rsid w:val="00DB4931"/>
    <w:rsid w:val="00DB49D3"/>
    <w:rsid w:val="00DB4AC7"/>
    <w:rsid w:val="00DB4B36"/>
    <w:rsid w:val="00DB4F25"/>
    <w:rsid w:val="00DB5336"/>
    <w:rsid w:val="00DB5456"/>
    <w:rsid w:val="00DB55A2"/>
    <w:rsid w:val="00DB56EC"/>
    <w:rsid w:val="00DB5966"/>
    <w:rsid w:val="00DB5978"/>
    <w:rsid w:val="00DB5CA6"/>
    <w:rsid w:val="00DB5CEA"/>
    <w:rsid w:val="00DB6435"/>
    <w:rsid w:val="00DB64B8"/>
    <w:rsid w:val="00DB6652"/>
    <w:rsid w:val="00DB685E"/>
    <w:rsid w:val="00DB6899"/>
    <w:rsid w:val="00DB69D1"/>
    <w:rsid w:val="00DB6A3B"/>
    <w:rsid w:val="00DB6A7A"/>
    <w:rsid w:val="00DB6B64"/>
    <w:rsid w:val="00DB6C87"/>
    <w:rsid w:val="00DB6FB6"/>
    <w:rsid w:val="00DB7301"/>
    <w:rsid w:val="00DB7313"/>
    <w:rsid w:val="00DB73E8"/>
    <w:rsid w:val="00DB7BCF"/>
    <w:rsid w:val="00DC016B"/>
    <w:rsid w:val="00DC0263"/>
    <w:rsid w:val="00DC082D"/>
    <w:rsid w:val="00DC0B48"/>
    <w:rsid w:val="00DC0C6D"/>
    <w:rsid w:val="00DC0DCE"/>
    <w:rsid w:val="00DC10D3"/>
    <w:rsid w:val="00DC10F4"/>
    <w:rsid w:val="00DC132F"/>
    <w:rsid w:val="00DC146F"/>
    <w:rsid w:val="00DC1622"/>
    <w:rsid w:val="00DC17C6"/>
    <w:rsid w:val="00DC17E2"/>
    <w:rsid w:val="00DC17E9"/>
    <w:rsid w:val="00DC18C8"/>
    <w:rsid w:val="00DC1A5B"/>
    <w:rsid w:val="00DC23C8"/>
    <w:rsid w:val="00DC2592"/>
    <w:rsid w:val="00DC28F8"/>
    <w:rsid w:val="00DC2C4F"/>
    <w:rsid w:val="00DC2C7E"/>
    <w:rsid w:val="00DC372F"/>
    <w:rsid w:val="00DC3881"/>
    <w:rsid w:val="00DC38C0"/>
    <w:rsid w:val="00DC3DB6"/>
    <w:rsid w:val="00DC3E05"/>
    <w:rsid w:val="00DC3E6D"/>
    <w:rsid w:val="00DC4105"/>
    <w:rsid w:val="00DC42C8"/>
    <w:rsid w:val="00DC4376"/>
    <w:rsid w:val="00DC4572"/>
    <w:rsid w:val="00DC45D2"/>
    <w:rsid w:val="00DC47C6"/>
    <w:rsid w:val="00DC4984"/>
    <w:rsid w:val="00DC4C38"/>
    <w:rsid w:val="00DC4D7B"/>
    <w:rsid w:val="00DC4E61"/>
    <w:rsid w:val="00DC50B5"/>
    <w:rsid w:val="00DC523A"/>
    <w:rsid w:val="00DC52F1"/>
    <w:rsid w:val="00DC552A"/>
    <w:rsid w:val="00DC5737"/>
    <w:rsid w:val="00DC5949"/>
    <w:rsid w:val="00DC59D1"/>
    <w:rsid w:val="00DC5B85"/>
    <w:rsid w:val="00DC5ECE"/>
    <w:rsid w:val="00DC5F48"/>
    <w:rsid w:val="00DC5F74"/>
    <w:rsid w:val="00DC5F9F"/>
    <w:rsid w:val="00DC6043"/>
    <w:rsid w:val="00DC6181"/>
    <w:rsid w:val="00DC621F"/>
    <w:rsid w:val="00DC639E"/>
    <w:rsid w:val="00DC667B"/>
    <w:rsid w:val="00DC66C3"/>
    <w:rsid w:val="00DC6847"/>
    <w:rsid w:val="00DC69A1"/>
    <w:rsid w:val="00DC6E3A"/>
    <w:rsid w:val="00DC6F95"/>
    <w:rsid w:val="00DC706B"/>
    <w:rsid w:val="00DC7082"/>
    <w:rsid w:val="00DC7249"/>
    <w:rsid w:val="00DC738C"/>
    <w:rsid w:val="00DC799D"/>
    <w:rsid w:val="00DC7F4B"/>
    <w:rsid w:val="00DC7F79"/>
    <w:rsid w:val="00DD008F"/>
    <w:rsid w:val="00DD018D"/>
    <w:rsid w:val="00DD062A"/>
    <w:rsid w:val="00DD06B2"/>
    <w:rsid w:val="00DD09A4"/>
    <w:rsid w:val="00DD09EF"/>
    <w:rsid w:val="00DD0AAE"/>
    <w:rsid w:val="00DD0B4A"/>
    <w:rsid w:val="00DD0DE4"/>
    <w:rsid w:val="00DD0F23"/>
    <w:rsid w:val="00DD0FAA"/>
    <w:rsid w:val="00DD1055"/>
    <w:rsid w:val="00DD10A1"/>
    <w:rsid w:val="00DD1143"/>
    <w:rsid w:val="00DD171B"/>
    <w:rsid w:val="00DD1812"/>
    <w:rsid w:val="00DD1AE1"/>
    <w:rsid w:val="00DD1DC6"/>
    <w:rsid w:val="00DD1E3B"/>
    <w:rsid w:val="00DD1ECE"/>
    <w:rsid w:val="00DD1EDF"/>
    <w:rsid w:val="00DD21BC"/>
    <w:rsid w:val="00DD22DE"/>
    <w:rsid w:val="00DD2303"/>
    <w:rsid w:val="00DD2375"/>
    <w:rsid w:val="00DD26F1"/>
    <w:rsid w:val="00DD2776"/>
    <w:rsid w:val="00DD27A7"/>
    <w:rsid w:val="00DD27FC"/>
    <w:rsid w:val="00DD2A4A"/>
    <w:rsid w:val="00DD2A94"/>
    <w:rsid w:val="00DD2AF6"/>
    <w:rsid w:val="00DD2B48"/>
    <w:rsid w:val="00DD2E0B"/>
    <w:rsid w:val="00DD2E15"/>
    <w:rsid w:val="00DD313B"/>
    <w:rsid w:val="00DD3697"/>
    <w:rsid w:val="00DD378B"/>
    <w:rsid w:val="00DD3802"/>
    <w:rsid w:val="00DD400D"/>
    <w:rsid w:val="00DD48D1"/>
    <w:rsid w:val="00DD4A1F"/>
    <w:rsid w:val="00DD4A94"/>
    <w:rsid w:val="00DD4CF4"/>
    <w:rsid w:val="00DD4E88"/>
    <w:rsid w:val="00DD4F8E"/>
    <w:rsid w:val="00DD5086"/>
    <w:rsid w:val="00DD50E0"/>
    <w:rsid w:val="00DD54BE"/>
    <w:rsid w:val="00DD5566"/>
    <w:rsid w:val="00DD5AEE"/>
    <w:rsid w:val="00DD5E81"/>
    <w:rsid w:val="00DD6049"/>
    <w:rsid w:val="00DD621D"/>
    <w:rsid w:val="00DD63AC"/>
    <w:rsid w:val="00DD6608"/>
    <w:rsid w:val="00DD6A28"/>
    <w:rsid w:val="00DD6D10"/>
    <w:rsid w:val="00DD6D4C"/>
    <w:rsid w:val="00DD715E"/>
    <w:rsid w:val="00DD7330"/>
    <w:rsid w:val="00DD74AB"/>
    <w:rsid w:val="00DD7682"/>
    <w:rsid w:val="00DD77CA"/>
    <w:rsid w:val="00DD7F08"/>
    <w:rsid w:val="00DD7F46"/>
    <w:rsid w:val="00DD7FF5"/>
    <w:rsid w:val="00DE0021"/>
    <w:rsid w:val="00DE0165"/>
    <w:rsid w:val="00DE028D"/>
    <w:rsid w:val="00DE0487"/>
    <w:rsid w:val="00DE0832"/>
    <w:rsid w:val="00DE0921"/>
    <w:rsid w:val="00DE09C6"/>
    <w:rsid w:val="00DE0A32"/>
    <w:rsid w:val="00DE0B55"/>
    <w:rsid w:val="00DE0BA8"/>
    <w:rsid w:val="00DE0F08"/>
    <w:rsid w:val="00DE0F6B"/>
    <w:rsid w:val="00DE1223"/>
    <w:rsid w:val="00DE138B"/>
    <w:rsid w:val="00DE1404"/>
    <w:rsid w:val="00DE14F7"/>
    <w:rsid w:val="00DE1E51"/>
    <w:rsid w:val="00DE202A"/>
    <w:rsid w:val="00DE20E4"/>
    <w:rsid w:val="00DE20F5"/>
    <w:rsid w:val="00DE22D4"/>
    <w:rsid w:val="00DE25B8"/>
    <w:rsid w:val="00DE2710"/>
    <w:rsid w:val="00DE2780"/>
    <w:rsid w:val="00DE2804"/>
    <w:rsid w:val="00DE332D"/>
    <w:rsid w:val="00DE346B"/>
    <w:rsid w:val="00DE3494"/>
    <w:rsid w:val="00DE3A14"/>
    <w:rsid w:val="00DE3A90"/>
    <w:rsid w:val="00DE3BA0"/>
    <w:rsid w:val="00DE3C67"/>
    <w:rsid w:val="00DE3CE1"/>
    <w:rsid w:val="00DE406E"/>
    <w:rsid w:val="00DE40CC"/>
    <w:rsid w:val="00DE40DF"/>
    <w:rsid w:val="00DE4259"/>
    <w:rsid w:val="00DE4306"/>
    <w:rsid w:val="00DE430E"/>
    <w:rsid w:val="00DE465B"/>
    <w:rsid w:val="00DE4739"/>
    <w:rsid w:val="00DE49E1"/>
    <w:rsid w:val="00DE4C69"/>
    <w:rsid w:val="00DE4FCD"/>
    <w:rsid w:val="00DE5E15"/>
    <w:rsid w:val="00DE612C"/>
    <w:rsid w:val="00DE6151"/>
    <w:rsid w:val="00DE69CE"/>
    <w:rsid w:val="00DE6DAA"/>
    <w:rsid w:val="00DE6F2B"/>
    <w:rsid w:val="00DE6F35"/>
    <w:rsid w:val="00DE6FF7"/>
    <w:rsid w:val="00DE70E9"/>
    <w:rsid w:val="00DE7226"/>
    <w:rsid w:val="00DE756D"/>
    <w:rsid w:val="00DE7700"/>
    <w:rsid w:val="00DE77D8"/>
    <w:rsid w:val="00DE78B5"/>
    <w:rsid w:val="00DE78E3"/>
    <w:rsid w:val="00DE7992"/>
    <w:rsid w:val="00DE7E88"/>
    <w:rsid w:val="00DE7EFE"/>
    <w:rsid w:val="00DF0056"/>
    <w:rsid w:val="00DF00AF"/>
    <w:rsid w:val="00DF02F7"/>
    <w:rsid w:val="00DF05E7"/>
    <w:rsid w:val="00DF0723"/>
    <w:rsid w:val="00DF07A8"/>
    <w:rsid w:val="00DF0802"/>
    <w:rsid w:val="00DF080B"/>
    <w:rsid w:val="00DF12D2"/>
    <w:rsid w:val="00DF1361"/>
    <w:rsid w:val="00DF138E"/>
    <w:rsid w:val="00DF1528"/>
    <w:rsid w:val="00DF15A4"/>
    <w:rsid w:val="00DF1673"/>
    <w:rsid w:val="00DF1719"/>
    <w:rsid w:val="00DF1A0D"/>
    <w:rsid w:val="00DF1B6A"/>
    <w:rsid w:val="00DF1E5D"/>
    <w:rsid w:val="00DF1FDB"/>
    <w:rsid w:val="00DF2070"/>
    <w:rsid w:val="00DF22A3"/>
    <w:rsid w:val="00DF2435"/>
    <w:rsid w:val="00DF250A"/>
    <w:rsid w:val="00DF25A4"/>
    <w:rsid w:val="00DF25FC"/>
    <w:rsid w:val="00DF28C0"/>
    <w:rsid w:val="00DF2D59"/>
    <w:rsid w:val="00DF3016"/>
    <w:rsid w:val="00DF301A"/>
    <w:rsid w:val="00DF31F5"/>
    <w:rsid w:val="00DF34BA"/>
    <w:rsid w:val="00DF351E"/>
    <w:rsid w:val="00DF38B4"/>
    <w:rsid w:val="00DF3C85"/>
    <w:rsid w:val="00DF4191"/>
    <w:rsid w:val="00DF4205"/>
    <w:rsid w:val="00DF42D5"/>
    <w:rsid w:val="00DF46F2"/>
    <w:rsid w:val="00DF4A22"/>
    <w:rsid w:val="00DF4D65"/>
    <w:rsid w:val="00DF4E1B"/>
    <w:rsid w:val="00DF506E"/>
    <w:rsid w:val="00DF5335"/>
    <w:rsid w:val="00DF5440"/>
    <w:rsid w:val="00DF54ED"/>
    <w:rsid w:val="00DF58C3"/>
    <w:rsid w:val="00DF5931"/>
    <w:rsid w:val="00DF59B2"/>
    <w:rsid w:val="00DF59FA"/>
    <w:rsid w:val="00DF5DC5"/>
    <w:rsid w:val="00DF5E1A"/>
    <w:rsid w:val="00DF5E66"/>
    <w:rsid w:val="00DF63B0"/>
    <w:rsid w:val="00DF6444"/>
    <w:rsid w:val="00DF67E4"/>
    <w:rsid w:val="00DF6A6F"/>
    <w:rsid w:val="00DF6AFD"/>
    <w:rsid w:val="00DF70AF"/>
    <w:rsid w:val="00DF70C1"/>
    <w:rsid w:val="00DF7523"/>
    <w:rsid w:val="00DF7844"/>
    <w:rsid w:val="00DF7897"/>
    <w:rsid w:val="00DF7D14"/>
    <w:rsid w:val="00DF7D57"/>
    <w:rsid w:val="00DF7DF0"/>
    <w:rsid w:val="00DF7E7F"/>
    <w:rsid w:val="00E0024F"/>
    <w:rsid w:val="00E01050"/>
    <w:rsid w:val="00E011A6"/>
    <w:rsid w:val="00E01423"/>
    <w:rsid w:val="00E01648"/>
    <w:rsid w:val="00E019FF"/>
    <w:rsid w:val="00E02109"/>
    <w:rsid w:val="00E0218D"/>
    <w:rsid w:val="00E021E7"/>
    <w:rsid w:val="00E027D3"/>
    <w:rsid w:val="00E02D24"/>
    <w:rsid w:val="00E02DC2"/>
    <w:rsid w:val="00E02E5B"/>
    <w:rsid w:val="00E03160"/>
    <w:rsid w:val="00E03489"/>
    <w:rsid w:val="00E035F7"/>
    <w:rsid w:val="00E03A7D"/>
    <w:rsid w:val="00E03FAA"/>
    <w:rsid w:val="00E04176"/>
    <w:rsid w:val="00E04288"/>
    <w:rsid w:val="00E0453A"/>
    <w:rsid w:val="00E0478A"/>
    <w:rsid w:val="00E0491E"/>
    <w:rsid w:val="00E04CD8"/>
    <w:rsid w:val="00E04E12"/>
    <w:rsid w:val="00E0578E"/>
    <w:rsid w:val="00E05F81"/>
    <w:rsid w:val="00E05FFD"/>
    <w:rsid w:val="00E060DA"/>
    <w:rsid w:val="00E0631D"/>
    <w:rsid w:val="00E06518"/>
    <w:rsid w:val="00E067E2"/>
    <w:rsid w:val="00E068D3"/>
    <w:rsid w:val="00E06A95"/>
    <w:rsid w:val="00E06AFF"/>
    <w:rsid w:val="00E06F72"/>
    <w:rsid w:val="00E0708F"/>
    <w:rsid w:val="00E071A3"/>
    <w:rsid w:val="00E0750D"/>
    <w:rsid w:val="00E078C1"/>
    <w:rsid w:val="00E078DF"/>
    <w:rsid w:val="00E07B3B"/>
    <w:rsid w:val="00E10535"/>
    <w:rsid w:val="00E1060D"/>
    <w:rsid w:val="00E1073B"/>
    <w:rsid w:val="00E10764"/>
    <w:rsid w:val="00E10788"/>
    <w:rsid w:val="00E1086A"/>
    <w:rsid w:val="00E10ECC"/>
    <w:rsid w:val="00E10EF5"/>
    <w:rsid w:val="00E10F96"/>
    <w:rsid w:val="00E11051"/>
    <w:rsid w:val="00E11177"/>
    <w:rsid w:val="00E11658"/>
    <w:rsid w:val="00E1172B"/>
    <w:rsid w:val="00E117AC"/>
    <w:rsid w:val="00E11802"/>
    <w:rsid w:val="00E11B20"/>
    <w:rsid w:val="00E1203B"/>
    <w:rsid w:val="00E1207F"/>
    <w:rsid w:val="00E12395"/>
    <w:rsid w:val="00E124EB"/>
    <w:rsid w:val="00E12C0C"/>
    <w:rsid w:val="00E12D3B"/>
    <w:rsid w:val="00E13050"/>
    <w:rsid w:val="00E1375F"/>
    <w:rsid w:val="00E1391C"/>
    <w:rsid w:val="00E139DC"/>
    <w:rsid w:val="00E13B15"/>
    <w:rsid w:val="00E13B42"/>
    <w:rsid w:val="00E13ECC"/>
    <w:rsid w:val="00E14155"/>
    <w:rsid w:val="00E142EB"/>
    <w:rsid w:val="00E149F8"/>
    <w:rsid w:val="00E14C51"/>
    <w:rsid w:val="00E1518C"/>
    <w:rsid w:val="00E15431"/>
    <w:rsid w:val="00E15609"/>
    <w:rsid w:val="00E15702"/>
    <w:rsid w:val="00E15B62"/>
    <w:rsid w:val="00E15B9F"/>
    <w:rsid w:val="00E15C1E"/>
    <w:rsid w:val="00E15FC7"/>
    <w:rsid w:val="00E16179"/>
    <w:rsid w:val="00E16254"/>
    <w:rsid w:val="00E162EB"/>
    <w:rsid w:val="00E1638D"/>
    <w:rsid w:val="00E1651D"/>
    <w:rsid w:val="00E16767"/>
    <w:rsid w:val="00E16800"/>
    <w:rsid w:val="00E168D8"/>
    <w:rsid w:val="00E16A54"/>
    <w:rsid w:val="00E16B36"/>
    <w:rsid w:val="00E17025"/>
    <w:rsid w:val="00E170DE"/>
    <w:rsid w:val="00E172A3"/>
    <w:rsid w:val="00E17625"/>
    <w:rsid w:val="00E1777C"/>
    <w:rsid w:val="00E179D5"/>
    <w:rsid w:val="00E17AAE"/>
    <w:rsid w:val="00E17B6B"/>
    <w:rsid w:val="00E17B95"/>
    <w:rsid w:val="00E17FD3"/>
    <w:rsid w:val="00E2048B"/>
    <w:rsid w:val="00E204E7"/>
    <w:rsid w:val="00E207D2"/>
    <w:rsid w:val="00E20C10"/>
    <w:rsid w:val="00E20DB8"/>
    <w:rsid w:val="00E20DCF"/>
    <w:rsid w:val="00E21138"/>
    <w:rsid w:val="00E2155F"/>
    <w:rsid w:val="00E21689"/>
    <w:rsid w:val="00E21697"/>
    <w:rsid w:val="00E216AB"/>
    <w:rsid w:val="00E218D5"/>
    <w:rsid w:val="00E219A1"/>
    <w:rsid w:val="00E21B69"/>
    <w:rsid w:val="00E21C0F"/>
    <w:rsid w:val="00E21D30"/>
    <w:rsid w:val="00E22127"/>
    <w:rsid w:val="00E22261"/>
    <w:rsid w:val="00E22274"/>
    <w:rsid w:val="00E222D3"/>
    <w:rsid w:val="00E22342"/>
    <w:rsid w:val="00E224E2"/>
    <w:rsid w:val="00E2264C"/>
    <w:rsid w:val="00E22812"/>
    <w:rsid w:val="00E22855"/>
    <w:rsid w:val="00E23220"/>
    <w:rsid w:val="00E232A1"/>
    <w:rsid w:val="00E2388E"/>
    <w:rsid w:val="00E23B5F"/>
    <w:rsid w:val="00E23D0B"/>
    <w:rsid w:val="00E241CE"/>
    <w:rsid w:val="00E246A5"/>
    <w:rsid w:val="00E246DF"/>
    <w:rsid w:val="00E24748"/>
    <w:rsid w:val="00E2496F"/>
    <w:rsid w:val="00E249BC"/>
    <w:rsid w:val="00E24EAE"/>
    <w:rsid w:val="00E24F84"/>
    <w:rsid w:val="00E25948"/>
    <w:rsid w:val="00E2595C"/>
    <w:rsid w:val="00E25B33"/>
    <w:rsid w:val="00E25CCF"/>
    <w:rsid w:val="00E25D9F"/>
    <w:rsid w:val="00E2607E"/>
    <w:rsid w:val="00E262EE"/>
    <w:rsid w:val="00E265FF"/>
    <w:rsid w:val="00E266CA"/>
    <w:rsid w:val="00E26AD7"/>
    <w:rsid w:val="00E26B78"/>
    <w:rsid w:val="00E26B97"/>
    <w:rsid w:val="00E26D32"/>
    <w:rsid w:val="00E2732B"/>
    <w:rsid w:val="00E2747D"/>
    <w:rsid w:val="00E276E0"/>
    <w:rsid w:val="00E277A3"/>
    <w:rsid w:val="00E27950"/>
    <w:rsid w:val="00E27D6F"/>
    <w:rsid w:val="00E27EC8"/>
    <w:rsid w:val="00E30062"/>
    <w:rsid w:val="00E302CC"/>
    <w:rsid w:val="00E30430"/>
    <w:rsid w:val="00E30823"/>
    <w:rsid w:val="00E309BE"/>
    <w:rsid w:val="00E309F8"/>
    <w:rsid w:val="00E30A4F"/>
    <w:rsid w:val="00E30B3A"/>
    <w:rsid w:val="00E30CCC"/>
    <w:rsid w:val="00E30CD0"/>
    <w:rsid w:val="00E30E9F"/>
    <w:rsid w:val="00E30FFC"/>
    <w:rsid w:val="00E31371"/>
    <w:rsid w:val="00E31573"/>
    <w:rsid w:val="00E31584"/>
    <w:rsid w:val="00E316D3"/>
    <w:rsid w:val="00E31779"/>
    <w:rsid w:val="00E31815"/>
    <w:rsid w:val="00E31838"/>
    <w:rsid w:val="00E31CB0"/>
    <w:rsid w:val="00E32044"/>
    <w:rsid w:val="00E32107"/>
    <w:rsid w:val="00E32311"/>
    <w:rsid w:val="00E324A9"/>
    <w:rsid w:val="00E32AFC"/>
    <w:rsid w:val="00E32B38"/>
    <w:rsid w:val="00E32CBF"/>
    <w:rsid w:val="00E32D0D"/>
    <w:rsid w:val="00E32D3A"/>
    <w:rsid w:val="00E32D4F"/>
    <w:rsid w:val="00E32EBC"/>
    <w:rsid w:val="00E331AC"/>
    <w:rsid w:val="00E334CB"/>
    <w:rsid w:val="00E335E5"/>
    <w:rsid w:val="00E33966"/>
    <w:rsid w:val="00E33B1E"/>
    <w:rsid w:val="00E33D81"/>
    <w:rsid w:val="00E33EE8"/>
    <w:rsid w:val="00E34230"/>
    <w:rsid w:val="00E342B1"/>
    <w:rsid w:val="00E34410"/>
    <w:rsid w:val="00E34CD3"/>
    <w:rsid w:val="00E35100"/>
    <w:rsid w:val="00E35293"/>
    <w:rsid w:val="00E35893"/>
    <w:rsid w:val="00E358E0"/>
    <w:rsid w:val="00E35A28"/>
    <w:rsid w:val="00E35AF2"/>
    <w:rsid w:val="00E3628A"/>
    <w:rsid w:val="00E3673D"/>
    <w:rsid w:val="00E368F6"/>
    <w:rsid w:val="00E36AD0"/>
    <w:rsid w:val="00E36F5A"/>
    <w:rsid w:val="00E37299"/>
    <w:rsid w:val="00E37419"/>
    <w:rsid w:val="00E3754F"/>
    <w:rsid w:val="00E375DE"/>
    <w:rsid w:val="00E375E9"/>
    <w:rsid w:val="00E378B1"/>
    <w:rsid w:val="00E37907"/>
    <w:rsid w:val="00E37919"/>
    <w:rsid w:val="00E37985"/>
    <w:rsid w:val="00E37BEB"/>
    <w:rsid w:val="00E37F71"/>
    <w:rsid w:val="00E4017E"/>
    <w:rsid w:val="00E4028D"/>
    <w:rsid w:val="00E40919"/>
    <w:rsid w:val="00E40944"/>
    <w:rsid w:val="00E41182"/>
    <w:rsid w:val="00E41207"/>
    <w:rsid w:val="00E41273"/>
    <w:rsid w:val="00E4127F"/>
    <w:rsid w:val="00E412A8"/>
    <w:rsid w:val="00E4144C"/>
    <w:rsid w:val="00E41570"/>
    <w:rsid w:val="00E41A59"/>
    <w:rsid w:val="00E41CCA"/>
    <w:rsid w:val="00E41F91"/>
    <w:rsid w:val="00E42039"/>
    <w:rsid w:val="00E42371"/>
    <w:rsid w:val="00E425D0"/>
    <w:rsid w:val="00E42995"/>
    <w:rsid w:val="00E42A94"/>
    <w:rsid w:val="00E42C38"/>
    <w:rsid w:val="00E42CFB"/>
    <w:rsid w:val="00E42F77"/>
    <w:rsid w:val="00E43241"/>
    <w:rsid w:val="00E4334A"/>
    <w:rsid w:val="00E4337A"/>
    <w:rsid w:val="00E43595"/>
    <w:rsid w:val="00E43B4F"/>
    <w:rsid w:val="00E43BA9"/>
    <w:rsid w:val="00E43C52"/>
    <w:rsid w:val="00E43DA4"/>
    <w:rsid w:val="00E43F8F"/>
    <w:rsid w:val="00E43FE3"/>
    <w:rsid w:val="00E44084"/>
    <w:rsid w:val="00E4428E"/>
    <w:rsid w:val="00E44577"/>
    <w:rsid w:val="00E445EE"/>
    <w:rsid w:val="00E446AA"/>
    <w:rsid w:val="00E44E4C"/>
    <w:rsid w:val="00E451C9"/>
    <w:rsid w:val="00E453E1"/>
    <w:rsid w:val="00E4548C"/>
    <w:rsid w:val="00E45679"/>
    <w:rsid w:val="00E45709"/>
    <w:rsid w:val="00E45A3B"/>
    <w:rsid w:val="00E45A4E"/>
    <w:rsid w:val="00E45C78"/>
    <w:rsid w:val="00E45DB8"/>
    <w:rsid w:val="00E46267"/>
    <w:rsid w:val="00E46845"/>
    <w:rsid w:val="00E46875"/>
    <w:rsid w:val="00E4687A"/>
    <w:rsid w:val="00E46A50"/>
    <w:rsid w:val="00E46D4F"/>
    <w:rsid w:val="00E47033"/>
    <w:rsid w:val="00E476EA"/>
    <w:rsid w:val="00E47747"/>
    <w:rsid w:val="00E479CE"/>
    <w:rsid w:val="00E47C32"/>
    <w:rsid w:val="00E47EFD"/>
    <w:rsid w:val="00E500A1"/>
    <w:rsid w:val="00E50288"/>
    <w:rsid w:val="00E50428"/>
    <w:rsid w:val="00E50579"/>
    <w:rsid w:val="00E507DB"/>
    <w:rsid w:val="00E50CE2"/>
    <w:rsid w:val="00E50E30"/>
    <w:rsid w:val="00E50E49"/>
    <w:rsid w:val="00E50EB8"/>
    <w:rsid w:val="00E5168E"/>
    <w:rsid w:val="00E51801"/>
    <w:rsid w:val="00E518DC"/>
    <w:rsid w:val="00E519A7"/>
    <w:rsid w:val="00E51CA2"/>
    <w:rsid w:val="00E51CC2"/>
    <w:rsid w:val="00E52092"/>
    <w:rsid w:val="00E524F8"/>
    <w:rsid w:val="00E52637"/>
    <w:rsid w:val="00E527EC"/>
    <w:rsid w:val="00E52825"/>
    <w:rsid w:val="00E52862"/>
    <w:rsid w:val="00E52B8D"/>
    <w:rsid w:val="00E52C55"/>
    <w:rsid w:val="00E5333F"/>
    <w:rsid w:val="00E53639"/>
    <w:rsid w:val="00E53764"/>
    <w:rsid w:val="00E537CF"/>
    <w:rsid w:val="00E5385C"/>
    <w:rsid w:val="00E539A8"/>
    <w:rsid w:val="00E53B23"/>
    <w:rsid w:val="00E53B39"/>
    <w:rsid w:val="00E53D72"/>
    <w:rsid w:val="00E541A1"/>
    <w:rsid w:val="00E541DA"/>
    <w:rsid w:val="00E5425F"/>
    <w:rsid w:val="00E5435C"/>
    <w:rsid w:val="00E547D7"/>
    <w:rsid w:val="00E5492B"/>
    <w:rsid w:val="00E54B66"/>
    <w:rsid w:val="00E54C3D"/>
    <w:rsid w:val="00E54EEB"/>
    <w:rsid w:val="00E54F8B"/>
    <w:rsid w:val="00E54F91"/>
    <w:rsid w:val="00E550C5"/>
    <w:rsid w:val="00E551C6"/>
    <w:rsid w:val="00E55203"/>
    <w:rsid w:val="00E5560F"/>
    <w:rsid w:val="00E55662"/>
    <w:rsid w:val="00E556CF"/>
    <w:rsid w:val="00E55744"/>
    <w:rsid w:val="00E5596A"/>
    <w:rsid w:val="00E559CD"/>
    <w:rsid w:val="00E55AAD"/>
    <w:rsid w:val="00E55BB0"/>
    <w:rsid w:val="00E55CF9"/>
    <w:rsid w:val="00E55E4B"/>
    <w:rsid w:val="00E55F04"/>
    <w:rsid w:val="00E55F25"/>
    <w:rsid w:val="00E55F6F"/>
    <w:rsid w:val="00E560E7"/>
    <w:rsid w:val="00E56208"/>
    <w:rsid w:val="00E5621A"/>
    <w:rsid w:val="00E563C7"/>
    <w:rsid w:val="00E564B8"/>
    <w:rsid w:val="00E56798"/>
    <w:rsid w:val="00E56837"/>
    <w:rsid w:val="00E568BA"/>
    <w:rsid w:val="00E56A3F"/>
    <w:rsid w:val="00E56DB5"/>
    <w:rsid w:val="00E56EDB"/>
    <w:rsid w:val="00E5727E"/>
    <w:rsid w:val="00E57308"/>
    <w:rsid w:val="00E57682"/>
    <w:rsid w:val="00E576A9"/>
    <w:rsid w:val="00E57737"/>
    <w:rsid w:val="00E5786E"/>
    <w:rsid w:val="00E579AB"/>
    <w:rsid w:val="00E57ADF"/>
    <w:rsid w:val="00E57D3C"/>
    <w:rsid w:val="00E57D56"/>
    <w:rsid w:val="00E60112"/>
    <w:rsid w:val="00E6020A"/>
    <w:rsid w:val="00E607D5"/>
    <w:rsid w:val="00E60B2E"/>
    <w:rsid w:val="00E60B6D"/>
    <w:rsid w:val="00E60DB5"/>
    <w:rsid w:val="00E611F0"/>
    <w:rsid w:val="00E61409"/>
    <w:rsid w:val="00E61605"/>
    <w:rsid w:val="00E6165F"/>
    <w:rsid w:val="00E616A3"/>
    <w:rsid w:val="00E61752"/>
    <w:rsid w:val="00E61852"/>
    <w:rsid w:val="00E61A39"/>
    <w:rsid w:val="00E61B94"/>
    <w:rsid w:val="00E61F04"/>
    <w:rsid w:val="00E61F92"/>
    <w:rsid w:val="00E621D7"/>
    <w:rsid w:val="00E6283C"/>
    <w:rsid w:val="00E628E0"/>
    <w:rsid w:val="00E62B14"/>
    <w:rsid w:val="00E62B75"/>
    <w:rsid w:val="00E62D11"/>
    <w:rsid w:val="00E63101"/>
    <w:rsid w:val="00E63211"/>
    <w:rsid w:val="00E632AC"/>
    <w:rsid w:val="00E634AC"/>
    <w:rsid w:val="00E634B1"/>
    <w:rsid w:val="00E639E5"/>
    <w:rsid w:val="00E63D43"/>
    <w:rsid w:val="00E63E6A"/>
    <w:rsid w:val="00E64182"/>
    <w:rsid w:val="00E64234"/>
    <w:rsid w:val="00E64382"/>
    <w:rsid w:val="00E64553"/>
    <w:rsid w:val="00E64A56"/>
    <w:rsid w:val="00E64B3A"/>
    <w:rsid w:val="00E64BB6"/>
    <w:rsid w:val="00E65019"/>
    <w:rsid w:val="00E650A0"/>
    <w:rsid w:val="00E65138"/>
    <w:rsid w:val="00E651E1"/>
    <w:rsid w:val="00E65304"/>
    <w:rsid w:val="00E6561D"/>
    <w:rsid w:val="00E6571C"/>
    <w:rsid w:val="00E658AD"/>
    <w:rsid w:val="00E65AE2"/>
    <w:rsid w:val="00E65DBC"/>
    <w:rsid w:val="00E6607D"/>
    <w:rsid w:val="00E66267"/>
    <w:rsid w:val="00E66431"/>
    <w:rsid w:val="00E665E4"/>
    <w:rsid w:val="00E666FC"/>
    <w:rsid w:val="00E667C6"/>
    <w:rsid w:val="00E668D7"/>
    <w:rsid w:val="00E66B0C"/>
    <w:rsid w:val="00E66C0F"/>
    <w:rsid w:val="00E66C21"/>
    <w:rsid w:val="00E66D4B"/>
    <w:rsid w:val="00E66F6A"/>
    <w:rsid w:val="00E6769D"/>
    <w:rsid w:val="00E67716"/>
    <w:rsid w:val="00E6781B"/>
    <w:rsid w:val="00E678BA"/>
    <w:rsid w:val="00E678D9"/>
    <w:rsid w:val="00E67B68"/>
    <w:rsid w:val="00E7020B"/>
    <w:rsid w:val="00E703C2"/>
    <w:rsid w:val="00E70703"/>
    <w:rsid w:val="00E70872"/>
    <w:rsid w:val="00E71193"/>
    <w:rsid w:val="00E71367"/>
    <w:rsid w:val="00E71396"/>
    <w:rsid w:val="00E713C2"/>
    <w:rsid w:val="00E71723"/>
    <w:rsid w:val="00E71D25"/>
    <w:rsid w:val="00E71EA1"/>
    <w:rsid w:val="00E721B4"/>
    <w:rsid w:val="00E72459"/>
    <w:rsid w:val="00E72758"/>
    <w:rsid w:val="00E727FF"/>
    <w:rsid w:val="00E72821"/>
    <w:rsid w:val="00E72B39"/>
    <w:rsid w:val="00E72C4E"/>
    <w:rsid w:val="00E72FC8"/>
    <w:rsid w:val="00E72FCD"/>
    <w:rsid w:val="00E73040"/>
    <w:rsid w:val="00E73196"/>
    <w:rsid w:val="00E7343F"/>
    <w:rsid w:val="00E735D3"/>
    <w:rsid w:val="00E736A3"/>
    <w:rsid w:val="00E736E5"/>
    <w:rsid w:val="00E73C71"/>
    <w:rsid w:val="00E73DD3"/>
    <w:rsid w:val="00E74024"/>
    <w:rsid w:val="00E744B3"/>
    <w:rsid w:val="00E7472F"/>
    <w:rsid w:val="00E74855"/>
    <w:rsid w:val="00E748D1"/>
    <w:rsid w:val="00E74979"/>
    <w:rsid w:val="00E749E3"/>
    <w:rsid w:val="00E74A97"/>
    <w:rsid w:val="00E74AA8"/>
    <w:rsid w:val="00E74B8F"/>
    <w:rsid w:val="00E74E8E"/>
    <w:rsid w:val="00E750F6"/>
    <w:rsid w:val="00E75231"/>
    <w:rsid w:val="00E75266"/>
    <w:rsid w:val="00E753FE"/>
    <w:rsid w:val="00E75400"/>
    <w:rsid w:val="00E7584B"/>
    <w:rsid w:val="00E75BB8"/>
    <w:rsid w:val="00E75E2A"/>
    <w:rsid w:val="00E76426"/>
    <w:rsid w:val="00E7647F"/>
    <w:rsid w:val="00E764B0"/>
    <w:rsid w:val="00E765DE"/>
    <w:rsid w:val="00E765FA"/>
    <w:rsid w:val="00E76D8A"/>
    <w:rsid w:val="00E76FAA"/>
    <w:rsid w:val="00E773CD"/>
    <w:rsid w:val="00E774FB"/>
    <w:rsid w:val="00E77744"/>
    <w:rsid w:val="00E7795C"/>
    <w:rsid w:val="00E77B79"/>
    <w:rsid w:val="00E77C6C"/>
    <w:rsid w:val="00E8004E"/>
    <w:rsid w:val="00E80773"/>
    <w:rsid w:val="00E8078B"/>
    <w:rsid w:val="00E808E7"/>
    <w:rsid w:val="00E80FBA"/>
    <w:rsid w:val="00E80FC5"/>
    <w:rsid w:val="00E81040"/>
    <w:rsid w:val="00E8119F"/>
    <w:rsid w:val="00E8124D"/>
    <w:rsid w:val="00E8199D"/>
    <w:rsid w:val="00E819D1"/>
    <w:rsid w:val="00E81A44"/>
    <w:rsid w:val="00E81C8B"/>
    <w:rsid w:val="00E81DA3"/>
    <w:rsid w:val="00E82456"/>
    <w:rsid w:val="00E825AE"/>
    <w:rsid w:val="00E825D5"/>
    <w:rsid w:val="00E82A71"/>
    <w:rsid w:val="00E83205"/>
    <w:rsid w:val="00E83308"/>
    <w:rsid w:val="00E833EE"/>
    <w:rsid w:val="00E833FB"/>
    <w:rsid w:val="00E839DA"/>
    <w:rsid w:val="00E83A1D"/>
    <w:rsid w:val="00E83AFF"/>
    <w:rsid w:val="00E83F2C"/>
    <w:rsid w:val="00E83FAF"/>
    <w:rsid w:val="00E841BB"/>
    <w:rsid w:val="00E8422E"/>
    <w:rsid w:val="00E842E3"/>
    <w:rsid w:val="00E84517"/>
    <w:rsid w:val="00E84BCC"/>
    <w:rsid w:val="00E84C68"/>
    <w:rsid w:val="00E84FEE"/>
    <w:rsid w:val="00E851AA"/>
    <w:rsid w:val="00E85411"/>
    <w:rsid w:val="00E85637"/>
    <w:rsid w:val="00E857A1"/>
    <w:rsid w:val="00E857D9"/>
    <w:rsid w:val="00E858B9"/>
    <w:rsid w:val="00E858BD"/>
    <w:rsid w:val="00E85AF6"/>
    <w:rsid w:val="00E85F48"/>
    <w:rsid w:val="00E866F2"/>
    <w:rsid w:val="00E86700"/>
    <w:rsid w:val="00E869BC"/>
    <w:rsid w:val="00E86D6C"/>
    <w:rsid w:val="00E86E5E"/>
    <w:rsid w:val="00E870EF"/>
    <w:rsid w:val="00E871B1"/>
    <w:rsid w:val="00E87633"/>
    <w:rsid w:val="00E87AA2"/>
    <w:rsid w:val="00E87B42"/>
    <w:rsid w:val="00E87DD4"/>
    <w:rsid w:val="00E87E1D"/>
    <w:rsid w:val="00E87E30"/>
    <w:rsid w:val="00E90325"/>
    <w:rsid w:val="00E904BF"/>
    <w:rsid w:val="00E90A64"/>
    <w:rsid w:val="00E91084"/>
    <w:rsid w:val="00E91121"/>
    <w:rsid w:val="00E9112F"/>
    <w:rsid w:val="00E9161B"/>
    <w:rsid w:val="00E916A3"/>
    <w:rsid w:val="00E91866"/>
    <w:rsid w:val="00E9189B"/>
    <w:rsid w:val="00E91B24"/>
    <w:rsid w:val="00E91E34"/>
    <w:rsid w:val="00E92161"/>
    <w:rsid w:val="00E9224A"/>
    <w:rsid w:val="00E9235F"/>
    <w:rsid w:val="00E924A1"/>
    <w:rsid w:val="00E926E4"/>
    <w:rsid w:val="00E92868"/>
    <w:rsid w:val="00E92CDB"/>
    <w:rsid w:val="00E92CEE"/>
    <w:rsid w:val="00E930C2"/>
    <w:rsid w:val="00E93148"/>
    <w:rsid w:val="00E9328D"/>
    <w:rsid w:val="00E933EE"/>
    <w:rsid w:val="00E9347F"/>
    <w:rsid w:val="00E93498"/>
    <w:rsid w:val="00E937C8"/>
    <w:rsid w:val="00E9388B"/>
    <w:rsid w:val="00E93923"/>
    <w:rsid w:val="00E93A65"/>
    <w:rsid w:val="00E93BC8"/>
    <w:rsid w:val="00E93DB9"/>
    <w:rsid w:val="00E93FA2"/>
    <w:rsid w:val="00E94191"/>
    <w:rsid w:val="00E942F7"/>
    <w:rsid w:val="00E94335"/>
    <w:rsid w:val="00E9436F"/>
    <w:rsid w:val="00E943F8"/>
    <w:rsid w:val="00E94454"/>
    <w:rsid w:val="00E94559"/>
    <w:rsid w:val="00E94649"/>
    <w:rsid w:val="00E94A3A"/>
    <w:rsid w:val="00E94C04"/>
    <w:rsid w:val="00E94E58"/>
    <w:rsid w:val="00E9500D"/>
    <w:rsid w:val="00E95041"/>
    <w:rsid w:val="00E95088"/>
    <w:rsid w:val="00E951F7"/>
    <w:rsid w:val="00E955E4"/>
    <w:rsid w:val="00E9575F"/>
    <w:rsid w:val="00E95C18"/>
    <w:rsid w:val="00E95C57"/>
    <w:rsid w:val="00E95E38"/>
    <w:rsid w:val="00E95E71"/>
    <w:rsid w:val="00E961B8"/>
    <w:rsid w:val="00E96B99"/>
    <w:rsid w:val="00E97232"/>
    <w:rsid w:val="00E973CD"/>
    <w:rsid w:val="00E975F9"/>
    <w:rsid w:val="00E976E7"/>
    <w:rsid w:val="00E978CA"/>
    <w:rsid w:val="00E97C4E"/>
    <w:rsid w:val="00E97CFA"/>
    <w:rsid w:val="00EA03A2"/>
    <w:rsid w:val="00EA07AE"/>
    <w:rsid w:val="00EA087B"/>
    <w:rsid w:val="00EA09C6"/>
    <w:rsid w:val="00EA0D1B"/>
    <w:rsid w:val="00EA0DAF"/>
    <w:rsid w:val="00EA0DB1"/>
    <w:rsid w:val="00EA1323"/>
    <w:rsid w:val="00EA1969"/>
    <w:rsid w:val="00EA1E1B"/>
    <w:rsid w:val="00EA2118"/>
    <w:rsid w:val="00EA22FF"/>
    <w:rsid w:val="00EA257D"/>
    <w:rsid w:val="00EA26D5"/>
    <w:rsid w:val="00EA284A"/>
    <w:rsid w:val="00EA2912"/>
    <w:rsid w:val="00EA2B81"/>
    <w:rsid w:val="00EA2BFB"/>
    <w:rsid w:val="00EA2EA8"/>
    <w:rsid w:val="00EA2F97"/>
    <w:rsid w:val="00EA31DF"/>
    <w:rsid w:val="00EA31F3"/>
    <w:rsid w:val="00EA3414"/>
    <w:rsid w:val="00EA3660"/>
    <w:rsid w:val="00EA3944"/>
    <w:rsid w:val="00EA3C52"/>
    <w:rsid w:val="00EA3E3E"/>
    <w:rsid w:val="00EA408C"/>
    <w:rsid w:val="00EA412F"/>
    <w:rsid w:val="00EA41CF"/>
    <w:rsid w:val="00EA437E"/>
    <w:rsid w:val="00EA43A9"/>
    <w:rsid w:val="00EA43DA"/>
    <w:rsid w:val="00EA452C"/>
    <w:rsid w:val="00EA49C8"/>
    <w:rsid w:val="00EA4BFA"/>
    <w:rsid w:val="00EA4F3F"/>
    <w:rsid w:val="00EA51E4"/>
    <w:rsid w:val="00EA52B1"/>
    <w:rsid w:val="00EA53E1"/>
    <w:rsid w:val="00EA5405"/>
    <w:rsid w:val="00EA551B"/>
    <w:rsid w:val="00EA556A"/>
    <w:rsid w:val="00EA5A07"/>
    <w:rsid w:val="00EA5D7A"/>
    <w:rsid w:val="00EA5EB5"/>
    <w:rsid w:val="00EA60BA"/>
    <w:rsid w:val="00EA60E5"/>
    <w:rsid w:val="00EA6237"/>
    <w:rsid w:val="00EA672D"/>
    <w:rsid w:val="00EA688A"/>
    <w:rsid w:val="00EA6CB9"/>
    <w:rsid w:val="00EA6F45"/>
    <w:rsid w:val="00EA7312"/>
    <w:rsid w:val="00EA73AC"/>
    <w:rsid w:val="00EA74B7"/>
    <w:rsid w:val="00EA7CC8"/>
    <w:rsid w:val="00EA7DB0"/>
    <w:rsid w:val="00EA7E76"/>
    <w:rsid w:val="00EA7FE4"/>
    <w:rsid w:val="00EB00B4"/>
    <w:rsid w:val="00EB0148"/>
    <w:rsid w:val="00EB0176"/>
    <w:rsid w:val="00EB038B"/>
    <w:rsid w:val="00EB07E4"/>
    <w:rsid w:val="00EB094D"/>
    <w:rsid w:val="00EB0AD7"/>
    <w:rsid w:val="00EB0B16"/>
    <w:rsid w:val="00EB0B4E"/>
    <w:rsid w:val="00EB0D97"/>
    <w:rsid w:val="00EB0E04"/>
    <w:rsid w:val="00EB0ECB"/>
    <w:rsid w:val="00EB126A"/>
    <w:rsid w:val="00EB13A0"/>
    <w:rsid w:val="00EB1B37"/>
    <w:rsid w:val="00EB1BB1"/>
    <w:rsid w:val="00EB2139"/>
    <w:rsid w:val="00EB240A"/>
    <w:rsid w:val="00EB2579"/>
    <w:rsid w:val="00EB26B3"/>
    <w:rsid w:val="00EB2759"/>
    <w:rsid w:val="00EB2A4E"/>
    <w:rsid w:val="00EB2E89"/>
    <w:rsid w:val="00EB3171"/>
    <w:rsid w:val="00EB31C0"/>
    <w:rsid w:val="00EB323D"/>
    <w:rsid w:val="00EB3243"/>
    <w:rsid w:val="00EB33C3"/>
    <w:rsid w:val="00EB3470"/>
    <w:rsid w:val="00EB35ED"/>
    <w:rsid w:val="00EB363F"/>
    <w:rsid w:val="00EB373F"/>
    <w:rsid w:val="00EB37CA"/>
    <w:rsid w:val="00EB3824"/>
    <w:rsid w:val="00EB3B81"/>
    <w:rsid w:val="00EB3F80"/>
    <w:rsid w:val="00EB4176"/>
    <w:rsid w:val="00EB41BF"/>
    <w:rsid w:val="00EB4537"/>
    <w:rsid w:val="00EB45D0"/>
    <w:rsid w:val="00EB474A"/>
    <w:rsid w:val="00EB4A28"/>
    <w:rsid w:val="00EB4BF3"/>
    <w:rsid w:val="00EB4C21"/>
    <w:rsid w:val="00EB4ED7"/>
    <w:rsid w:val="00EB4FAB"/>
    <w:rsid w:val="00EB516F"/>
    <w:rsid w:val="00EB56B6"/>
    <w:rsid w:val="00EB5A72"/>
    <w:rsid w:val="00EB5B77"/>
    <w:rsid w:val="00EB6041"/>
    <w:rsid w:val="00EB6831"/>
    <w:rsid w:val="00EB6865"/>
    <w:rsid w:val="00EB6949"/>
    <w:rsid w:val="00EB6CE0"/>
    <w:rsid w:val="00EB6E77"/>
    <w:rsid w:val="00EB6F0E"/>
    <w:rsid w:val="00EB7834"/>
    <w:rsid w:val="00EB7B29"/>
    <w:rsid w:val="00EB7B9D"/>
    <w:rsid w:val="00EB7DAA"/>
    <w:rsid w:val="00EB7FA8"/>
    <w:rsid w:val="00EB7FC7"/>
    <w:rsid w:val="00EC00F0"/>
    <w:rsid w:val="00EC0308"/>
    <w:rsid w:val="00EC038D"/>
    <w:rsid w:val="00EC0438"/>
    <w:rsid w:val="00EC0C5F"/>
    <w:rsid w:val="00EC0CD2"/>
    <w:rsid w:val="00EC0D3E"/>
    <w:rsid w:val="00EC0E1B"/>
    <w:rsid w:val="00EC0E61"/>
    <w:rsid w:val="00EC0F8E"/>
    <w:rsid w:val="00EC1052"/>
    <w:rsid w:val="00EC11A1"/>
    <w:rsid w:val="00EC1312"/>
    <w:rsid w:val="00EC142B"/>
    <w:rsid w:val="00EC15E1"/>
    <w:rsid w:val="00EC176B"/>
    <w:rsid w:val="00EC1849"/>
    <w:rsid w:val="00EC1BE0"/>
    <w:rsid w:val="00EC1D7F"/>
    <w:rsid w:val="00EC1DB3"/>
    <w:rsid w:val="00EC1DCF"/>
    <w:rsid w:val="00EC2105"/>
    <w:rsid w:val="00EC21F9"/>
    <w:rsid w:val="00EC27D0"/>
    <w:rsid w:val="00EC2EB9"/>
    <w:rsid w:val="00EC2F6D"/>
    <w:rsid w:val="00EC2F8C"/>
    <w:rsid w:val="00EC3103"/>
    <w:rsid w:val="00EC3165"/>
    <w:rsid w:val="00EC3197"/>
    <w:rsid w:val="00EC3248"/>
    <w:rsid w:val="00EC336A"/>
    <w:rsid w:val="00EC359D"/>
    <w:rsid w:val="00EC38AE"/>
    <w:rsid w:val="00EC3E6B"/>
    <w:rsid w:val="00EC3EC0"/>
    <w:rsid w:val="00EC46DB"/>
    <w:rsid w:val="00EC4891"/>
    <w:rsid w:val="00EC4903"/>
    <w:rsid w:val="00EC4D9B"/>
    <w:rsid w:val="00EC4F13"/>
    <w:rsid w:val="00EC504F"/>
    <w:rsid w:val="00EC5253"/>
    <w:rsid w:val="00EC54FF"/>
    <w:rsid w:val="00EC5520"/>
    <w:rsid w:val="00EC57E7"/>
    <w:rsid w:val="00EC5964"/>
    <w:rsid w:val="00EC598C"/>
    <w:rsid w:val="00EC59A1"/>
    <w:rsid w:val="00EC604B"/>
    <w:rsid w:val="00EC61BA"/>
    <w:rsid w:val="00EC6203"/>
    <w:rsid w:val="00EC635C"/>
    <w:rsid w:val="00EC6909"/>
    <w:rsid w:val="00EC6945"/>
    <w:rsid w:val="00EC6B03"/>
    <w:rsid w:val="00EC7058"/>
    <w:rsid w:val="00EC70D1"/>
    <w:rsid w:val="00EC715B"/>
    <w:rsid w:val="00EC72E5"/>
    <w:rsid w:val="00EC73A0"/>
    <w:rsid w:val="00EC73CD"/>
    <w:rsid w:val="00EC75A2"/>
    <w:rsid w:val="00EC76C5"/>
    <w:rsid w:val="00EC7AEC"/>
    <w:rsid w:val="00EC7D26"/>
    <w:rsid w:val="00EC7DBE"/>
    <w:rsid w:val="00ED03AD"/>
    <w:rsid w:val="00ED0521"/>
    <w:rsid w:val="00ED05F4"/>
    <w:rsid w:val="00ED077F"/>
    <w:rsid w:val="00ED0C5C"/>
    <w:rsid w:val="00ED0EF2"/>
    <w:rsid w:val="00ED1353"/>
    <w:rsid w:val="00ED145A"/>
    <w:rsid w:val="00ED1894"/>
    <w:rsid w:val="00ED18A5"/>
    <w:rsid w:val="00ED1A96"/>
    <w:rsid w:val="00ED1B3F"/>
    <w:rsid w:val="00ED1D2D"/>
    <w:rsid w:val="00ED1F35"/>
    <w:rsid w:val="00ED2387"/>
    <w:rsid w:val="00ED2482"/>
    <w:rsid w:val="00ED26F4"/>
    <w:rsid w:val="00ED275C"/>
    <w:rsid w:val="00ED2CB3"/>
    <w:rsid w:val="00ED2D83"/>
    <w:rsid w:val="00ED2E38"/>
    <w:rsid w:val="00ED2F4B"/>
    <w:rsid w:val="00ED2FC9"/>
    <w:rsid w:val="00ED3033"/>
    <w:rsid w:val="00ED34ED"/>
    <w:rsid w:val="00ED35E3"/>
    <w:rsid w:val="00ED36B8"/>
    <w:rsid w:val="00ED36DA"/>
    <w:rsid w:val="00ED3BFF"/>
    <w:rsid w:val="00ED422F"/>
    <w:rsid w:val="00ED495F"/>
    <w:rsid w:val="00ED49F1"/>
    <w:rsid w:val="00ED4A9F"/>
    <w:rsid w:val="00ED4B8C"/>
    <w:rsid w:val="00ED4C08"/>
    <w:rsid w:val="00ED4C7E"/>
    <w:rsid w:val="00ED4ECD"/>
    <w:rsid w:val="00ED52B2"/>
    <w:rsid w:val="00ED54E7"/>
    <w:rsid w:val="00ED576A"/>
    <w:rsid w:val="00ED5A18"/>
    <w:rsid w:val="00ED5D9F"/>
    <w:rsid w:val="00ED5E82"/>
    <w:rsid w:val="00ED61B2"/>
    <w:rsid w:val="00ED6621"/>
    <w:rsid w:val="00ED6887"/>
    <w:rsid w:val="00ED6D46"/>
    <w:rsid w:val="00ED7184"/>
    <w:rsid w:val="00ED71F1"/>
    <w:rsid w:val="00ED7207"/>
    <w:rsid w:val="00ED73C9"/>
    <w:rsid w:val="00ED73CD"/>
    <w:rsid w:val="00ED7410"/>
    <w:rsid w:val="00ED77FA"/>
    <w:rsid w:val="00ED7E49"/>
    <w:rsid w:val="00ED7E6C"/>
    <w:rsid w:val="00EE0054"/>
    <w:rsid w:val="00EE04C3"/>
    <w:rsid w:val="00EE05AB"/>
    <w:rsid w:val="00EE0A57"/>
    <w:rsid w:val="00EE0AAB"/>
    <w:rsid w:val="00EE0BBA"/>
    <w:rsid w:val="00EE0EF4"/>
    <w:rsid w:val="00EE10D1"/>
    <w:rsid w:val="00EE1140"/>
    <w:rsid w:val="00EE12E7"/>
    <w:rsid w:val="00EE12FE"/>
    <w:rsid w:val="00EE1392"/>
    <w:rsid w:val="00EE13A6"/>
    <w:rsid w:val="00EE1806"/>
    <w:rsid w:val="00EE1892"/>
    <w:rsid w:val="00EE191F"/>
    <w:rsid w:val="00EE1A4A"/>
    <w:rsid w:val="00EE1F60"/>
    <w:rsid w:val="00EE2159"/>
    <w:rsid w:val="00EE2232"/>
    <w:rsid w:val="00EE2433"/>
    <w:rsid w:val="00EE2534"/>
    <w:rsid w:val="00EE2658"/>
    <w:rsid w:val="00EE29C0"/>
    <w:rsid w:val="00EE2B59"/>
    <w:rsid w:val="00EE2B82"/>
    <w:rsid w:val="00EE2D81"/>
    <w:rsid w:val="00EE314C"/>
    <w:rsid w:val="00EE33BD"/>
    <w:rsid w:val="00EE37F3"/>
    <w:rsid w:val="00EE38B0"/>
    <w:rsid w:val="00EE3D47"/>
    <w:rsid w:val="00EE3D6D"/>
    <w:rsid w:val="00EE3D9F"/>
    <w:rsid w:val="00EE3F4B"/>
    <w:rsid w:val="00EE40ED"/>
    <w:rsid w:val="00EE4166"/>
    <w:rsid w:val="00EE4469"/>
    <w:rsid w:val="00EE45DD"/>
    <w:rsid w:val="00EE49DE"/>
    <w:rsid w:val="00EE4E1A"/>
    <w:rsid w:val="00EE4F75"/>
    <w:rsid w:val="00EE4F79"/>
    <w:rsid w:val="00EE5331"/>
    <w:rsid w:val="00EE54F4"/>
    <w:rsid w:val="00EE57A6"/>
    <w:rsid w:val="00EE5889"/>
    <w:rsid w:val="00EE5AC1"/>
    <w:rsid w:val="00EE5C37"/>
    <w:rsid w:val="00EE5D77"/>
    <w:rsid w:val="00EE600C"/>
    <w:rsid w:val="00EE603E"/>
    <w:rsid w:val="00EE612F"/>
    <w:rsid w:val="00EE62B7"/>
    <w:rsid w:val="00EE62CF"/>
    <w:rsid w:val="00EE6348"/>
    <w:rsid w:val="00EE648B"/>
    <w:rsid w:val="00EE65D4"/>
    <w:rsid w:val="00EE661C"/>
    <w:rsid w:val="00EE661D"/>
    <w:rsid w:val="00EE6AF9"/>
    <w:rsid w:val="00EE6BDD"/>
    <w:rsid w:val="00EE6D43"/>
    <w:rsid w:val="00EE6F2A"/>
    <w:rsid w:val="00EE6F93"/>
    <w:rsid w:val="00EE7156"/>
    <w:rsid w:val="00EE71AE"/>
    <w:rsid w:val="00EE7290"/>
    <w:rsid w:val="00EE76E0"/>
    <w:rsid w:val="00EE7978"/>
    <w:rsid w:val="00EE7B97"/>
    <w:rsid w:val="00EE7D05"/>
    <w:rsid w:val="00EF022D"/>
    <w:rsid w:val="00EF0444"/>
    <w:rsid w:val="00EF059F"/>
    <w:rsid w:val="00EF08E6"/>
    <w:rsid w:val="00EF0CB9"/>
    <w:rsid w:val="00EF0E17"/>
    <w:rsid w:val="00EF11DD"/>
    <w:rsid w:val="00EF1226"/>
    <w:rsid w:val="00EF126B"/>
    <w:rsid w:val="00EF1450"/>
    <w:rsid w:val="00EF14FA"/>
    <w:rsid w:val="00EF155D"/>
    <w:rsid w:val="00EF16F3"/>
    <w:rsid w:val="00EF1D4E"/>
    <w:rsid w:val="00EF1F29"/>
    <w:rsid w:val="00EF2313"/>
    <w:rsid w:val="00EF2434"/>
    <w:rsid w:val="00EF2562"/>
    <w:rsid w:val="00EF2620"/>
    <w:rsid w:val="00EF2944"/>
    <w:rsid w:val="00EF2A98"/>
    <w:rsid w:val="00EF2B5C"/>
    <w:rsid w:val="00EF2CDC"/>
    <w:rsid w:val="00EF2D05"/>
    <w:rsid w:val="00EF2D4E"/>
    <w:rsid w:val="00EF2FD7"/>
    <w:rsid w:val="00EF303A"/>
    <w:rsid w:val="00EF303C"/>
    <w:rsid w:val="00EF3549"/>
    <w:rsid w:val="00EF38C7"/>
    <w:rsid w:val="00EF391A"/>
    <w:rsid w:val="00EF3A88"/>
    <w:rsid w:val="00EF3D57"/>
    <w:rsid w:val="00EF44A0"/>
    <w:rsid w:val="00EF4844"/>
    <w:rsid w:val="00EF4AB8"/>
    <w:rsid w:val="00EF4C80"/>
    <w:rsid w:val="00EF4C8E"/>
    <w:rsid w:val="00EF540E"/>
    <w:rsid w:val="00EF5429"/>
    <w:rsid w:val="00EF55FC"/>
    <w:rsid w:val="00EF57A8"/>
    <w:rsid w:val="00EF5A16"/>
    <w:rsid w:val="00EF5A2A"/>
    <w:rsid w:val="00EF5AF5"/>
    <w:rsid w:val="00EF5B56"/>
    <w:rsid w:val="00EF5BF0"/>
    <w:rsid w:val="00EF5E85"/>
    <w:rsid w:val="00EF648B"/>
    <w:rsid w:val="00EF669D"/>
    <w:rsid w:val="00EF6BF6"/>
    <w:rsid w:val="00EF6CB3"/>
    <w:rsid w:val="00EF6D2E"/>
    <w:rsid w:val="00EF6D54"/>
    <w:rsid w:val="00EF6DEE"/>
    <w:rsid w:val="00EF6E3E"/>
    <w:rsid w:val="00EF72C4"/>
    <w:rsid w:val="00EF7ABB"/>
    <w:rsid w:val="00EF7BAD"/>
    <w:rsid w:val="00EF7BF7"/>
    <w:rsid w:val="00EF7EFB"/>
    <w:rsid w:val="00F00040"/>
    <w:rsid w:val="00F00299"/>
    <w:rsid w:val="00F004AA"/>
    <w:rsid w:val="00F004CB"/>
    <w:rsid w:val="00F00632"/>
    <w:rsid w:val="00F00CAD"/>
    <w:rsid w:val="00F00E68"/>
    <w:rsid w:val="00F0107F"/>
    <w:rsid w:val="00F01410"/>
    <w:rsid w:val="00F01495"/>
    <w:rsid w:val="00F01783"/>
    <w:rsid w:val="00F0187A"/>
    <w:rsid w:val="00F01FA0"/>
    <w:rsid w:val="00F02062"/>
    <w:rsid w:val="00F02315"/>
    <w:rsid w:val="00F0243E"/>
    <w:rsid w:val="00F02496"/>
    <w:rsid w:val="00F024DB"/>
    <w:rsid w:val="00F0250A"/>
    <w:rsid w:val="00F02538"/>
    <w:rsid w:val="00F02966"/>
    <w:rsid w:val="00F02B72"/>
    <w:rsid w:val="00F0300C"/>
    <w:rsid w:val="00F032DB"/>
    <w:rsid w:val="00F03486"/>
    <w:rsid w:val="00F036B8"/>
    <w:rsid w:val="00F03CA4"/>
    <w:rsid w:val="00F03E24"/>
    <w:rsid w:val="00F03F00"/>
    <w:rsid w:val="00F03F79"/>
    <w:rsid w:val="00F042B9"/>
    <w:rsid w:val="00F04950"/>
    <w:rsid w:val="00F04998"/>
    <w:rsid w:val="00F04E3B"/>
    <w:rsid w:val="00F051B6"/>
    <w:rsid w:val="00F051EE"/>
    <w:rsid w:val="00F05310"/>
    <w:rsid w:val="00F05420"/>
    <w:rsid w:val="00F05491"/>
    <w:rsid w:val="00F05897"/>
    <w:rsid w:val="00F05CCE"/>
    <w:rsid w:val="00F0632F"/>
    <w:rsid w:val="00F063D9"/>
    <w:rsid w:val="00F067D8"/>
    <w:rsid w:val="00F06847"/>
    <w:rsid w:val="00F06953"/>
    <w:rsid w:val="00F06BA5"/>
    <w:rsid w:val="00F0716B"/>
    <w:rsid w:val="00F07366"/>
    <w:rsid w:val="00F07531"/>
    <w:rsid w:val="00F07858"/>
    <w:rsid w:val="00F079F5"/>
    <w:rsid w:val="00F07A05"/>
    <w:rsid w:val="00F07AA3"/>
    <w:rsid w:val="00F101BA"/>
    <w:rsid w:val="00F101E8"/>
    <w:rsid w:val="00F10228"/>
    <w:rsid w:val="00F1069C"/>
    <w:rsid w:val="00F106BA"/>
    <w:rsid w:val="00F10928"/>
    <w:rsid w:val="00F10CCE"/>
    <w:rsid w:val="00F10DA9"/>
    <w:rsid w:val="00F10E38"/>
    <w:rsid w:val="00F110AD"/>
    <w:rsid w:val="00F1152F"/>
    <w:rsid w:val="00F1162F"/>
    <w:rsid w:val="00F1199B"/>
    <w:rsid w:val="00F11A52"/>
    <w:rsid w:val="00F11AA3"/>
    <w:rsid w:val="00F11BA8"/>
    <w:rsid w:val="00F11C17"/>
    <w:rsid w:val="00F11C79"/>
    <w:rsid w:val="00F11DAE"/>
    <w:rsid w:val="00F11EC8"/>
    <w:rsid w:val="00F11FB5"/>
    <w:rsid w:val="00F12A37"/>
    <w:rsid w:val="00F12C21"/>
    <w:rsid w:val="00F12CB8"/>
    <w:rsid w:val="00F1304F"/>
    <w:rsid w:val="00F13196"/>
    <w:rsid w:val="00F13399"/>
    <w:rsid w:val="00F133F2"/>
    <w:rsid w:val="00F13758"/>
    <w:rsid w:val="00F13A88"/>
    <w:rsid w:val="00F13B53"/>
    <w:rsid w:val="00F13D58"/>
    <w:rsid w:val="00F1401A"/>
    <w:rsid w:val="00F142A1"/>
    <w:rsid w:val="00F143B4"/>
    <w:rsid w:val="00F145A7"/>
    <w:rsid w:val="00F146B6"/>
    <w:rsid w:val="00F14E99"/>
    <w:rsid w:val="00F14F45"/>
    <w:rsid w:val="00F14F5F"/>
    <w:rsid w:val="00F152FD"/>
    <w:rsid w:val="00F156B1"/>
    <w:rsid w:val="00F15993"/>
    <w:rsid w:val="00F15F78"/>
    <w:rsid w:val="00F16311"/>
    <w:rsid w:val="00F163E4"/>
    <w:rsid w:val="00F16B06"/>
    <w:rsid w:val="00F17248"/>
    <w:rsid w:val="00F17297"/>
    <w:rsid w:val="00F20084"/>
    <w:rsid w:val="00F205E4"/>
    <w:rsid w:val="00F20BD9"/>
    <w:rsid w:val="00F20D13"/>
    <w:rsid w:val="00F20DFB"/>
    <w:rsid w:val="00F20E1B"/>
    <w:rsid w:val="00F20E95"/>
    <w:rsid w:val="00F20F83"/>
    <w:rsid w:val="00F2138C"/>
    <w:rsid w:val="00F2156E"/>
    <w:rsid w:val="00F2169C"/>
    <w:rsid w:val="00F2176E"/>
    <w:rsid w:val="00F218DC"/>
    <w:rsid w:val="00F2195F"/>
    <w:rsid w:val="00F219EE"/>
    <w:rsid w:val="00F21BA0"/>
    <w:rsid w:val="00F22180"/>
    <w:rsid w:val="00F2246A"/>
    <w:rsid w:val="00F22922"/>
    <w:rsid w:val="00F22974"/>
    <w:rsid w:val="00F229D3"/>
    <w:rsid w:val="00F22BC7"/>
    <w:rsid w:val="00F22D3D"/>
    <w:rsid w:val="00F231F1"/>
    <w:rsid w:val="00F234F0"/>
    <w:rsid w:val="00F23DC7"/>
    <w:rsid w:val="00F23DF4"/>
    <w:rsid w:val="00F23E43"/>
    <w:rsid w:val="00F23EF6"/>
    <w:rsid w:val="00F23F71"/>
    <w:rsid w:val="00F24138"/>
    <w:rsid w:val="00F24292"/>
    <w:rsid w:val="00F242E7"/>
    <w:rsid w:val="00F2448F"/>
    <w:rsid w:val="00F24896"/>
    <w:rsid w:val="00F24986"/>
    <w:rsid w:val="00F249C6"/>
    <w:rsid w:val="00F249D0"/>
    <w:rsid w:val="00F24A01"/>
    <w:rsid w:val="00F24C3A"/>
    <w:rsid w:val="00F24DD2"/>
    <w:rsid w:val="00F24E75"/>
    <w:rsid w:val="00F24F4D"/>
    <w:rsid w:val="00F252AE"/>
    <w:rsid w:val="00F25568"/>
    <w:rsid w:val="00F2574C"/>
    <w:rsid w:val="00F25B3C"/>
    <w:rsid w:val="00F25D9A"/>
    <w:rsid w:val="00F260AE"/>
    <w:rsid w:val="00F26118"/>
    <w:rsid w:val="00F261F4"/>
    <w:rsid w:val="00F262F8"/>
    <w:rsid w:val="00F2632F"/>
    <w:rsid w:val="00F26383"/>
    <w:rsid w:val="00F26422"/>
    <w:rsid w:val="00F26A56"/>
    <w:rsid w:val="00F26B94"/>
    <w:rsid w:val="00F26BFB"/>
    <w:rsid w:val="00F26CA5"/>
    <w:rsid w:val="00F26E4F"/>
    <w:rsid w:val="00F27368"/>
    <w:rsid w:val="00F278F7"/>
    <w:rsid w:val="00F27B0C"/>
    <w:rsid w:val="00F27D97"/>
    <w:rsid w:val="00F27F35"/>
    <w:rsid w:val="00F30081"/>
    <w:rsid w:val="00F300FB"/>
    <w:rsid w:val="00F30455"/>
    <w:rsid w:val="00F3048D"/>
    <w:rsid w:val="00F305DC"/>
    <w:rsid w:val="00F3088C"/>
    <w:rsid w:val="00F30A60"/>
    <w:rsid w:val="00F30ACD"/>
    <w:rsid w:val="00F30B73"/>
    <w:rsid w:val="00F30C2F"/>
    <w:rsid w:val="00F30EAF"/>
    <w:rsid w:val="00F31037"/>
    <w:rsid w:val="00F313AB"/>
    <w:rsid w:val="00F31648"/>
    <w:rsid w:val="00F31688"/>
    <w:rsid w:val="00F316D7"/>
    <w:rsid w:val="00F31750"/>
    <w:rsid w:val="00F31A05"/>
    <w:rsid w:val="00F31A06"/>
    <w:rsid w:val="00F31B77"/>
    <w:rsid w:val="00F31BC8"/>
    <w:rsid w:val="00F31FB9"/>
    <w:rsid w:val="00F321E4"/>
    <w:rsid w:val="00F322B7"/>
    <w:rsid w:val="00F32690"/>
    <w:rsid w:val="00F32BC3"/>
    <w:rsid w:val="00F32C66"/>
    <w:rsid w:val="00F32D29"/>
    <w:rsid w:val="00F32E05"/>
    <w:rsid w:val="00F32FAB"/>
    <w:rsid w:val="00F33002"/>
    <w:rsid w:val="00F33403"/>
    <w:rsid w:val="00F3370B"/>
    <w:rsid w:val="00F337A0"/>
    <w:rsid w:val="00F339E4"/>
    <w:rsid w:val="00F33A88"/>
    <w:rsid w:val="00F33AC3"/>
    <w:rsid w:val="00F33CC5"/>
    <w:rsid w:val="00F33DCC"/>
    <w:rsid w:val="00F340AC"/>
    <w:rsid w:val="00F346AB"/>
    <w:rsid w:val="00F347C1"/>
    <w:rsid w:val="00F34CA9"/>
    <w:rsid w:val="00F34D29"/>
    <w:rsid w:val="00F34E8C"/>
    <w:rsid w:val="00F3535C"/>
    <w:rsid w:val="00F3537E"/>
    <w:rsid w:val="00F353FF"/>
    <w:rsid w:val="00F354F8"/>
    <w:rsid w:val="00F3553C"/>
    <w:rsid w:val="00F355FC"/>
    <w:rsid w:val="00F35645"/>
    <w:rsid w:val="00F35B72"/>
    <w:rsid w:val="00F35BF3"/>
    <w:rsid w:val="00F35C8D"/>
    <w:rsid w:val="00F35ED6"/>
    <w:rsid w:val="00F36009"/>
    <w:rsid w:val="00F360AF"/>
    <w:rsid w:val="00F36443"/>
    <w:rsid w:val="00F3659D"/>
    <w:rsid w:val="00F36835"/>
    <w:rsid w:val="00F36A48"/>
    <w:rsid w:val="00F36AAC"/>
    <w:rsid w:val="00F36EDC"/>
    <w:rsid w:val="00F370B2"/>
    <w:rsid w:val="00F377EF"/>
    <w:rsid w:val="00F37914"/>
    <w:rsid w:val="00F3793F"/>
    <w:rsid w:val="00F37BAF"/>
    <w:rsid w:val="00F401D9"/>
    <w:rsid w:val="00F403B7"/>
    <w:rsid w:val="00F40672"/>
    <w:rsid w:val="00F40758"/>
    <w:rsid w:val="00F407D1"/>
    <w:rsid w:val="00F409AA"/>
    <w:rsid w:val="00F41126"/>
    <w:rsid w:val="00F41502"/>
    <w:rsid w:val="00F415D9"/>
    <w:rsid w:val="00F41995"/>
    <w:rsid w:val="00F41A04"/>
    <w:rsid w:val="00F41EF4"/>
    <w:rsid w:val="00F4228E"/>
    <w:rsid w:val="00F42431"/>
    <w:rsid w:val="00F425C3"/>
    <w:rsid w:val="00F42865"/>
    <w:rsid w:val="00F42B0E"/>
    <w:rsid w:val="00F42B7E"/>
    <w:rsid w:val="00F42C33"/>
    <w:rsid w:val="00F42F9B"/>
    <w:rsid w:val="00F42FEC"/>
    <w:rsid w:val="00F4300D"/>
    <w:rsid w:val="00F430D9"/>
    <w:rsid w:val="00F432D3"/>
    <w:rsid w:val="00F43592"/>
    <w:rsid w:val="00F43596"/>
    <w:rsid w:val="00F43684"/>
    <w:rsid w:val="00F4397E"/>
    <w:rsid w:val="00F43B61"/>
    <w:rsid w:val="00F43BED"/>
    <w:rsid w:val="00F4420F"/>
    <w:rsid w:val="00F44418"/>
    <w:rsid w:val="00F44563"/>
    <w:rsid w:val="00F44B7F"/>
    <w:rsid w:val="00F44BFC"/>
    <w:rsid w:val="00F44F9D"/>
    <w:rsid w:val="00F450F1"/>
    <w:rsid w:val="00F4529B"/>
    <w:rsid w:val="00F454CC"/>
    <w:rsid w:val="00F4575A"/>
    <w:rsid w:val="00F4577E"/>
    <w:rsid w:val="00F457AA"/>
    <w:rsid w:val="00F45918"/>
    <w:rsid w:val="00F4596E"/>
    <w:rsid w:val="00F45AE0"/>
    <w:rsid w:val="00F45AE2"/>
    <w:rsid w:val="00F45CB0"/>
    <w:rsid w:val="00F45CD0"/>
    <w:rsid w:val="00F45D43"/>
    <w:rsid w:val="00F45F0B"/>
    <w:rsid w:val="00F45FC1"/>
    <w:rsid w:val="00F4630D"/>
    <w:rsid w:val="00F46578"/>
    <w:rsid w:val="00F46868"/>
    <w:rsid w:val="00F468A4"/>
    <w:rsid w:val="00F46955"/>
    <w:rsid w:val="00F4699F"/>
    <w:rsid w:val="00F469CF"/>
    <w:rsid w:val="00F4710A"/>
    <w:rsid w:val="00F47224"/>
    <w:rsid w:val="00F47303"/>
    <w:rsid w:val="00F47336"/>
    <w:rsid w:val="00F47456"/>
    <w:rsid w:val="00F4761B"/>
    <w:rsid w:val="00F47751"/>
    <w:rsid w:val="00F477A1"/>
    <w:rsid w:val="00F47B5A"/>
    <w:rsid w:val="00F47D54"/>
    <w:rsid w:val="00F47F83"/>
    <w:rsid w:val="00F5084A"/>
    <w:rsid w:val="00F50868"/>
    <w:rsid w:val="00F50DF3"/>
    <w:rsid w:val="00F50E3F"/>
    <w:rsid w:val="00F5129F"/>
    <w:rsid w:val="00F51310"/>
    <w:rsid w:val="00F517C3"/>
    <w:rsid w:val="00F518E7"/>
    <w:rsid w:val="00F51A5F"/>
    <w:rsid w:val="00F51ADD"/>
    <w:rsid w:val="00F51CF8"/>
    <w:rsid w:val="00F51D36"/>
    <w:rsid w:val="00F51F66"/>
    <w:rsid w:val="00F5207E"/>
    <w:rsid w:val="00F521CF"/>
    <w:rsid w:val="00F522C9"/>
    <w:rsid w:val="00F52387"/>
    <w:rsid w:val="00F524FF"/>
    <w:rsid w:val="00F52687"/>
    <w:rsid w:val="00F52A56"/>
    <w:rsid w:val="00F52A90"/>
    <w:rsid w:val="00F52EBE"/>
    <w:rsid w:val="00F534CC"/>
    <w:rsid w:val="00F536E2"/>
    <w:rsid w:val="00F5394D"/>
    <w:rsid w:val="00F53C06"/>
    <w:rsid w:val="00F53C2E"/>
    <w:rsid w:val="00F53DD8"/>
    <w:rsid w:val="00F53FAD"/>
    <w:rsid w:val="00F5412A"/>
    <w:rsid w:val="00F54149"/>
    <w:rsid w:val="00F54171"/>
    <w:rsid w:val="00F5417F"/>
    <w:rsid w:val="00F544DD"/>
    <w:rsid w:val="00F54825"/>
    <w:rsid w:val="00F555D4"/>
    <w:rsid w:val="00F5586B"/>
    <w:rsid w:val="00F559A2"/>
    <w:rsid w:val="00F55A75"/>
    <w:rsid w:val="00F55AE3"/>
    <w:rsid w:val="00F55F86"/>
    <w:rsid w:val="00F56720"/>
    <w:rsid w:val="00F57274"/>
    <w:rsid w:val="00F57293"/>
    <w:rsid w:val="00F57660"/>
    <w:rsid w:val="00F5788E"/>
    <w:rsid w:val="00F57969"/>
    <w:rsid w:val="00F57B7A"/>
    <w:rsid w:val="00F57BB3"/>
    <w:rsid w:val="00F57C6B"/>
    <w:rsid w:val="00F57DCE"/>
    <w:rsid w:val="00F60022"/>
    <w:rsid w:val="00F60161"/>
    <w:rsid w:val="00F60544"/>
    <w:rsid w:val="00F606F0"/>
    <w:rsid w:val="00F6090F"/>
    <w:rsid w:val="00F6095F"/>
    <w:rsid w:val="00F60BAE"/>
    <w:rsid w:val="00F60BD9"/>
    <w:rsid w:val="00F60DCF"/>
    <w:rsid w:val="00F60FFA"/>
    <w:rsid w:val="00F613DC"/>
    <w:rsid w:val="00F616E7"/>
    <w:rsid w:val="00F61746"/>
    <w:rsid w:val="00F619B3"/>
    <w:rsid w:val="00F61C7E"/>
    <w:rsid w:val="00F61DD9"/>
    <w:rsid w:val="00F61E3A"/>
    <w:rsid w:val="00F61FB9"/>
    <w:rsid w:val="00F62110"/>
    <w:rsid w:val="00F627E1"/>
    <w:rsid w:val="00F6297E"/>
    <w:rsid w:val="00F629D2"/>
    <w:rsid w:val="00F62AFD"/>
    <w:rsid w:val="00F62B00"/>
    <w:rsid w:val="00F62D7F"/>
    <w:rsid w:val="00F62D9F"/>
    <w:rsid w:val="00F63098"/>
    <w:rsid w:val="00F6328B"/>
    <w:rsid w:val="00F6339E"/>
    <w:rsid w:val="00F633FC"/>
    <w:rsid w:val="00F63BF6"/>
    <w:rsid w:val="00F63C1B"/>
    <w:rsid w:val="00F63E77"/>
    <w:rsid w:val="00F63F24"/>
    <w:rsid w:val="00F64991"/>
    <w:rsid w:val="00F64D1F"/>
    <w:rsid w:val="00F64DD7"/>
    <w:rsid w:val="00F64E88"/>
    <w:rsid w:val="00F64F08"/>
    <w:rsid w:val="00F65006"/>
    <w:rsid w:val="00F6510E"/>
    <w:rsid w:val="00F65245"/>
    <w:rsid w:val="00F6564B"/>
    <w:rsid w:val="00F65885"/>
    <w:rsid w:val="00F65911"/>
    <w:rsid w:val="00F659E6"/>
    <w:rsid w:val="00F65B10"/>
    <w:rsid w:val="00F6605E"/>
    <w:rsid w:val="00F660AF"/>
    <w:rsid w:val="00F668A2"/>
    <w:rsid w:val="00F66944"/>
    <w:rsid w:val="00F67049"/>
    <w:rsid w:val="00F67296"/>
    <w:rsid w:val="00F676DC"/>
    <w:rsid w:val="00F6774E"/>
    <w:rsid w:val="00F67856"/>
    <w:rsid w:val="00F67873"/>
    <w:rsid w:val="00F67897"/>
    <w:rsid w:val="00F67A23"/>
    <w:rsid w:val="00F67EFE"/>
    <w:rsid w:val="00F70123"/>
    <w:rsid w:val="00F70126"/>
    <w:rsid w:val="00F70973"/>
    <w:rsid w:val="00F70AC5"/>
    <w:rsid w:val="00F70D23"/>
    <w:rsid w:val="00F70F13"/>
    <w:rsid w:val="00F70F71"/>
    <w:rsid w:val="00F71013"/>
    <w:rsid w:val="00F7108A"/>
    <w:rsid w:val="00F711A9"/>
    <w:rsid w:val="00F71225"/>
    <w:rsid w:val="00F712A9"/>
    <w:rsid w:val="00F713C7"/>
    <w:rsid w:val="00F71533"/>
    <w:rsid w:val="00F71753"/>
    <w:rsid w:val="00F717D9"/>
    <w:rsid w:val="00F717F6"/>
    <w:rsid w:val="00F71B7D"/>
    <w:rsid w:val="00F71ED0"/>
    <w:rsid w:val="00F72180"/>
    <w:rsid w:val="00F724B7"/>
    <w:rsid w:val="00F72657"/>
    <w:rsid w:val="00F7294E"/>
    <w:rsid w:val="00F72CD9"/>
    <w:rsid w:val="00F7344C"/>
    <w:rsid w:val="00F7369B"/>
    <w:rsid w:val="00F73E24"/>
    <w:rsid w:val="00F7408B"/>
    <w:rsid w:val="00F74350"/>
    <w:rsid w:val="00F7451F"/>
    <w:rsid w:val="00F7483E"/>
    <w:rsid w:val="00F7495F"/>
    <w:rsid w:val="00F749CA"/>
    <w:rsid w:val="00F74EAA"/>
    <w:rsid w:val="00F75005"/>
    <w:rsid w:val="00F750CC"/>
    <w:rsid w:val="00F755C5"/>
    <w:rsid w:val="00F75671"/>
    <w:rsid w:val="00F7567C"/>
    <w:rsid w:val="00F75772"/>
    <w:rsid w:val="00F757FA"/>
    <w:rsid w:val="00F759F7"/>
    <w:rsid w:val="00F75F7E"/>
    <w:rsid w:val="00F76017"/>
    <w:rsid w:val="00F761F9"/>
    <w:rsid w:val="00F7624E"/>
    <w:rsid w:val="00F7671B"/>
    <w:rsid w:val="00F76A2C"/>
    <w:rsid w:val="00F76ACF"/>
    <w:rsid w:val="00F76C6D"/>
    <w:rsid w:val="00F76D64"/>
    <w:rsid w:val="00F76D8E"/>
    <w:rsid w:val="00F76DB7"/>
    <w:rsid w:val="00F76E8A"/>
    <w:rsid w:val="00F76F34"/>
    <w:rsid w:val="00F76F7F"/>
    <w:rsid w:val="00F77366"/>
    <w:rsid w:val="00F77694"/>
    <w:rsid w:val="00F776D3"/>
    <w:rsid w:val="00F80197"/>
    <w:rsid w:val="00F80200"/>
    <w:rsid w:val="00F80321"/>
    <w:rsid w:val="00F80384"/>
    <w:rsid w:val="00F803CB"/>
    <w:rsid w:val="00F8047F"/>
    <w:rsid w:val="00F80AA4"/>
    <w:rsid w:val="00F80B2F"/>
    <w:rsid w:val="00F80DD0"/>
    <w:rsid w:val="00F80DE2"/>
    <w:rsid w:val="00F81258"/>
    <w:rsid w:val="00F812DD"/>
    <w:rsid w:val="00F8141D"/>
    <w:rsid w:val="00F81B0C"/>
    <w:rsid w:val="00F81FAD"/>
    <w:rsid w:val="00F820A9"/>
    <w:rsid w:val="00F821EE"/>
    <w:rsid w:val="00F82228"/>
    <w:rsid w:val="00F822B5"/>
    <w:rsid w:val="00F82558"/>
    <w:rsid w:val="00F826A0"/>
    <w:rsid w:val="00F82853"/>
    <w:rsid w:val="00F829A0"/>
    <w:rsid w:val="00F829E9"/>
    <w:rsid w:val="00F82AD1"/>
    <w:rsid w:val="00F82C42"/>
    <w:rsid w:val="00F82DB2"/>
    <w:rsid w:val="00F83118"/>
    <w:rsid w:val="00F835BD"/>
    <w:rsid w:val="00F83971"/>
    <w:rsid w:val="00F83B4E"/>
    <w:rsid w:val="00F83C11"/>
    <w:rsid w:val="00F83C84"/>
    <w:rsid w:val="00F83CBA"/>
    <w:rsid w:val="00F83DE8"/>
    <w:rsid w:val="00F83E8B"/>
    <w:rsid w:val="00F8426F"/>
    <w:rsid w:val="00F845CE"/>
    <w:rsid w:val="00F84717"/>
    <w:rsid w:val="00F84787"/>
    <w:rsid w:val="00F848E4"/>
    <w:rsid w:val="00F8496B"/>
    <w:rsid w:val="00F84C1B"/>
    <w:rsid w:val="00F84C70"/>
    <w:rsid w:val="00F84FC8"/>
    <w:rsid w:val="00F8548E"/>
    <w:rsid w:val="00F85814"/>
    <w:rsid w:val="00F8595B"/>
    <w:rsid w:val="00F85D8A"/>
    <w:rsid w:val="00F85EA6"/>
    <w:rsid w:val="00F85F94"/>
    <w:rsid w:val="00F8606F"/>
    <w:rsid w:val="00F8635C"/>
    <w:rsid w:val="00F869C6"/>
    <w:rsid w:val="00F87592"/>
    <w:rsid w:val="00F876B9"/>
    <w:rsid w:val="00F87FCF"/>
    <w:rsid w:val="00F90012"/>
    <w:rsid w:val="00F900DE"/>
    <w:rsid w:val="00F902EC"/>
    <w:rsid w:val="00F90660"/>
    <w:rsid w:val="00F90726"/>
    <w:rsid w:val="00F9085A"/>
    <w:rsid w:val="00F908BF"/>
    <w:rsid w:val="00F908C5"/>
    <w:rsid w:val="00F90AB3"/>
    <w:rsid w:val="00F90C08"/>
    <w:rsid w:val="00F90D0F"/>
    <w:rsid w:val="00F90DDF"/>
    <w:rsid w:val="00F912DD"/>
    <w:rsid w:val="00F915AE"/>
    <w:rsid w:val="00F91713"/>
    <w:rsid w:val="00F91853"/>
    <w:rsid w:val="00F918BD"/>
    <w:rsid w:val="00F91AD2"/>
    <w:rsid w:val="00F923C8"/>
    <w:rsid w:val="00F9271D"/>
    <w:rsid w:val="00F92FDB"/>
    <w:rsid w:val="00F931A5"/>
    <w:rsid w:val="00F9355C"/>
    <w:rsid w:val="00F937CB"/>
    <w:rsid w:val="00F9392E"/>
    <w:rsid w:val="00F93AA6"/>
    <w:rsid w:val="00F93B97"/>
    <w:rsid w:val="00F9439E"/>
    <w:rsid w:val="00F94406"/>
    <w:rsid w:val="00F94728"/>
    <w:rsid w:val="00F94904"/>
    <w:rsid w:val="00F949FA"/>
    <w:rsid w:val="00F94A22"/>
    <w:rsid w:val="00F94D4B"/>
    <w:rsid w:val="00F94D77"/>
    <w:rsid w:val="00F952A1"/>
    <w:rsid w:val="00F9585D"/>
    <w:rsid w:val="00F95896"/>
    <w:rsid w:val="00F95AD5"/>
    <w:rsid w:val="00F95DE3"/>
    <w:rsid w:val="00F96104"/>
    <w:rsid w:val="00F961B9"/>
    <w:rsid w:val="00F963B4"/>
    <w:rsid w:val="00F9642C"/>
    <w:rsid w:val="00F965FB"/>
    <w:rsid w:val="00F9660F"/>
    <w:rsid w:val="00F96685"/>
    <w:rsid w:val="00F96996"/>
    <w:rsid w:val="00F96EB9"/>
    <w:rsid w:val="00F96ED8"/>
    <w:rsid w:val="00F9711E"/>
    <w:rsid w:val="00F97161"/>
    <w:rsid w:val="00F97584"/>
    <w:rsid w:val="00F979A6"/>
    <w:rsid w:val="00F97A29"/>
    <w:rsid w:val="00F97D7A"/>
    <w:rsid w:val="00FA0177"/>
    <w:rsid w:val="00FA0193"/>
    <w:rsid w:val="00FA0930"/>
    <w:rsid w:val="00FA0A8A"/>
    <w:rsid w:val="00FA0CC3"/>
    <w:rsid w:val="00FA1027"/>
    <w:rsid w:val="00FA11F3"/>
    <w:rsid w:val="00FA1258"/>
    <w:rsid w:val="00FA14DA"/>
    <w:rsid w:val="00FA193F"/>
    <w:rsid w:val="00FA1C05"/>
    <w:rsid w:val="00FA1C35"/>
    <w:rsid w:val="00FA1DF7"/>
    <w:rsid w:val="00FA207E"/>
    <w:rsid w:val="00FA2168"/>
    <w:rsid w:val="00FA218F"/>
    <w:rsid w:val="00FA21CE"/>
    <w:rsid w:val="00FA2573"/>
    <w:rsid w:val="00FA2634"/>
    <w:rsid w:val="00FA2667"/>
    <w:rsid w:val="00FA2AC8"/>
    <w:rsid w:val="00FA2B83"/>
    <w:rsid w:val="00FA2BA6"/>
    <w:rsid w:val="00FA318D"/>
    <w:rsid w:val="00FA34EF"/>
    <w:rsid w:val="00FA367C"/>
    <w:rsid w:val="00FA3A84"/>
    <w:rsid w:val="00FA3BC8"/>
    <w:rsid w:val="00FA4040"/>
    <w:rsid w:val="00FA4454"/>
    <w:rsid w:val="00FA452C"/>
    <w:rsid w:val="00FA50AB"/>
    <w:rsid w:val="00FA5144"/>
    <w:rsid w:val="00FA5180"/>
    <w:rsid w:val="00FA520F"/>
    <w:rsid w:val="00FA5BAE"/>
    <w:rsid w:val="00FA5D71"/>
    <w:rsid w:val="00FA5E43"/>
    <w:rsid w:val="00FA60C9"/>
    <w:rsid w:val="00FA6212"/>
    <w:rsid w:val="00FA6224"/>
    <w:rsid w:val="00FA62DB"/>
    <w:rsid w:val="00FA6367"/>
    <w:rsid w:val="00FA652D"/>
    <w:rsid w:val="00FA6597"/>
    <w:rsid w:val="00FA6B34"/>
    <w:rsid w:val="00FA6DEA"/>
    <w:rsid w:val="00FA6E76"/>
    <w:rsid w:val="00FA6EDE"/>
    <w:rsid w:val="00FA6F83"/>
    <w:rsid w:val="00FA7146"/>
    <w:rsid w:val="00FA737F"/>
    <w:rsid w:val="00FA75CE"/>
    <w:rsid w:val="00FA783D"/>
    <w:rsid w:val="00FA78B6"/>
    <w:rsid w:val="00FA7B14"/>
    <w:rsid w:val="00FA7E63"/>
    <w:rsid w:val="00FB031F"/>
    <w:rsid w:val="00FB083A"/>
    <w:rsid w:val="00FB0993"/>
    <w:rsid w:val="00FB0B27"/>
    <w:rsid w:val="00FB0C4F"/>
    <w:rsid w:val="00FB10D4"/>
    <w:rsid w:val="00FB11F9"/>
    <w:rsid w:val="00FB13A8"/>
    <w:rsid w:val="00FB1A31"/>
    <w:rsid w:val="00FB1A7D"/>
    <w:rsid w:val="00FB1B5F"/>
    <w:rsid w:val="00FB1F33"/>
    <w:rsid w:val="00FB2108"/>
    <w:rsid w:val="00FB2320"/>
    <w:rsid w:val="00FB2801"/>
    <w:rsid w:val="00FB296C"/>
    <w:rsid w:val="00FB2A19"/>
    <w:rsid w:val="00FB2C4C"/>
    <w:rsid w:val="00FB311F"/>
    <w:rsid w:val="00FB326D"/>
    <w:rsid w:val="00FB33C7"/>
    <w:rsid w:val="00FB3661"/>
    <w:rsid w:val="00FB36FD"/>
    <w:rsid w:val="00FB3749"/>
    <w:rsid w:val="00FB3A2E"/>
    <w:rsid w:val="00FB3C4C"/>
    <w:rsid w:val="00FB3C7B"/>
    <w:rsid w:val="00FB4012"/>
    <w:rsid w:val="00FB438B"/>
    <w:rsid w:val="00FB45A0"/>
    <w:rsid w:val="00FB46B8"/>
    <w:rsid w:val="00FB4812"/>
    <w:rsid w:val="00FB4C71"/>
    <w:rsid w:val="00FB4E74"/>
    <w:rsid w:val="00FB504C"/>
    <w:rsid w:val="00FB522D"/>
    <w:rsid w:val="00FB55B2"/>
    <w:rsid w:val="00FB5627"/>
    <w:rsid w:val="00FB5919"/>
    <w:rsid w:val="00FB5AF5"/>
    <w:rsid w:val="00FB5C29"/>
    <w:rsid w:val="00FB5DBC"/>
    <w:rsid w:val="00FB601D"/>
    <w:rsid w:val="00FB609C"/>
    <w:rsid w:val="00FB609E"/>
    <w:rsid w:val="00FB60B1"/>
    <w:rsid w:val="00FB6196"/>
    <w:rsid w:val="00FB6711"/>
    <w:rsid w:val="00FB689A"/>
    <w:rsid w:val="00FB68AD"/>
    <w:rsid w:val="00FB6B4B"/>
    <w:rsid w:val="00FB6B6F"/>
    <w:rsid w:val="00FB7034"/>
    <w:rsid w:val="00FB708B"/>
    <w:rsid w:val="00FB78AC"/>
    <w:rsid w:val="00FB7922"/>
    <w:rsid w:val="00FB799F"/>
    <w:rsid w:val="00FB7B05"/>
    <w:rsid w:val="00FB7BB9"/>
    <w:rsid w:val="00FB7D45"/>
    <w:rsid w:val="00FB7DED"/>
    <w:rsid w:val="00FC0075"/>
    <w:rsid w:val="00FC00FE"/>
    <w:rsid w:val="00FC028D"/>
    <w:rsid w:val="00FC0359"/>
    <w:rsid w:val="00FC0458"/>
    <w:rsid w:val="00FC050D"/>
    <w:rsid w:val="00FC0811"/>
    <w:rsid w:val="00FC08AD"/>
    <w:rsid w:val="00FC0A87"/>
    <w:rsid w:val="00FC0B72"/>
    <w:rsid w:val="00FC0C4A"/>
    <w:rsid w:val="00FC0E3A"/>
    <w:rsid w:val="00FC0E6E"/>
    <w:rsid w:val="00FC1219"/>
    <w:rsid w:val="00FC13AE"/>
    <w:rsid w:val="00FC14CB"/>
    <w:rsid w:val="00FC1918"/>
    <w:rsid w:val="00FC1E4F"/>
    <w:rsid w:val="00FC204D"/>
    <w:rsid w:val="00FC2055"/>
    <w:rsid w:val="00FC21EF"/>
    <w:rsid w:val="00FC25AB"/>
    <w:rsid w:val="00FC2ABD"/>
    <w:rsid w:val="00FC2DB8"/>
    <w:rsid w:val="00FC2FD8"/>
    <w:rsid w:val="00FC2FEC"/>
    <w:rsid w:val="00FC3331"/>
    <w:rsid w:val="00FC3368"/>
    <w:rsid w:val="00FC33C9"/>
    <w:rsid w:val="00FC3A74"/>
    <w:rsid w:val="00FC3AE7"/>
    <w:rsid w:val="00FC3CC0"/>
    <w:rsid w:val="00FC3D99"/>
    <w:rsid w:val="00FC3F38"/>
    <w:rsid w:val="00FC3FAD"/>
    <w:rsid w:val="00FC4003"/>
    <w:rsid w:val="00FC438A"/>
    <w:rsid w:val="00FC4499"/>
    <w:rsid w:val="00FC4550"/>
    <w:rsid w:val="00FC489F"/>
    <w:rsid w:val="00FC493D"/>
    <w:rsid w:val="00FC4957"/>
    <w:rsid w:val="00FC4B6D"/>
    <w:rsid w:val="00FC4C2E"/>
    <w:rsid w:val="00FC4C55"/>
    <w:rsid w:val="00FC4E5A"/>
    <w:rsid w:val="00FC5178"/>
    <w:rsid w:val="00FC51FA"/>
    <w:rsid w:val="00FC53E6"/>
    <w:rsid w:val="00FC558A"/>
    <w:rsid w:val="00FC55C5"/>
    <w:rsid w:val="00FC584C"/>
    <w:rsid w:val="00FC5C33"/>
    <w:rsid w:val="00FC5E4C"/>
    <w:rsid w:val="00FC5FC3"/>
    <w:rsid w:val="00FC5FC5"/>
    <w:rsid w:val="00FC6248"/>
    <w:rsid w:val="00FC62F0"/>
    <w:rsid w:val="00FC6414"/>
    <w:rsid w:val="00FC6501"/>
    <w:rsid w:val="00FC6668"/>
    <w:rsid w:val="00FC66EB"/>
    <w:rsid w:val="00FC67A7"/>
    <w:rsid w:val="00FC67C8"/>
    <w:rsid w:val="00FC6955"/>
    <w:rsid w:val="00FC69EA"/>
    <w:rsid w:val="00FC70FE"/>
    <w:rsid w:val="00FC7125"/>
    <w:rsid w:val="00FC73B7"/>
    <w:rsid w:val="00FC7453"/>
    <w:rsid w:val="00FC767E"/>
    <w:rsid w:val="00FC787F"/>
    <w:rsid w:val="00FC78D3"/>
    <w:rsid w:val="00FC7A62"/>
    <w:rsid w:val="00FC7B33"/>
    <w:rsid w:val="00FC7C23"/>
    <w:rsid w:val="00FC7C93"/>
    <w:rsid w:val="00FC7CE4"/>
    <w:rsid w:val="00FC7DE6"/>
    <w:rsid w:val="00FC7EC7"/>
    <w:rsid w:val="00FD01EF"/>
    <w:rsid w:val="00FD028B"/>
    <w:rsid w:val="00FD06BE"/>
    <w:rsid w:val="00FD0823"/>
    <w:rsid w:val="00FD0B57"/>
    <w:rsid w:val="00FD0DC0"/>
    <w:rsid w:val="00FD0EC9"/>
    <w:rsid w:val="00FD114C"/>
    <w:rsid w:val="00FD11F2"/>
    <w:rsid w:val="00FD1218"/>
    <w:rsid w:val="00FD1445"/>
    <w:rsid w:val="00FD16E0"/>
    <w:rsid w:val="00FD1949"/>
    <w:rsid w:val="00FD1CD1"/>
    <w:rsid w:val="00FD1D17"/>
    <w:rsid w:val="00FD1E3F"/>
    <w:rsid w:val="00FD1E41"/>
    <w:rsid w:val="00FD1ED0"/>
    <w:rsid w:val="00FD20FA"/>
    <w:rsid w:val="00FD2B5C"/>
    <w:rsid w:val="00FD31E7"/>
    <w:rsid w:val="00FD33DD"/>
    <w:rsid w:val="00FD3509"/>
    <w:rsid w:val="00FD3775"/>
    <w:rsid w:val="00FD3B1D"/>
    <w:rsid w:val="00FD3D78"/>
    <w:rsid w:val="00FD4377"/>
    <w:rsid w:val="00FD449E"/>
    <w:rsid w:val="00FD480F"/>
    <w:rsid w:val="00FD48B1"/>
    <w:rsid w:val="00FD4950"/>
    <w:rsid w:val="00FD4E2D"/>
    <w:rsid w:val="00FD4E77"/>
    <w:rsid w:val="00FD53D7"/>
    <w:rsid w:val="00FD5515"/>
    <w:rsid w:val="00FD57CE"/>
    <w:rsid w:val="00FD59A3"/>
    <w:rsid w:val="00FD5A8F"/>
    <w:rsid w:val="00FD5C37"/>
    <w:rsid w:val="00FD5E41"/>
    <w:rsid w:val="00FD60EA"/>
    <w:rsid w:val="00FD61ED"/>
    <w:rsid w:val="00FD6258"/>
    <w:rsid w:val="00FD6281"/>
    <w:rsid w:val="00FD64C5"/>
    <w:rsid w:val="00FD655A"/>
    <w:rsid w:val="00FD6A34"/>
    <w:rsid w:val="00FD6C87"/>
    <w:rsid w:val="00FD7106"/>
    <w:rsid w:val="00FD72C2"/>
    <w:rsid w:val="00FD737C"/>
    <w:rsid w:val="00FD7394"/>
    <w:rsid w:val="00FD744A"/>
    <w:rsid w:val="00FD775D"/>
    <w:rsid w:val="00FD7956"/>
    <w:rsid w:val="00FD7C57"/>
    <w:rsid w:val="00FE0035"/>
    <w:rsid w:val="00FE00F7"/>
    <w:rsid w:val="00FE0330"/>
    <w:rsid w:val="00FE0709"/>
    <w:rsid w:val="00FE0CF1"/>
    <w:rsid w:val="00FE0D4B"/>
    <w:rsid w:val="00FE1150"/>
    <w:rsid w:val="00FE11F7"/>
    <w:rsid w:val="00FE126B"/>
    <w:rsid w:val="00FE1330"/>
    <w:rsid w:val="00FE15F7"/>
    <w:rsid w:val="00FE184A"/>
    <w:rsid w:val="00FE1881"/>
    <w:rsid w:val="00FE18D8"/>
    <w:rsid w:val="00FE21A8"/>
    <w:rsid w:val="00FE22E2"/>
    <w:rsid w:val="00FE243D"/>
    <w:rsid w:val="00FE249F"/>
    <w:rsid w:val="00FE26F2"/>
    <w:rsid w:val="00FE283F"/>
    <w:rsid w:val="00FE2A3B"/>
    <w:rsid w:val="00FE31F9"/>
    <w:rsid w:val="00FE33BB"/>
    <w:rsid w:val="00FE3594"/>
    <w:rsid w:val="00FE38C1"/>
    <w:rsid w:val="00FE3ECB"/>
    <w:rsid w:val="00FE4100"/>
    <w:rsid w:val="00FE4344"/>
    <w:rsid w:val="00FE4468"/>
    <w:rsid w:val="00FE4763"/>
    <w:rsid w:val="00FE47E5"/>
    <w:rsid w:val="00FE4832"/>
    <w:rsid w:val="00FE488A"/>
    <w:rsid w:val="00FE4BDE"/>
    <w:rsid w:val="00FE50B2"/>
    <w:rsid w:val="00FE515D"/>
    <w:rsid w:val="00FE52D6"/>
    <w:rsid w:val="00FE5A94"/>
    <w:rsid w:val="00FE5BCC"/>
    <w:rsid w:val="00FE5C3C"/>
    <w:rsid w:val="00FE5ED9"/>
    <w:rsid w:val="00FE5F20"/>
    <w:rsid w:val="00FE5FEB"/>
    <w:rsid w:val="00FE61AF"/>
    <w:rsid w:val="00FE62D9"/>
    <w:rsid w:val="00FE6A85"/>
    <w:rsid w:val="00FE6B67"/>
    <w:rsid w:val="00FE6BD8"/>
    <w:rsid w:val="00FE6CC6"/>
    <w:rsid w:val="00FE6CFE"/>
    <w:rsid w:val="00FE6D5B"/>
    <w:rsid w:val="00FE6E1A"/>
    <w:rsid w:val="00FE6E6C"/>
    <w:rsid w:val="00FE702C"/>
    <w:rsid w:val="00FE72BA"/>
    <w:rsid w:val="00FE73E5"/>
    <w:rsid w:val="00FE7495"/>
    <w:rsid w:val="00FE75B4"/>
    <w:rsid w:val="00FE76CB"/>
    <w:rsid w:val="00FE7902"/>
    <w:rsid w:val="00FE7A04"/>
    <w:rsid w:val="00FE7F02"/>
    <w:rsid w:val="00FF023F"/>
    <w:rsid w:val="00FF0268"/>
    <w:rsid w:val="00FF077F"/>
    <w:rsid w:val="00FF0850"/>
    <w:rsid w:val="00FF0A34"/>
    <w:rsid w:val="00FF0AE9"/>
    <w:rsid w:val="00FF0B50"/>
    <w:rsid w:val="00FF0BC7"/>
    <w:rsid w:val="00FF0C32"/>
    <w:rsid w:val="00FF0C8E"/>
    <w:rsid w:val="00FF0EB7"/>
    <w:rsid w:val="00FF0F20"/>
    <w:rsid w:val="00FF157B"/>
    <w:rsid w:val="00FF193A"/>
    <w:rsid w:val="00FF1ACB"/>
    <w:rsid w:val="00FF1B6A"/>
    <w:rsid w:val="00FF1E0B"/>
    <w:rsid w:val="00FF20CC"/>
    <w:rsid w:val="00FF24FE"/>
    <w:rsid w:val="00FF29A4"/>
    <w:rsid w:val="00FF2A3B"/>
    <w:rsid w:val="00FF2BF0"/>
    <w:rsid w:val="00FF2E4B"/>
    <w:rsid w:val="00FF2FA9"/>
    <w:rsid w:val="00FF30D6"/>
    <w:rsid w:val="00FF3166"/>
    <w:rsid w:val="00FF32C6"/>
    <w:rsid w:val="00FF36CF"/>
    <w:rsid w:val="00FF370F"/>
    <w:rsid w:val="00FF3731"/>
    <w:rsid w:val="00FF3959"/>
    <w:rsid w:val="00FF3B11"/>
    <w:rsid w:val="00FF471F"/>
    <w:rsid w:val="00FF47ED"/>
    <w:rsid w:val="00FF484F"/>
    <w:rsid w:val="00FF4938"/>
    <w:rsid w:val="00FF4AC5"/>
    <w:rsid w:val="00FF4AEA"/>
    <w:rsid w:val="00FF4D04"/>
    <w:rsid w:val="00FF4DE7"/>
    <w:rsid w:val="00FF4E50"/>
    <w:rsid w:val="00FF5198"/>
    <w:rsid w:val="00FF5958"/>
    <w:rsid w:val="00FF59FE"/>
    <w:rsid w:val="00FF5A7B"/>
    <w:rsid w:val="00FF5C57"/>
    <w:rsid w:val="00FF5DFD"/>
    <w:rsid w:val="00FF5F4B"/>
    <w:rsid w:val="00FF6037"/>
    <w:rsid w:val="00FF639F"/>
    <w:rsid w:val="00FF63D8"/>
    <w:rsid w:val="00FF66ED"/>
    <w:rsid w:val="00FF6885"/>
    <w:rsid w:val="00FF6B63"/>
    <w:rsid w:val="00FF6E09"/>
    <w:rsid w:val="00FF6EC4"/>
    <w:rsid w:val="00FF701B"/>
    <w:rsid w:val="00FF7048"/>
    <w:rsid w:val="00FF72DA"/>
    <w:rsid w:val="00FF734E"/>
    <w:rsid w:val="00FF7425"/>
    <w:rsid w:val="00FF748B"/>
    <w:rsid w:val="00FF7597"/>
    <w:rsid w:val="00FF7813"/>
    <w:rsid w:val="00FF7EC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8B0952"/>
  <w14:defaultImageDpi w14:val="32767"/>
  <w15:docId w15:val="{BA0C5C52-E936-4D92-8EF8-6C8BF6014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02C"/>
    <w:rPr>
      <w:rFonts w:eastAsia="Times New Roman"/>
      <w:lang w:val="en-CA"/>
    </w:rPr>
  </w:style>
  <w:style w:type="paragraph" w:styleId="Heading1">
    <w:name w:val="heading 1"/>
    <w:basedOn w:val="Normal"/>
    <w:link w:val="Heading1Char"/>
    <w:uiPriority w:val="9"/>
    <w:qFormat/>
    <w:rsid w:val="00FB5DBC"/>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B45F8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74B1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s,Footnote Text Char2 Char,Footnote Text Char Char1 Char,Footnote Text Char2 Char Char Char,Footnote Text Char1 Char Char Char Char,Footnote Text Char Char Char Char Char Char,Fußnotentext RAXEN,footnotes Char,fn,Footnote,5_G,Char"/>
    <w:basedOn w:val="Normal"/>
    <w:link w:val="FootnoteTextChar"/>
    <w:uiPriority w:val="99"/>
    <w:unhideWhenUsed/>
    <w:rsid w:val="00F63F24"/>
    <w:rPr>
      <w:sz w:val="20"/>
      <w:szCs w:val="20"/>
    </w:rPr>
  </w:style>
  <w:style w:type="character" w:customStyle="1" w:styleId="FootnoteTextChar">
    <w:name w:val="Footnote Text Char"/>
    <w:aliases w:val="footnotes Char1,Footnote Text Char2 Char Char,Footnote Text Char Char1 Char Char,Footnote Text Char2 Char Char Char Char,Footnote Text Char1 Char Char Char Char Char,Footnote Text Char Char Char Char Char Char Char,footnotes Char Char"/>
    <w:basedOn w:val="DefaultParagraphFont"/>
    <w:link w:val="FootnoteText"/>
    <w:uiPriority w:val="99"/>
    <w:rsid w:val="00F63F24"/>
    <w:rPr>
      <w:sz w:val="20"/>
      <w:szCs w:val="20"/>
    </w:rPr>
  </w:style>
  <w:style w:type="character" w:styleId="FootnoteReference">
    <w:name w:val="footnote reference"/>
    <w:aliases w:val="Footnote Refernece,Footnote Refernece + (Latein) Arial,10 pt,Blau,Footnote symbol,Footnote reference number,note TESI,nota pié di pagina,Footnote Reference Superscript,Footnotes refss,Appel note de bas de p.,callout,4_G,BVI fnr,FR,Re"/>
    <w:basedOn w:val="DefaultParagraphFont"/>
    <w:uiPriority w:val="99"/>
    <w:unhideWhenUsed/>
    <w:qFormat/>
    <w:rsid w:val="00F63F24"/>
    <w:rPr>
      <w:vertAlign w:val="superscript"/>
    </w:rPr>
  </w:style>
  <w:style w:type="paragraph" w:styleId="NormalWeb">
    <w:name w:val="Normal (Web)"/>
    <w:basedOn w:val="Normal"/>
    <w:uiPriority w:val="99"/>
    <w:unhideWhenUsed/>
    <w:rsid w:val="00EA60BA"/>
    <w:pPr>
      <w:spacing w:before="100" w:beforeAutospacing="1" w:after="100" w:afterAutospacing="1"/>
    </w:pPr>
  </w:style>
  <w:style w:type="paragraph" w:styleId="ListParagraph">
    <w:name w:val="List Paragraph"/>
    <w:basedOn w:val="Normal"/>
    <w:uiPriority w:val="34"/>
    <w:qFormat/>
    <w:rsid w:val="0072529D"/>
    <w:pPr>
      <w:spacing w:after="160" w:line="259" w:lineRule="auto"/>
      <w:ind w:left="720"/>
      <w:contextualSpacing/>
    </w:pPr>
    <w:rPr>
      <w:rFonts w:asciiTheme="minorHAnsi" w:hAnsiTheme="minorHAnsi" w:cstheme="minorBidi"/>
      <w:sz w:val="22"/>
      <w:szCs w:val="22"/>
      <w:lang w:bidi="he-IL"/>
    </w:rPr>
  </w:style>
  <w:style w:type="paragraph" w:styleId="EndnoteText">
    <w:name w:val="endnote text"/>
    <w:basedOn w:val="Normal"/>
    <w:link w:val="EndnoteTextChar"/>
    <w:uiPriority w:val="99"/>
    <w:semiHidden/>
    <w:unhideWhenUsed/>
    <w:rsid w:val="004E12DC"/>
    <w:rPr>
      <w:sz w:val="20"/>
      <w:szCs w:val="20"/>
    </w:rPr>
  </w:style>
  <w:style w:type="character" w:customStyle="1" w:styleId="EndnoteTextChar">
    <w:name w:val="Endnote Text Char"/>
    <w:basedOn w:val="DefaultParagraphFont"/>
    <w:link w:val="EndnoteText"/>
    <w:uiPriority w:val="99"/>
    <w:semiHidden/>
    <w:rsid w:val="004E12DC"/>
    <w:rPr>
      <w:sz w:val="20"/>
      <w:szCs w:val="20"/>
    </w:rPr>
  </w:style>
  <w:style w:type="character" w:styleId="EndnoteReference">
    <w:name w:val="endnote reference"/>
    <w:basedOn w:val="DefaultParagraphFont"/>
    <w:uiPriority w:val="99"/>
    <w:semiHidden/>
    <w:unhideWhenUsed/>
    <w:rsid w:val="004E12DC"/>
    <w:rPr>
      <w:vertAlign w:val="superscript"/>
    </w:rPr>
  </w:style>
  <w:style w:type="character" w:styleId="Hyperlink">
    <w:name w:val="Hyperlink"/>
    <w:basedOn w:val="DefaultParagraphFont"/>
    <w:uiPriority w:val="99"/>
    <w:unhideWhenUsed/>
    <w:rsid w:val="00DD008F"/>
    <w:rPr>
      <w:color w:val="0563C1" w:themeColor="hyperlink"/>
      <w:u w:val="single"/>
    </w:rPr>
  </w:style>
  <w:style w:type="character" w:customStyle="1" w:styleId="UnresolvedMention">
    <w:name w:val="Unresolved Mention"/>
    <w:basedOn w:val="DefaultParagraphFont"/>
    <w:uiPriority w:val="99"/>
    <w:rsid w:val="00DD008F"/>
    <w:rPr>
      <w:color w:val="605E5C"/>
      <w:shd w:val="clear" w:color="auto" w:fill="E1DFDD"/>
    </w:rPr>
  </w:style>
  <w:style w:type="paragraph" w:customStyle="1" w:styleId="MediumGrid21">
    <w:name w:val="Medium Grid 21"/>
    <w:rsid w:val="0003200A"/>
    <w:pPr>
      <w:suppressAutoHyphens/>
    </w:pPr>
    <w:rPr>
      <w:rFonts w:ascii="Calibri" w:eastAsia="Arial" w:hAnsi="Calibri" w:cs="Calibri"/>
      <w:sz w:val="22"/>
      <w:szCs w:val="22"/>
      <w:lang w:eastAsia="zh-CN"/>
    </w:rPr>
  </w:style>
  <w:style w:type="character" w:customStyle="1" w:styleId="Heading1Char">
    <w:name w:val="Heading 1 Char"/>
    <w:basedOn w:val="DefaultParagraphFont"/>
    <w:link w:val="Heading1"/>
    <w:uiPriority w:val="9"/>
    <w:rsid w:val="00FB5DBC"/>
    <w:rPr>
      <w:rFonts w:eastAsia="Times New Roman"/>
      <w:b/>
      <w:bCs/>
      <w:kern w:val="36"/>
      <w:sz w:val="48"/>
      <w:szCs w:val="48"/>
      <w:lang w:val="en-CA"/>
    </w:rPr>
  </w:style>
  <w:style w:type="character" w:customStyle="1" w:styleId="addmd">
    <w:name w:val="addmd"/>
    <w:basedOn w:val="DefaultParagraphFont"/>
    <w:rsid w:val="00FB5DBC"/>
  </w:style>
  <w:style w:type="character" w:customStyle="1" w:styleId="apple-converted-space">
    <w:name w:val="apple-converted-space"/>
    <w:basedOn w:val="DefaultParagraphFont"/>
    <w:rsid w:val="00CF0ABB"/>
  </w:style>
  <w:style w:type="paragraph" w:styleId="Title">
    <w:name w:val="Title"/>
    <w:basedOn w:val="Normal"/>
    <w:next w:val="Normal"/>
    <w:link w:val="TitleChar"/>
    <w:uiPriority w:val="10"/>
    <w:qFormat/>
    <w:rsid w:val="001D7B93"/>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1D7B93"/>
    <w:rPr>
      <w:rFonts w:asciiTheme="majorHAnsi" w:eastAsiaTheme="majorEastAsia" w:hAnsiTheme="majorHAnsi" w:cstheme="majorBidi"/>
      <w:color w:val="323E4F" w:themeColor="text2" w:themeShade="BF"/>
      <w:spacing w:val="5"/>
      <w:kern w:val="28"/>
      <w:sz w:val="52"/>
      <w:szCs w:val="52"/>
      <w:lang w:val="en-CA"/>
    </w:rPr>
  </w:style>
  <w:style w:type="character" w:styleId="Emphasis">
    <w:name w:val="Emphasis"/>
    <w:basedOn w:val="DefaultParagraphFont"/>
    <w:uiPriority w:val="20"/>
    <w:qFormat/>
    <w:rsid w:val="00891BC9"/>
    <w:rPr>
      <w:i/>
      <w:iCs/>
    </w:rPr>
  </w:style>
  <w:style w:type="character" w:customStyle="1" w:styleId="citationref">
    <w:name w:val="citationref"/>
    <w:basedOn w:val="DefaultParagraphFont"/>
    <w:rsid w:val="0034336C"/>
  </w:style>
  <w:style w:type="paragraph" w:customStyle="1" w:styleId="Normal1">
    <w:name w:val="Normal1"/>
    <w:rsid w:val="00F22D3D"/>
    <w:pPr>
      <w:spacing w:line="276" w:lineRule="auto"/>
    </w:pPr>
    <w:rPr>
      <w:rFonts w:ascii="Arial" w:eastAsia="Arial" w:hAnsi="Arial" w:cs="Arial"/>
      <w:sz w:val="22"/>
      <w:szCs w:val="22"/>
      <w:lang w:val="en-CA" w:eastAsia="hu-HU"/>
    </w:rPr>
  </w:style>
  <w:style w:type="character" w:customStyle="1" w:styleId="Heading3Char">
    <w:name w:val="Heading 3 Char"/>
    <w:basedOn w:val="DefaultParagraphFont"/>
    <w:link w:val="Heading3"/>
    <w:uiPriority w:val="9"/>
    <w:rsid w:val="00B74B10"/>
    <w:rPr>
      <w:rFonts w:asciiTheme="majorHAnsi" w:eastAsiaTheme="majorEastAsia" w:hAnsiTheme="majorHAnsi" w:cstheme="majorBidi"/>
      <w:color w:val="1F3763" w:themeColor="accent1" w:themeShade="7F"/>
    </w:rPr>
  </w:style>
  <w:style w:type="paragraph" w:customStyle="1" w:styleId="Abraca2">
    <w:name w:val="Abraca2"/>
    <w:basedOn w:val="Normal"/>
    <w:link w:val="Abraca2Char"/>
    <w:qFormat/>
    <w:rsid w:val="002E32C4"/>
    <w:pPr>
      <w:spacing w:before="240" w:line="360" w:lineRule="auto"/>
    </w:pPr>
    <w:rPr>
      <w:sz w:val="22"/>
      <w:lang w:val="en-GB" w:eastAsia="en-GB"/>
    </w:rPr>
  </w:style>
  <w:style w:type="character" w:customStyle="1" w:styleId="Abraca2Char">
    <w:name w:val="Abraca2 Char"/>
    <w:basedOn w:val="DefaultParagraphFont"/>
    <w:link w:val="Abraca2"/>
    <w:rsid w:val="002E32C4"/>
    <w:rPr>
      <w:rFonts w:eastAsia="Times New Roman"/>
      <w:sz w:val="22"/>
      <w:lang w:val="en-GB" w:eastAsia="en-GB"/>
    </w:rPr>
  </w:style>
  <w:style w:type="character" w:customStyle="1" w:styleId="apple-style-span">
    <w:name w:val="apple-style-span"/>
    <w:basedOn w:val="DefaultParagraphFont"/>
    <w:rsid w:val="0038782A"/>
  </w:style>
  <w:style w:type="paragraph" w:styleId="Header">
    <w:name w:val="header"/>
    <w:basedOn w:val="Normal"/>
    <w:link w:val="HeaderChar"/>
    <w:uiPriority w:val="99"/>
    <w:unhideWhenUsed/>
    <w:rsid w:val="00E027D3"/>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E027D3"/>
    <w:rPr>
      <w:rFonts w:asciiTheme="minorHAnsi" w:eastAsiaTheme="minorEastAsia" w:hAnsiTheme="minorHAnsi" w:cstheme="minorBidi"/>
    </w:rPr>
  </w:style>
  <w:style w:type="paragraph" w:styleId="Footer">
    <w:name w:val="footer"/>
    <w:basedOn w:val="Normal"/>
    <w:link w:val="FooterChar"/>
    <w:uiPriority w:val="99"/>
    <w:unhideWhenUsed/>
    <w:rsid w:val="00394A98"/>
    <w:pPr>
      <w:tabs>
        <w:tab w:val="center" w:pos="4680"/>
        <w:tab w:val="right" w:pos="9360"/>
      </w:tabs>
    </w:pPr>
  </w:style>
  <w:style w:type="character" w:customStyle="1" w:styleId="FooterChar">
    <w:name w:val="Footer Char"/>
    <w:basedOn w:val="DefaultParagraphFont"/>
    <w:link w:val="Footer"/>
    <w:uiPriority w:val="99"/>
    <w:rsid w:val="00394A98"/>
  </w:style>
  <w:style w:type="paragraph" w:customStyle="1" w:styleId="HChG">
    <w:name w:val="_ H _Ch_G"/>
    <w:basedOn w:val="Normal"/>
    <w:next w:val="Normal"/>
    <w:qFormat/>
    <w:rsid w:val="00C86360"/>
    <w:pPr>
      <w:keepNext/>
      <w:keepLines/>
      <w:tabs>
        <w:tab w:val="right" w:pos="851"/>
      </w:tabs>
      <w:suppressAutoHyphens/>
      <w:kinsoku w:val="0"/>
      <w:overflowPunct w:val="0"/>
      <w:autoSpaceDE w:val="0"/>
      <w:autoSpaceDN w:val="0"/>
      <w:adjustRightInd w:val="0"/>
      <w:snapToGrid w:val="0"/>
      <w:spacing w:before="360" w:after="240" w:line="300" w:lineRule="exact"/>
      <w:ind w:left="1134" w:right="1134" w:hanging="1134"/>
    </w:pPr>
    <w:rPr>
      <w:b/>
      <w:sz w:val="28"/>
      <w:szCs w:val="20"/>
      <w:lang w:val="en-GB"/>
    </w:rPr>
  </w:style>
  <w:style w:type="paragraph" w:customStyle="1" w:styleId="H23G">
    <w:name w:val="_ H_2/3_G"/>
    <w:basedOn w:val="Normal"/>
    <w:next w:val="Normal"/>
    <w:qFormat/>
    <w:rsid w:val="00C86360"/>
    <w:pPr>
      <w:keepNext/>
      <w:keepLines/>
      <w:tabs>
        <w:tab w:val="right" w:pos="851"/>
      </w:tabs>
      <w:suppressAutoHyphens/>
      <w:kinsoku w:val="0"/>
      <w:overflowPunct w:val="0"/>
      <w:autoSpaceDE w:val="0"/>
      <w:autoSpaceDN w:val="0"/>
      <w:adjustRightInd w:val="0"/>
      <w:snapToGrid w:val="0"/>
      <w:spacing w:before="240" w:after="120" w:line="240" w:lineRule="exact"/>
      <w:ind w:left="1134" w:right="1134" w:hanging="1134"/>
    </w:pPr>
    <w:rPr>
      <w:b/>
      <w:sz w:val="20"/>
      <w:szCs w:val="20"/>
      <w:lang w:val="en-GB"/>
    </w:rPr>
  </w:style>
  <w:style w:type="paragraph" w:styleId="TOCHeading">
    <w:name w:val="TOC Heading"/>
    <w:basedOn w:val="Heading1"/>
    <w:next w:val="Normal"/>
    <w:uiPriority w:val="39"/>
    <w:unhideWhenUsed/>
    <w:qFormat/>
    <w:rsid w:val="00391645"/>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val="en-US"/>
    </w:rPr>
  </w:style>
  <w:style w:type="paragraph" w:styleId="TOC1">
    <w:name w:val="toc 1"/>
    <w:basedOn w:val="Normal"/>
    <w:next w:val="Normal"/>
    <w:autoRedefine/>
    <w:uiPriority w:val="39"/>
    <w:unhideWhenUsed/>
    <w:rsid w:val="00391645"/>
    <w:pPr>
      <w:spacing w:before="120"/>
    </w:pPr>
    <w:rPr>
      <w:rFonts w:asciiTheme="minorHAnsi" w:hAnsiTheme="minorHAnsi"/>
      <w:b/>
      <w:bCs/>
      <w:i/>
      <w:iCs/>
    </w:rPr>
  </w:style>
  <w:style w:type="paragraph" w:styleId="TOC3">
    <w:name w:val="toc 3"/>
    <w:basedOn w:val="Normal"/>
    <w:next w:val="Normal"/>
    <w:autoRedefine/>
    <w:uiPriority w:val="39"/>
    <w:unhideWhenUsed/>
    <w:rsid w:val="00391645"/>
    <w:pPr>
      <w:ind w:left="480"/>
    </w:pPr>
    <w:rPr>
      <w:rFonts w:asciiTheme="minorHAnsi" w:hAnsiTheme="minorHAnsi"/>
      <w:sz w:val="20"/>
      <w:szCs w:val="20"/>
    </w:rPr>
  </w:style>
  <w:style w:type="paragraph" w:styleId="TOC2">
    <w:name w:val="toc 2"/>
    <w:basedOn w:val="Normal"/>
    <w:next w:val="Normal"/>
    <w:autoRedefine/>
    <w:uiPriority w:val="39"/>
    <w:unhideWhenUsed/>
    <w:rsid w:val="00391645"/>
    <w:pPr>
      <w:spacing w:before="120"/>
      <w:ind w:left="240"/>
    </w:pPr>
    <w:rPr>
      <w:rFonts w:asciiTheme="minorHAnsi" w:hAnsiTheme="minorHAnsi"/>
      <w:b/>
      <w:bCs/>
      <w:sz w:val="22"/>
      <w:szCs w:val="22"/>
    </w:rPr>
  </w:style>
  <w:style w:type="paragraph" w:styleId="TOC4">
    <w:name w:val="toc 4"/>
    <w:basedOn w:val="Normal"/>
    <w:next w:val="Normal"/>
    <w:autoRedefine/>
    <w:uiPriority w:val="39"/>
    <w:semiHidden/>
    <w:unhideWhenUsed/>
    <w:rsid w:val="00391645"/>
    <w:pPr>
      <w:ind w:left="720"/>
    </w:pPr>
    <w:rPr>
      <w:rFonts w:asciiTheme="minorHAnsi" w:hAnsiTheme="minorHAnsi"/>
      <w:sz w:val="20"/>
      <w:szCs w:val="20"/>
    </w:rPr>
  </w:style>
  <w:style w:type="paragraph" w:styleId="TOC5">
    <w:name w:val="toc 5"/>
    <w:basedOn w:val="Normal"/>
    <w:next w:val="Normal"/>
    <w:autoRedefine/>
    <w:uiPriority w:val="39"/>
    <w:semiHidden/>
    <w:unhideWhenUsed/>
    <w:rsid w:val="00391645"/>
    <w:pPr>
      <w:ind w:left="960"/>
    </w:pPr>
    <w:rPr>
      <w:rFonts w:asciiTheme="minorHAnsi" w:hAnsiTheme="minorHAnsi"/>
      <w:sz w:val="20"/>
      <w:szCs w:val="20"/>
    </w:rPr>
  </w:style>
  <w:style w:type="paragraph" w:styleId="TOC6">
    <w:name w:val="toc 6"/>
    <w:basedOn w:val="Normal"/>
    <w:next w:val="Normal"/>
    <w:autoRedefine/>
    <w:uiPriority w:val="39"/>
    <w:semiHidden/>
    <w:unhideWhenUsed/>
    <w:rsid w:val="00391645"/>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391645"/>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391645"/>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391645"/>
    <w:pPr>
      <w:ind w:left="1920"/>
    </w:pPr>
    <w:rPr>
      <w:rFonts w:asciiTheme="minorHAnsi" w:hAnsiTheme="minorHAnsi"/>
      <w:sz w:val="20"/>
      <w:szCs w:val="20"/>
    </w:rPr>
  </w:style>
  <w:style w:type="character" w:customStyle="1" w:styleId="Heading2Char">
    <w:name w:val="Heading 2 Char"/>
    <w:basedOn w:val="DefaultParagraphFont"/>
    <w:link w:val="Heading2"/>
    <w:uiPriority w:val="9"/>
    <w:rsid w:val="00B45F8E"/>
    <w:rPr>
      <w:rFonts w:asciiTheme="majorHAnsi" w:eastAsiaTheme="majorEastAsia" w:hAnsiTheme="majorHAnsi" w:cstheme="majorBidi"/>
      <w:color w:val="2F5496" w:themeColor="accent1" w:themeShade="BF"/>
      <w:sz w:val="26"/>
      <w:szCs w:val="26"/>
    </w:rPr>
  </w:style>
  <w:style w:type="character" w:styleId="PageNumber">
    <w:name w:val="page number"/>
    <w:basedOn w:val="DefaultParagraphFont"/>
    <w:uiPriority w:val="99"/>
    <w:semiHidden/>
    <w:unhideWhenUsed/>
    <w:rsid w:val="00163785"/>
  </w:style>
  <w:style w:type="character" w:styleId="FollowedHyperlink">
    <w:name w:val="FollowedHyperlink"/>
    <w:basedOn w:val="DefaultParagraphFont"/>
    <w:uiPriority w:val="99"/>
    <w:semiHidden/>
    <w:unhideWhenUsed/>
    <w:rsid w:val="00FD4E77"/>
    <w:rPr>
      <w:color w:val="954F72" w:themeColor="followedHyperlink"/>
      <w:u w:val="single"/>
    </w:rPr>
  </w:style>
  <w:style w:type="character" w:customStyle="1" w:styleId="author-box-name">
    <w:name w:val="author-box-name"/>
    <w:basedOn w:val="DefaultParagraphFont"/>
    <w:rsid w:val="00D108FC"/>
  </w:style>
  <w:style w:type="paragraph" w:styleId="BalloonText">
    <w:name w:val="Balloon Text"/>
    <w:basedOn w:val="Normal"/>
    <w:link w:val="BalloonTextChar"/>
    <w:uiPriority w:val="99"/>
    <w:semiHidden/>
    <w:unhideWhenUsed/>
    <w:rsid w:val="002774A4"/>
    <w:rPr>
      <w:rFonts w:ascii="Tahoma" w:hAnsi="Tahoma" w:cs="Tahoma"/>
      <w:sz w:val="16"/>
      <w:szCs w:val="16"/>
    </w:rPr>
  </w:style>
  <w:style w:type="character" w:customStyle="1" w:styleId="BalloonTextChar">
    <w:name w:val="Balloon Text Char"/>
    <w:basedOn w:val="DefaultParagraphFont"/>
    <w:link w:val="BalloonText"/>
    <w:uiPriority w:val="99"/>
    <w:semiHidden/>
    <w:rsid w:val="002774A4"/>
    <w:rPr>
      <w:rFonts w:ascii="Tahoma" w:eastAsia="Times New Roman" w:hAnsi="Tahoma" w:cs="Tahoma"/>
      <w:sz w:val="16"/>
      <w:szCs w:val="16"/>
      <w:lang w:val="en-CA"/>
    </w:rPr>
  </w:style>
  <w:style w:type="character" w:styleId="CommentReference">
    <w:name w:val="annotation reference"/>
    <w:basedOn w:val="DefaultParagraphFont"/>
    <w:uiPriority w:val="99"/>
    <w:semiHidden/>
    <w:unhideWhenUsed/>
    <w:rsid w:val="002774A4"/>
    <w:rPr>
      <w:sz w:val="16"/>
      <w:szCs w:val="16"/>
    </w:rPr>
  </w:style>
  <w:style w:type="paragraph" w:styleId="CommentText">
    <w:name w:val="annotation text"/>
    <w:basedOn w:val="Normal"/>
    <w:link w:val="CommentTextChar"/>
    <w:uiPriority w:val="99"/>
    <w:semiHidden/>
    <w:unhideWhenUsed/>
    <w:rsid w:val="002774A4"/>
    <w:rPr>
      <w:sz w:val="20"/>
      <w:szCs w:val="20"/>
    </w:rPr>
  </w:style>
  <w:style w:type="character" w:customStyle="1" w:styleId="CommentTextChar">
    <w:name w:val="Comment Text Char"/>
    <w:basedOn w:val="DefaultParagraphFont"/>
    <w:link w:val="CommentText"/>
    <w:uiPriority w:val="99"/>
    <w:semiHidden/>
    <w:rsid w:val="002774A4"/>
    <w:rPr>
      <w:rFonts w:eastAsia="Times New Roman"/>
      <w:sz w:val="20"/>
      <w:szCs w:val="20"/>
      <w:lang w:val="en-CA"/>
    </w:rPr>
  </w:style>
  <w:style w:type="paragraph" w:styleId="CommentSubject">
    <w:name w:val="annotation subject"/>
    <w:basedOn w:val="CommentText"/>
    <w:next w:val="CommentText"/>
    <w:link w:val="CommentSubjectChar"/>
    <w:uiPriority w:val="99"/>
    <w:semiHidden/>
    <w:unhideWhenUsed/>
    <w:rsid w:val="002774A4"/>
    <w:rPr>
      <w:b/>
      <w:bCs/>
    </w:rPr>
  </w:style>
  <w:style w:type="character" w:customStyle="1" w:styleId="CommentSubjectChar">
    <w:name w:val="Comment Subject Char"/>
    <w:basedOn w:val="CommentTextChar"/>
    <w:link w:val="CommentSubject"/>
    <w:uiPriority w:val="99"/>
    <w:semiHidden/>
    <w:rsid w:val="002774A4"/>
    <w:rPr>
      <w:rFonts w:eastAsia="Times New Roman"/>
      <w:b/>
      <w:bCs/>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70072">
      <w:bodyDiv w:val="1"/>
      <w:marLeft w:val="0"/>
      <w:marRight w:val="0"/>
      <w:marTop w:val="0"/>
      <w:marBottom w:val="0"/>
      <w:divBdr>
        <w:top w:val="none" w:sz="0" w:space="0" w:color="auto"/>
        <w:left w:val="none" w:sz="0" w:space="0" w:color="auto"/>
        <w:bottom w:val="none" w:sz="0" w:space="0" w:color="auto"/>
        <w:right w:val="none" w:sz="0" w:space="0" w:color="auto"/>
      </w:divBdr>
    </w:div>
    <w:div w:id="39087312">
      <w:bodyDiv w:val="1"/>
      <w:marLeft w:val="0"/>
      <w:marRight w:val="0"/>
      <w:marTop w:val="0"/>
      <w:marBottom w:val="0"/>
      <w:divBdr>
        <w:top w:val="none" w:sz="0" w:space="0" w:color="auto"/>
        <w:left w:val="none" w:sz="0" w:space="0" w:color="auto"/>
        <w:bottom w:val="none" w:sz="0" w:space="0" w:color="auto"/>
        <w:right w:val="none" w:sz="0" w:space="0" w:color="auto"/>
      </w:divBdr>
    </w:div>
    <w:div w:id="88082474">
      <w:bodyDiv w:val="1"/>
      <w:marLeft w:val="0"/>
      <w:marRight w:val="0"/>
      <w:marTop w:val="0"/>
      <w:marBottom w:val="0"/>
      <w:divBdr>
        <w:top w:val="none" w:sz="0" w:space="0" w:color="auto"/>
        <w:left w:val="none" w:sz="0" w:space="0" w:color="auto"/>
        <w:bottom w:val="none" w:sz="0" w:space="0" w:color="auto"/>
        <w:right w:val="none" w:sz="0" w:space="0" w:color="auto"/>
      </w:divBdr>
    </w:div>
    <w:div w:id="130945321">
      <w:bodyDiv w:val="1"/>
      <w:marLeft w:val="0"/>
      <w:marRight w:val="0"/>
      <w:marTop w:val="0"/>
      <w:marBottom w:val="0"/>
      <w:divBdr>
        <w:top w:val="none" w:sz="0" w:space="0" w:color="auto"/>
        <w:left w:val="none" w:sz="0" w:space="0" w:color="auto"/>
        <w:bottom w:val="none" w:sz="0" w:space="0" w:color="auto"/>
        <w:right w:val="none" w:sz="0" w:space="0" w:color="auto"/>
      </w:divBdr>
    </w:div>
    <w:div w:id="132336760">
      <w:bodyDiv w:val="1"/>
      <w:marLeft w:val="0"/>
      <w:marRight w:val="0"/>
      <w:marTop w:val="0"/>
      <w:marBottom w:val="0"/>
      <w:divBdr>
        <w:top w:val="none" w:sz="0" w:space="0" w:color="auto"/>
        <w:left w:val="none" w:sz="0" w:space="0" w:color="auto"/>
        <w:bottom w:val="none" w:sz="0" w:space="0" w:color="auto"/>
        <w:right w:val="none" w:sz="0" w:space="0" w:color="auto"/>
      </w:divBdr>
      <w:divsChild>
        <w:div w:id="1458529394">
          <w:marLeft w:val="0"/>
          <w:marRight w:val="0"/>
          <w:marTop w:val="0"/>
          <w:marBottom w:val="0"/>
          <w:divBdr>
            <w:top w:val="none" w:sz="0" w:space="0" w:color="auto"/>
            <w:left w:val="none" w:sz="0" w:space="0" w:color="auto"/>
            <w:bottom w:val="none" w:sz="0" w:space="0" w:color="auto"/>
            <w:right w:val="none" w:sz="0" w:space="0" w:color="auto"/>
          </w:divBdr>
          <w:divsChild>
            <w:div w:id="1355888933">
              <w:marLeft w:val="0"/>
              <w:marRight w:val="0"/>
              <w:marTop w:val="0"/>
              <w:marBottom w:val="0"/>
              <w:divBdr>
                <w:top w:val="none" w:sz="0" w:space="0" w:color="auto"/>
                <w:left w:val="none" w:sz="0" w:space="0" w:color="auto"/>
                <w:bottom w:val="none" w:sz="0" w:space="0" w:color="auto"/>
                <w:right w:val="none" w:sz="0" w:space="0" w:color="auto"/>
              </w:divBdr>
              <w:divsChild>
                <w:div w:id="191843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11312">
      <w:bodyDiv w:val="1"/>
      <w:marLeft w:val="0"/>
      <w:marRight w:val="0"/>
      <w:marTop w:val="0"/>
      <w:marBottom w:val="0"/>
      <w:divBdr>
        <w:top w:val="none" w:sz="0" w:space="0" w:color="auto"/>
        <w:left w:val="none" w:sz="0" w:space="0" w:color="auto"/>
        <w:bottom w:val="none" w:sz="0" w:space="0" w:color="auto"/>
        <w:right w:val="none" w:sz="0" w:space="0" w:color="auto"/>
      </w:divBdr>
    </w:div>
    <w:div w:id="156531943">
      <w:bodyDiv w:val="1"/>
      <w:marLeft w:val="0"/>
      <w:marRight w:val="0"/>
      <w:marTop w:val="0"/>
      <w:marBottom w:val="0"/>
      <w:divBdr>
        <w:top w:val="none" w:sz="0" w:space="0" w:color="auto"/>
        <w:left w:val="none" w:sz="0" w:space="0" w:color="auto"/>
        <w:bottom w:val="none" w:sz="0" w:space="0" w:color="auto"/>
        <w:right w:val="none" w:sz="0" w:space="0" w:color="auto"/>
      </w:divBdr>
      <w:divsChild>
        <w:div w:id="1845702770">
          <w:marLeft w:val="0"/>
          <w:marRight w:val="0"/>
          <w:marTop w:val="0"/>
          <w:marBottom w:val="0"/>
          <w:divBdr>
            <w:top w:val="none" w:sz="0" w:space="0" w:color="auto"/>
            <w:left w:val="none" w:sz="0" w:space="0" w:color="auto"/>
            <w:bottom w:val="none" w:sz="0" w:space="0" w:color="auto"/>
            <w:right w:val="none" w:sz="0" w:space="0" w:color="auto"/>
          </w:divBdr>
          <w:divsChild>
            <w:div w:id="296883404">
              <w:marLeft w:val="0"/>
              <w:marRight w:val="0"/>
              <w:marTop w:val="0"/>
              <w:marBottom w:val="0"/>
              <w:divBdr>
                <w:top w:val="none" w:sz="0" w:space="0" w:color="auto"/>
                <w:left w:val="none" w:sz="0" w:space="0" w:color="auto"/>
                <w:bottom w:val="none" w:sz="0" w:space="0" w:color="auto"/>
                <w:right w:val="none" w:sz="0" w:space="0" w:color="auto"/>
              </w:divBdr>
              <w:divsChild>
                <w:div w:id="19168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33517">
      <w:bodyDiv w:val="1"/>
      <w:marLeft w:val="0"/>
      <w:marRight w:val="0"/>
      <w:marTop w:val="0"/>
      <w:marBottom w:val="0"/>
      <w:divBdr>
        <w:top w:val="none" w:sz="0" w:space="0" w:color="auto"/>
        <w:left w:val="none" w:sz="0" w:space="0" w:color="auto"/>
        <w:bottom w:val="none" w:sz="0" w:space="0" w:color="auto"/>
        <w:right w:val="none" w:sz="0" w:space="0" w:color="auto"/>
      </w:divBdr>
    </w:div>
    <w:div w:id="212545388">
      <w:bodyDiv w:val="1"/>
      <w:marLeft w:val="0"/>
      <w:marRight w:val="0"/>
      <w:marTop w:val="0"/>
      <w:marBottom w:val="0"/>
      <w:divBdr>
        <w:top w:val="none" w:sz="0" w:space="0" w:color="auto"/>
        <w:left w:val="none" w:sz="0" w:space="0" w:color="auto"/>
        <w:bottom w:val="none" w:sz="0" w:space="0" w:color="auto"/>
        <w:right w:val="none" w:sz="0" w:space="0" w:color="auto"/>
      </w:divBdr>
      <w:divsChild>
        <w:div w:id="1158572543">
          <w:marLeft w:val="0"/>
          <w:marRight w:val="0"/>
          <w:marTop w:val="0"/>
          <w:marBottom w:val="0"/>
          <w:divBdr>
            <w:top w:val="none" w:sz="0" w:space="0" w:color="auto"/>
            <w:left w:val="none" w:sz="0" w:space="0" w:color="auto"/>
            <w:bottom w:val="none" w:sz="0" w:space="0" w:color="auto"/>
            <w:right w:val="none" w:sz="0" w:space="0" w:color="auto"/>
          </w:divBdr>
          <w:divsChild>
            <w:div w:id="1140149539">
              <w:marLeft w:val="0"/>
              <w:marRight w:val="0"/>
              <w:marTop w:val="0"/>
              <w:marBottom w:val="0"/>
              <w:divBdr>
                <w:top w:val="none" w:sz="0" w:space="0" w:color="auto"/>
                <w:left w:val="none" w:sz="0" w:space="0" w:color="auto"/>
                <w:bottom w:val="none" w:sz="0" w:space="0" w:color="auto"/>
                <w:right w:val="none" w:sz="0" w:space="0" w:color="auto"/>
              </w:divBdr>
              <w:divsChild>
                <w:div w:id="5380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616141">
      <w:bodyDiv w:val="1"/>
      <w:marLeft w:val="0"/>
      <w:marRight w:val="0"/>
      <w:marTop w:val="0"/>
      <w:marBottom w:val="0"/>
      <w:divBdr>
        <w:top w:val="none" w:sz="0" w:space="0" w:color="auto"/>
        <w:left w:val="none" w:sz="0" w:space="0" w:color="auto"/>
        <w:bottom w:val="none" w:sz="0" w:space="0" w:color="auto"/>
        <w:right w:val="none" w:sz="0" w:space="0" w:color="auto"/>
      </w:divBdr>
    </w:div>
    <w:div w:id="342981160">
      <w:bodyDiv w:val="1"/>
      <w:marLeft w:val="0"/>
      <w:marRight w:val="0"/>
      <w:marTop w:val="0"/>
      <w:marBottom w:val="0"/>
      <w:divBdr>
        <w:top w:val="none" w:sz="0" w:space="0" w:color="auto"/>
        <w:left w:val="none" w:sz="0" w:space="0" w:color="auto"/>
        <w:bottom w:val="none" w:sz="0" w:space="0" w:color="auto"/>
        <w:right w:val="none" w:sz="0" w:space="0" w:color="auto"/>
      </w:divBdr>
      <w:divsChild>
        <w:div w:id="1475561037">
          <w:marLeft w:val="0"/>
          <w:marRight w:val="0"/>
          <w:marTop w:val="0"/>
          <w:marBottom w:val="0"/>
          <w:divBdr>
            <w:top w:val="none" w:sz="0" w:space="0" w:color="auto"/>
            <w:left w:val="none" w:sz="0" w:space="0" w:color="auto"/>
            <w:bottom w:val="none" w:sz="0" w:space="0" w:color="auto"/>
            <w:right w:val="none" w:sz="0" w:space="0" w:color="auto"/>
          </w:divBdr>
          <w:divsChild>
            <w:div w:id="1275593780">
              <w:marLeft w:val="0"/>
              <w:marRight w:val="0"/>
              <w:marTop w:val="0"/>
              <w:marBottom w:val="0"/>
              <w:divBdr>
                <w:top w:val="none" w:sz="0" w:space="0" w:color="auto"/>
                <w:left w:val="none" w:sz="0" w:space="0" w:color="auto"/>
                <w:bottom w:val="none" w:sz="0" w:space="0" w:color="auto"/>
                <w:right w:val="none" w:sz="0" w:space="0" w:color="auto"/>
              </w:divBdr>
              <w:divsChild>
                <w:div w:id="113648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281">
      <w:bodyDiv w:val="1"/>
      <w:marLeft w:val="0"/>
      <w:marRight w:val="0"/>
      <w:marTop w:val="0"/>
      <w:marBottom w:val="0"/>
      <w:divBdr>
        <w:top w:val="none" w:sz="0" w:space="0" w:color="auto"/>
        <w:left w:val="none" w:sz="0" w:space="0" w:color="auto"/>
        <w:bottom w:val="none" w:sz="0" w:space="0" w:color="auto"/>
        <w:right w:val="none" w:sz="0" w:space="0" w:color="auto"/>
      </w:divBdr>
      <w:divsChild>
        <w:div w:id="1822622410">
          <w:marLeft w:val="0"/>
          <w:marRight w:val="0"/>
          <w:marTop w:val="0"/>
          <w:marBottom w:val="0"/>
          <w:divBdr>
            <w:top w:val="none" w:sz="0" w:space="0" w:color="auto"/>
            <w:left w:val="none" w:sz="0" w:space="0" w:color="auto"/>
            <w:bottom w:val="none" w:sz="0" w:space="0" w:color="auto"/>
            <w:right w:val="none" w:sz="0" w:space="0" w:color="auto"/>
          </w:divBdr>
          <w:divsChild>
            <w:div w:id="428354466">
              <w:marLeft w:val="0"/>
              <w:marRight w:val="0"/>
              <w:marTop w:val="0"/>
              <w:marBottom w:val="0"/>
              <w:divBdr>
                <w:top w:val="none" w:sz="0" w:space="0" w:color="auto"/>
                <w:left w:val="none" w:sz="0" w:space="0" w:color="auto"/>
                <w:bottom w:val="none" w:sz="0" w:space="0" w:color="auto"/>
                <w:right w:val="none" w:sz="0" w:space="0" w:color="auto"/>
              </w:divBdr>
              <w:divsChild>
                <w:div w:id="1486125742">
                  <w:marLeft w:val="0"/>
                  <w:marRight w:val="0"/>
                  <w:marTop w:val="0"/>
                  <w:marBottom w:val="0"/>
                  <w:divBdr>
                    <w:top w:val="none" w:sz="0" w:space="0" w:color="auto"/>
                    <w:left w:val="none" w:sz="0" w:space="0" w:color="auto"/>
                    <w:bottom w:val="none" w:sz="0" w:space="0" w:color="auto"/>
                    <w:right w:val="none" w:sz="0" w:space="0" w:color="auto"/>
                  </w:divBdr>
                  <w:divsChild>
                    <w:div w:id="174818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997743">
      <w:bodyDiv w:val="1"/>
      <w:marLeft w:val="0"/>
      <w:marRight w:val="0"/>
      <w:marTop w:val="0"/>
      <w:marBottom w:val="0"/>
      <w:divBdr>
        <w:top w:val="none" w:sz="0" w:space="0" w:color="auto"/>
        <w:left w:val="none" w:sz="0" w:space="0" w:color="auto"/>
        <w:bottom w:val="none" w:sz="0" w:space="0" w:color="auto"/>
        <w:right w:val="none" w:sz="0" w:space="0" w:color="auto"/>
      </w:divBdr>
      <w:divsChild>
        <w:div w:id="1324698990">
          <w:marLeft w:val="0"/>
          <w:marRight w:val="0"/>
          <w:marTop w:val="0"/>
          <w:marBottom w:val="0"/>
          <w:divBdr>
            <w:top w:val="none" w:sz="0" w:space="0" w:color="auto"/>
            <w:left w:val="none" w:sz="0" w:space="0" w:color="auto"/>
            <w:bottom w:val="none" w:sz="0" w:space="0" w:color="auto"/>
            <w:right w:val="none" w:sz="0" w:space="0" w:color="auto"/>
          </w:divBdr>
          <w:divsChild>
            <w:div w:id="1097478530">
              <w:marLeft w:val="0"/>
              <w:marRight w:val="0"/>
              <w:marTop w:val="0"/>
              <w:marBottom w:val="0"/>
              <w:divBdr>
                <w:top w:val="none" w:sz="0" w:space="0" w:color="auto"/>
                <w:left w:val="none" w:sz="0" w:space="0" w:color="auto"/>
                <w:bottom w:val="none" w:sz="0" w:space="0" w:color="auto"/>
                <w:right w:val="none" w:sz="0" w:space="0" w:color="auto"/>
              </w:divBdr>
              <w:divsChild>
                <w:div w:id="96613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962346">
      <w:bodyDiv w:val="1"/>
      <w:marLeft w:val="0"/>
      <w:marRight w:val="0"/>
      <w:marTop w:val="0"/>
      <w:marBottom w:val="0"/>
      <w:divBdr>
        <w:top w:val="none" w:sz="0" w:space="0" w:color="auto"/>
        <w:left w:val="none" w:sz="0" w:space="0" w:color="auto"/>
        <w:bottom w:val="none" w:sz="0" w:space="0" w:color="auto"/>
        <w:right w:val="none" w:sz="0" w:space="0" w:color="auto"/>
      </w:divBdr>
      <w:divsChild>
        <w:div w:id="962466778">
          <w:marLeft w:val="0"/>
          <w:marRight w:val="0"/>
          <w:marTop w:val="0"/>
          <w:marBottom w:val="0"/>
          <w:divBdr>
            <w:top w:val="none" w:sz="0" w:space="0" w:color="auto"/>
            <w:left w:val="none" w:sz="0" w:space="0" w:color="auto"/>
            <w:bottom w:val="none" w:sz="0" w:space="0" w:color="auto"/>
            <w:right w:val="none" w:sz="0" w:space="0" w:color="auto"/>
          </w:divBdr>
          <w:divsChild>
            <w:div w:id="104926580">
              <w:marLeft w:val="0"/>
              <w:marRight w:val="0"/>
              <w:marTop w:val="0"/>
              <w:marBottom w:val="0"/>
              <w:divBdr>
                <w:top w:val="none" w:sz="0" w:space="0" w:color="auto"/>
                <w:left w:val="none" w:sz="0" w:space="0" w:color="auto"/>
                <w:bottom w:val="none" w:sz="0" w:space="0" w:color="auto"/>
                <w:right w:val="none" w:sz="0" w:space="0" w:color="auto"/>
              </w:divBdr>
              <w:divsChild>
                <w:div w:id="101426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502417">
      <w:bodyDiv w:val="1"/>
      <w:marLeft w:val="0"/>
      <w:marRight w:val="0"/>
      <w:marTop w:val="0"/>
      <w:marBottom w:val="0"/>
      <w:divBdr>
        <w:top w:val="none" w:sz="0" w:space="0" w:color="auto"/>
        <w:left w:val="none" w:sz="0" w:space="0" w:color="auto"/>
        <w:bottom w:val="none" w:sz="0" w:space="0" w:color="auto"/>
        <w:right w:val="none" w:sz="0" w:space="0" w:color="auto"/>
      </w:divBdr>
    </w:div>
    <w:div w:id="438722217">
      <w:bodyDiv w:val="1"/>
      <w:marLeft w:val="0"/>
      <w:marRight w:val="0"/>
      <w:marTop w:val="0"/>
      <w:marBottom w:val="0"/>
      <w:divBdr>
        <w:top w:val="none" w:sz="0" w:space="0" w:color="auto"/>
        <w:left w:val="none" w:sz="0" w:space="0" w:color="auto"/>
        <w:bottom w:val="none" w:sz="0" w:space="0" w:color="auto"/>
        <w:right w:val="none" w:sz="0" w:space="0" w:color="auto"/>
      </w:divBdr>
      <w:divsChild>
        <w:div w:id="482939432">
          <w:marLeft w:val="0"/>
          <w:marRight w:val="0"/>
          <w:marTop w:val="0"/>
          <w:marBottom w:val="0"/>
          <w:divBdr>
            <w:top w:val="none" w:sz="0" w:space="0" w:color="auto"/>
            <w:left w:val="none" w:sz="0" w:space="0" w:color="auto"/>
            <w:bottom w:val="none" w:sz="0" w:space="0" w:color="auto"/>
            <w:right w:val="none" w:sz="0" w:space="0" w:color="auto"/>
          </w:divBdr>
          <w:divsChild>
            <w:div w:id="875898173">
              <w:marLeft w:val="0"/>
              <w:marRight w:val="0"/>
              <w:marTop w:val="0"/>
              <w:marBottom w:val="0"/>
              <w:divBdr>
                <w:top w:val="none" w:sz="0" w:space="0" w:color="auto"/>
                <w:left w:val="none" w:sz="0" w:space="0" w:color="auto"/>
                <w:bottom w:val="none" w:sz="0" w:space="0" w:color="auto"/>
                <w:right w:val="none" w:sz="0" w:space="0" w:color="auto"/>
              </w:divBdr>
              <w:divsChild>
                <w:div w:id="212665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843833">
      <w:bodyDiv w:val="1"/>
      <w:marLeft w:val="0"/>
      <w:marRight w:val="0"/>
      <w:marTop w:val="0"/>
      <w:marBottom w:val="0"/>
      <w:divBdr>
        <w:top w:val="none" w:sz="0" w:space="0" w:color="auto"/>
        <w:left w:val="none" w:sz="0" w:space="0" w:color="auto"/>
        <w:bottom w:val="none" w:sz="0" w:space="0" w:color="auto"/>
        <w:right w:val="none" w:sz="0" w:space="0" w:color="auto"/>
      </w:divBdr>
      <w:divsChild>
        <w:div w:id="1316490011">
          <w:marLeft w:val="0"/>
          <w:marRight w:val="0"/>
          <w:marTop w:val="0"/>
          <w:marBottom w:val="0"/>
          <w:divBdr>
            <w:top w:val="none" w:sz="0" w:space="0" w:color="auto"/>
            <w:left w:val="none" w:sz="0" w:space="0" w:color="auto"/>
            <w:bottom w:val="none" w:sz="0" w:space="0" w:color="auto"/>
            <w:right w:val="none" w:sz="0" w:space="0" w:color="auto"/>
          </w:divBdr>
          <w:divsChild>
            <w:div w:id="1125392839">
              <w:marLeft w:val="0"/>
              <w:marRight w:val="0"/>
              <w:marTop w:val="0"/>
              <w:marBottom w:val="0"/>
              <w:divBdr>
                <w:top w:val="none" w:sz="0" w:space="0" w:color="auto"/>
                <w:left w:val="none" w:sz="0" w:space="0" w:color="auto"/>
                <w:bottom w:val="none" w:sz="0" w:space="0" w:color="auto"/>
                <w:right w:val="none" w:sz="0" w:space="0" w:color="auto"/>
              </w:divBdr>
              <w:divsChild>
                <w:div w:id="21370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50581">
      <w:bodyDiv w:val="1"/>
      <w:marLeft w:val="0"/>
      <w:marRight w:val="0"/>
      <w:marTop w:val="0"/>
      <w:marBottom w:val="0"/>
      <w:divBdr>
        <w:top w:val="none" w:sz="0" w:space="0" w:color="auto"/>
        <w:left w:val="none" w:sz="0" w:space="0" w:color="auto"/>
        <w:bottom w:val="none" w:sz="0" w:space="0" w:color="auto"/>
        <w:right w:val="none" w:sz="0" w:space="0" w:color="auto"/>
      </w:divBdr>
    </w:div>
    <w:div w:id="479658696">
      <w:bodyDiv w:val="1"/>
      <w:marLeft w:val="0"/>
      <w:marRight w:val="0"/>
      <w:marTop w:val="0"/>
      <w:marBottom w:val="0"/>
      <w:divBdr>
        <w:top w:val="none" w:sz="0" w:space="0" w:color="auto"/>
        <w:left w:val="none" w:sz="0" w:space="0" w:color="auto"/>
        <w:bottom w:val="none" w:sz="0" w:space="0" w:color="auto"/>
        <w:right w:val="none" w:sz="0" w:space="0" w:color="auto"/>
      </w:divBdr>
      <w:divsChild>
        <w:div w:id="612441781">
          <w:marLeft w:val="0"/>
          <w:marRight w:val="0"/>
          <w:marTop w:val="0"/>
          <w:marBottom w:val="0"/>
          <w:divBdr>
            <w:top w:val="none" w:sz="0" w:space="0" w:color="auto"/>
            <w:left w:val="none" w:sz="0" w:space="0" w:color="auto"/>
            <w:bottom w:val="none" w:sz="0" w:space="0" w:color="auto"/>
            <w:right w:val="none" w:sz="0" w:space="0" w:color="auto"/>
          </w:divBdr>
          <w:divsChild>
            <w:div w:id="209615755">
              <w:marLeft w:val="0"/>
              <w:marRight w:val="0"/>
              <w:marTop w:val="0"/>
              <w:marBottom w:val="0"/>
              <w:divBdr>
                <w:top w:val="none" w:sz="0" w:space="0" w:color="auto"/>
                <w:left w:val="none" w:sz="0" w:space="0" w:color="auto"/>
                <w:bottom w:val="none" w:sz="0" w:space="0" w:color="auto"/>
                <w:right w:val="none" w:sz="0" w:space="0" w:color="auto"/>
              </w:divBdr>
              <w:divsChild>
                <w:div w:id="1596982846">
                  <w:marLeft w:val="0"/>
                  <w:marRight w:val="0"/>
                  <w:marTop w:val="0"/>
                  <w:marBottom w:val="0"/>
                  <w:divBdr>
                    <w:top w:val="none" w:sz="0" w:space="0" w:color="auto"/>
                    <w:left w:val="none" w:sz="0" w:space="0" w:color="auto"/>
                    <w:bottom w:val="none" w:sz="0" w:space="0" w:color="auto"/>
                    <w:right w:val="none" w:sz="0" w:space="0" w:color="auto"/>
                  </w:divBdr>
                  <w:divsChild>
                    <w:div w:id="140032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775553">
      <w:bodyDiv w:val="1"/>
      <w:marLeft w:val="0"/>
      <w:marRight w:val="0"/>
      <w:marTop w:val="0"/>
      <w:marBottom w:val="0"/>
      <w:divBdr>
        <w:top w:val="none" w:sz="0" w:space="0" w:color="auto"/>
        <w:left w:val="none" w:sz="0" w:space="0" w:color="auto"/>
        <w:bottom w:val="none" w:sz="0" w:space="0" w:color="auto"/>
        <w:right w:val="none" w:sz="0" w:space="0" w:color="auto"/>
      </w:divBdr>
    </w:div>
    <w:div w:id="582224852">
      <w:bodyDiv w:val="1"/>
      <w:marLeft w:val="0"/>
      <w:marRight w:val="0"/>
      <w:marTop w:val="0"/>
      <w:marBottom w:val="0"/>
      <w:divBdr>
        <w:top w:val="none" w:sz="0" w:space="0" w:color="auto"/>
        <w:left w:val="none" w:sz="0" w:space="0" w:color="auto"/>
        <w:bottom w:val="none" w:sz="0" w:space="0" w:color="auto"/>
        <w:right w:val="none" w:sz="0" w:space="0" w:color="auto"/>
      </w:divBdr>
    </w:div>
    <w:div w:id="602763791">
      <w:bodyDiv w:val="1"/>
      <w:marLeft w:val="0"/>
      <w:marRight w:val="0"/>
      <w:marTop w:val="0"/>
      <w:marBottom w:val="0"/>
      <w:divBdr>
        <w:top w:val="none" w:sz="0" w:space="0" w:color="auto"/>
        <w:left w:val="none" w:sz="0" w:space="0" w:color="auto"/>
        <w:bottom w:val="none" w:sz="0" w:space="0" w:color="auto"/>
        <w:right w:val="none" w:sz="0" w:space="0" w:color="auto"/>
      </w:divBdr>
      <w:divsChild>
        <w:div w:id="1561556678">
          <w:marLeft w:val="0"/>
          <w:marRight w:val="0"/>
          <w:marTop w:val="0"/>
          <w:marBottom w:val="0"/>
          <w:divBdr>
            <w:top w:val="none" w:sz="0" w:space="0" w:color="auto"/>
            <w:left w:val="none" w:sz="0" w:space="0" w:color="auto"/>
            <w:bottom w:val="none" w:sz="0" w:space="0" w:color="auto"/>
            <w:right w:val="none" w:sz="0" w:space="0" w:color="auto"/>
          </w:divBdr>
          <w:divsChild>
            <w:div w:id="1300649515">
              <w:marLeft w:val="0"/>
              <w:marRight w:val="0"/>
              <w:marTop w:val="0"/>
              <w:marBottom w:val="0"/>
              <w:divBdr>
                <w:top w:val="none" w:sz="0" w:space="0" w:color="auto"/>
                <w:left w:val="none" w:sz="0" w:space="0" w:color="auto"/>
                <w:bottom w:val="none" w:sz="0" w:space="0" w:color="auto"/>
                <w:right w:val="none" w:sz="0" w:space="0" w:color="auto"/>
              </w:divBdr>
              <w:divsChild>
                <w:div w:id="1652834300">
                  <w:marLeft w:val="0"/>
                  <w:marRight w:val="0"/>
                  <w:marTop w:val="0"/>
                  <w:marBottom w:val="0"/>
                  <w:divBdr>
                    <w:top w:val="none" w:sz="0" w:space="0" w:color="auto"/>
                    <w:left w:val="none" w:sz="0" w:space="0" w:color="auto"/>
                    <w:bottom w:val="none" w:sz="0" w:space="0" w:color="auto"/>
                    <w:right w:val="none" w:sz="0" w:space="0" w:color="auto"/>
                  </w:divBdr>
                  <w:divsChild>
                    <w:div w:id="84917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170005">
      <w:bodyDiv w:val="1"/>
      <w:marLeft w:val="0"/>
      <w:marRight w:val="0"/>
      <w:marTop w:val="0"/>
      <w:marBottom w:val="0"/>
      <w:divBdr>
        <w:top w:val="none" w:sz="0" w:space="0" w:color="auto"/>
        <w:left w:val="none" w:sz="0" w:space="0" w:color="auto"/>
        <w:bottom w:val="none" w:sz="0" w:space="0" w:color="auto"/>
        <w:right w:val="none" w:sz="0" w:space="0" w:color="auto"/>
      </w:divBdr>
    </w:div>
    <w:div w:id="695927397">
      <w:bodyDiv w:val="1"/>
      <w:marLeft w:val="0"/>
      <w:marRight w:val="0"/>
      <w:marTop w:val="0"/>
      <w:marBottom w:val="0"/>
      <w:divBdr>
        <w:top w:val="none" w:sz="0" w:space="0" w:color="auto"/>
        <w:left w:val="none" w:sz="0" w:space="0" w:color="auto"/>
        <w:bottom w:val="none" w:sz="0" w:space="0" w:color="auto"/>
        <w:right w:val="none" w:sz="0" w:space="0" w:color="auto"/>
      </w:divBdr>
    </w:div>
    <w:div w:id="720784989">
      <w:bodyDiv w:val="1"/>
      <w:marLeft w:val="0"/>
      <w:marRight w:val="0"/>
      <w:marTop w:val="0"/>
      <w:marBottom w:val="0"/>
      <w:divBdr>
        <w:top w:val="none" w:sz="0" w:space="0" w:color="auto"/>
        <w:left w:val="none" w:sz="0" w:space="0" w:color="auto"/>
        <w:bottom w:val="none" w:sz="0" w:space="0" w:color="auto"/>
        <w:right w:val="none" w:sz="0" w:space="0" w:color="auto"/>
      </w:divBdr>
    </w:div>
    <w:div w:id="722211674">
      <w:bodyDiv w:val="1"/>
      <w:marLeft w:val="0"/>
      <w:marRight w:val="0"/>
      <w:marTop w:val="0"/>
      <w:marBottom w:val="0"/>
      <w:divBdr>
        <w:top w:val="none" w:sz="0" w:space="0" w:color="auto"/>
        <w:left w:val="none" w:sz="0" w:space="0" w:color="auto"/>
        <w:bottom w:val="none" w:sz="0" w:space="0" w:color="auto"/>
        <w:right w:val="none" w:sz="0" w:space="0" w:color="auto"/>
      </w:divBdr>
    </w:div>
    <w:div w:id="747729107">
      <w:bodyDiv w:val="1"/>
      <w:marLeft w:val="0"/>
      <w:marRight w:val="0"/>
      <w:marTop w:val="0"/>
      <w:marBottom w:val="0"/>
      <w:divBdr>
        <w:top w:val="none" w:sz="0" w:space="0" w:color="auto"/>
        <w:left w:val="none" w:sz="0" w:space="0" w:color="auto"/>
        <w:bottom w:val="none" w:sz="0" w:space="0" w:color="auto"/>
        <w:right w:val="none" w:sz="0" w:space="0" w:color="auto"/>
      </w:divBdr>
    </w:div>
    <w:div w:id="765266366">
      <w:bodyDiv w:val="1"/>
      <w:marLeft w:val="0"/>
      <w:marRight w:val="0"/>
      <w:marTop w:val="0"/>
      <w:marBottom w:val="0"/>
      <w:divBdr>
        <w:top w:val="none" w:sz="0" w:space="0" w:color="auto"/>
        <w:left w:val="none" w:sz="0" w:space="0" w:color="auto"/>
        <w:bottom w:val="none" w:sz="0" w:space="0" w:color="auto"/>
        <w:right w:val="none" w:sz="0" w:space="0" w:color="auto"/>
      </w:divBdr>
      <w:divsChild>
        <w:div w:id="1612785601">
          <w:marLeft w:val="0"/>
          <w:marRight w:val="0"/>
          <w:marTop w:val="0"/>
          <w:marBottom w:val="0"/>
          <w:divBdr>
            <w:top w:val="none" w:sz="0" w:space="0" w:color="auto"/>
            <w:left w:val="none" w:sz="0" w:space="0" w:color="auto"/>
            <w:bottom w:val="none" w:sz="0" w:space="0" w:color="auto"/>
            <w:right w:val="none" w:sz="0" w:space="0" w:color="auto"/>
          </w:divBdr>
          <w:divsChild>
            <w:div w:id="539900521">
              <w:marLeft w:val="0"/>
              <w:marRight w:val="0"/>
              <w:marTop w:val="0"/>
              <w:marBottom w:val="0"/>
              <w:divBdr>
                <w:top w:val="none" w:sz="0" w:space="0" w:color="auto"/>
                <w:left w:val="none" w:sz="0" w:space="0" w:color="auto"/>
                <w:bottom w:val="none" w:sz="0" w:space="0" w:color="auto"/>
                <w:right w:val="none" w:sz="0" w:space="0" w:color="auto"/>
              </w:divBdr>
              <w:divsChild>
                <w:div w:id="78034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30753">
      <w:bodyDiv w:val="1"/>
      <w:marLeft w:val="0"/>
      <w:marRight w:val="0"/>
      <w:marTop w:val="0"/>
      <w:marBottom w:val="0"/>
      <w:divBdr>
        <w:top w:val="none" w:sz="0" w:space="0" w:color="auto"/>
        <w:left w:val="none" w:sz="0" w:space="0" w:color="auto"/>
        <w:bottom w:val="none" w:sz="0" w:space="0" w:color="auto"/>
        <w:right w:val="none" w:sz="0" w:space="0" w:color="auto"/>
      </w:divBdr>
      <w:divsChild>
        <w:div w:id="627205161">
          <w:marLeft w:val="0"/>
          <w:marRight w:val="0"/>
          <w:marTop w:val="0"/>
          <w:marBottom w:val="0"/>
          <w:divBdr>
            <w:top w:val="none" w:sz="0" w:space="0" w:color="auto"/>
            <w:left w:val="none" w:sz="0" w:space="0" w:color="auto"/>
            <w:bottom w:val="none" w:sz="0" w:space="0" w:color="auto"/>
            <w:right w:val="none" w:sz="0" w:space="0" w:color="auto"/>
          </w:divBdr>
          <w:divsChild>
            <w:div w:id="1575511101">
              <w:marLeft w:val="0"/>
              <w:marRight w:val="0"/>
              <w:marTop w:val="0"/>
              <w:marBottom w:val="0"/>
              <w:divBdr>
                <w:top w:val="none" w:sz="0" w:space="0" w:color="auto"/>
                <w:left w:val="none" w:sz="0" w:space="0" w:color="auto"/>
                <w:bottom w:val="none" w:sz="0" w:space="0" w:color="auto"/>
                <w:right w:val="none" w:sz="0" w:space="0" w:color="auto"/>
              </w:divBdr>
              <w:divsChild>
                <w:div w:id="1856067929">
                  <w:marLeft w:val="0"/>
                  <w:marRight w:val="0"/>
                  <w:marTop w:val="0"/>
                  <w:marBottom w:val="0"/>
                  <w:divBdr>
                    <w:top w:val="none" w:sz="0" w:space="0" w:color="auto"/>
                    <w:left w:val="none" w:sz="0" w:space="0" w:color="auto"/>
                    <w:bottom w:val="none" w:sz="0" w:space="0" w:color="auto"/>
                    <w:right w:val="none" w:sz="0" w:space="0" w:color="auto"/>
                  </w:divBdr>
                  <w:divsChild>
                    <w:div w:id="200601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13573">
      <w:bodyDiv w:val="1"/>
      <w:marLeft w:val="0"/>
      <w:marRight w:val="0"/>
      <w:marTop w:val="0"/>
      <w:marBottom w:val="0"/>
      <w:divBdr>
        <w:top w:val="none" w:sz="0" w:space="0" w:color="auto"/>
        <w:left w:val="none" w:sz="0" w:space="0" w:color="auto"/>
        <w:bottom w:val="none" w:sz="0" w:space="0" w:color="auto"/>
        <w:right w:val="none" w:sz="0" w:space="0" w:color="auto"/>
      </w:divBdr>
    </w:div>
    <w:div w:id="849417228">
      <w:bodyDiv w:val="1"/>
      <w:marLeft w:val="0"/>
      <w:marRight w:val="0"/>
      <w:marTop w:val="0"/>
      <w:marBottom w:val="0"/>
      <w:divBdr>
        <w:top w:val="none" w:sz="0" w:space="0" w:color="auto"/>
        <w:left w:val="none" w:sz="0" w:space="0" w:color="auto"/>
        <w:bottom w:val="none" w:sz="0" w:space="0" w:color="auto"/>
        <w:right w:val="none" w:sz="0" w:space="0" w:color="auto"/>
      </w:divBdr>
    </w:div>
    <w:div w:id="866210475">
      <w:bodyDiv w:val="1"/>
      <w:marLeft w:val="0"/>
      <w:marRight w:val="0"/>
      <w:marTop w:val="0"/>
      <w:marBottom w:val="0"/>
      <w:divBdr>
        <w:top w:val="none" w:sz="0" w:space="0" w:color="auto"/>
        <w:left w:val="none" w:sz="0" w:space="0" w:color="auto"/>
        <w:bottom w:val="none" w:sz="0" w:space="0" w:color="auto"/>
        <w:right w:val="none" w:sz="0" w:space="0" w:color="auto"/>
      </w:divBdr>
    </w:div>
    <w:div w:id="879319851">
      <w:bodyDiv w:val="1"/>
      <w:marLeft w:val="0"/>
      <w:marRight w:val="0"/>
      <w:marTop w:val="0"/>
      <w:marBottom w:val="0"/>
      <w:divBdr>
        <w:top w:val="none" w:sz="0" w:space="0" w:color="auto"/>
        <w:left w:val="none" w:sz="0" w:space="0" w:color="auto"/>
        <w:bottom w:val="none" w:sz="0" w:space="0" w:color="auto"/>
        <w:right w:val="none" w:sz="0" w:space="0" w:color="auto"/>
      </w:divBdr>
      <w:divsChild>
        <w:div w:id="317854542">
          <w:marLeft w:val="0"/>
          <w:marRight w:val="0"/>
          <w:marTop w:val="0"/>
          <w:marBottom w:val="0"/>
          <w:divBdr>
            <w:top w:val="none" w:sz="0" w:space="0" w:color="auto"/>
            <w:left w:val="none" w:sz="0" w:space="0" w:color="auto"/>
            <w:bottom w:val="none" w:sz="0" w:space="0" w:color="auto"/>
            <w:right w:val="none" w:sz="0" w:space="0" w:color="auto"/>
          </w:divBdr>
          <w:divsChild>
            <w:div w:id="957562408">
              <w:marLeft w:val="0"/>
              <w:marRight w:val="0"/>
              <w:marTop w:val="0"/>
              <w:marBottom w:val="0"/>
              <w:divBdr>
                <w:top w:val="none" w:sz="0" w:space="0" w:color="auto"/>
                <w:left w:val="none" w:sz="0" w:space="0" w:color="auto"/>
                <w:bottom w:val="none" w:sz="0" w:space="0" w:color="auto"/>
                <w:right w:val="none" w:sz="0" w:space="0" w:color="auto"/>
              </w:divBdr>
              <w:divsChild>
                <w:div w:id="190070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69234">
      <w:bodyDiv w:val="1"/>
      <w:marLeft w:val="0"/>
      <w:marRight w:val="0"/>
      <w:marTop w:val="0"/>
      <w:marBottom w:val="0"/>
      <w:divBdr>
        <w:top w:val="none" w:sz="0" w:space="0" w:color="auto"/>
        <w:left w:val="none" w:sz="0" w:space="0" w:color="auto"/>
        <w:bottom w:val="none" w:sz="0" w:space="0" w:color="auto"/>
        <w:right w:val="none" w:sz="0" w:space="0" w:color="auto"/>
      </w:divBdr>
      <w:divsChild>
        <w:div w:id="453982487">
          <w:marLeft w:val="0"/>
          <w:marRight w:val="0"/>
          <w:marTop w:val="0"/>
          <w:marBottom w:val="0"/>
          <w:divBdr>
            <w:top w:val="none" w:sz="0" w:space="0" w:color="auto"/>
            <w:left w:val="none" w:sz="0" w:space="0" w:color="auto"/>
            <w:bottom w:val="none" w:sz="0" w:space="0" w:color="auto"/>
            <w:right w:val="none" w:sz="0" w:space="0" w:color="auto"/>
          </w:divBdr>
          <w:divsChild>
            <w:div w:id="748037650">
              <w:marLeft w:val="0"/>
              <w:marRight w:val="0"/>
              <w:marTop w:val="0"/>
              <w:marBottom w:val="0"/>
              <w:divBdr>
                <w:top w:val="none" w:sz="0" w:space="0" w:color="auto"/>
                <w:left w:val="none" w:sz="0" w:space="0" w:color="auto"/>
                <w:bottom w:val="none" w:sz="0" w:space="0" w:color="auto"/>
                <w:right w:val="none" w:sz="0" w:space="0" w:color="auto"/>
              </w:divBdr>
              <w:divsChild>
                <w:div w:id="214369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531638">
      <w:bodyDiv w:val="1"/>
      <w:marLeft w:val="0"/>
      <w:marRight w:val="0"/>
      <w:marTop w:val="0"/>
      <w:marBottom w:val="0"/>
      <w:divBdr>
        <w:top w:val="none" w:sz="0" w:space="0" w:color="auto"/>
        <w:left w:val="none" w:sz="0" w:space="0" w:color="auto"/>
        <w:bottom w:val="none" w:sz="0" w:space="0" w:color="auto"/>
        <w:right w:val="none" w:sz="0" w:space="0" w:color="auto"/>
      </w:divBdr>
    </w:div>
    <w:div w:id="907885400">
      <w:bodyDiv w:val="1"/>
      <w:marLeft w:val="0"/>
      <w:marRight w:val="0"/>
      <w:marTop w:val="0"/>
      <w:marBottom w:val="0"/>
      <w:divBdr>
        <w:top w:val="none" w:sz="0" w:space="0" w:color="auto"/>
        <w:left w:val="none" w:sz="0" w:space="0" w:color="auto"/>
        <w:bottom w:val="none" w:sz="0" w:space="0" w:color="auto"/>
        <w:right w:val="none" w:sz="0" w:space="0" w:color="auto"/>
      </w:divBdr>
    </w:div>
    <w:div w:id="918831275">
      <w:bodyDiv w:val="1"/>
      <w:marLeft w:val="0"/>
      <w:marRight w:val="0"/>
      <w:marTop w:val="0"/>
      <w:marBottom w:val="0"/>
      <w:divBdr>
        <w:top w:val="none" w:sz="0" w:space="0" w:color="auto"/>
        <w:left w:val="none" w:sz="0" w:space="0" w:color="auto"/>
        <w:bottom w:val="none" w:sz="0" w:space="0" w:color="auto"/>
        <w:right w:val="none" w:sz="0" w:space="0" w:color="auto"/>
      </w:divBdr>
    </w:div>
    <w:div w:id="946735668">
      <w:bodyDiv w:val="1"/>
      <w:marLeft w:val="0"/>
      <w:marRight w:val="0"/>
      <w:marTop w:val="0"/>
      <w:marBottom w:val="0"/>
      <w:divBdr>
        <w:top w:val="none" w:sz="0" w:space="0" w:color="auto"/>
        <w:left w:val="none" w:sz="0" w:space="0" w:color="auto"/>
        <w:bottom w:val="none" w:sz="0" w:space="0" w:color="auto"/>
        <w:right w:val="none" w:sz="0" w:space="0" w:color="auto"/>
      </w:divBdr>
    </w:div>
    <w:div w:id="980572684">
      <w:bodyDiv w:val="1"/>
      <w:marLeft w:val="0"/>
      <w:marRight w:val="0"/>
      <w:marTop w:val="0"/>
      <w:marBottom w:val="0"/>
      <w:divBdr>
        <w:top w:val="none" w:sz="0" w:space="0" w:color="auto"/>
        <w:left w:val="none" w:sz="0" w:space="0" w:color="auto"/>
        <w:bottom w:val="none" w:sz="0" w:space="0" w:color="auto"/>
        <w:right w:val="none" w:sz="0" w:space="0" w:color="auto"/>
      </w:divBdr>
    </w:div>
    <w:div w:id="992946888">
      <w:bodyDiv w:val="1"/>
      <w:marLeft w:val="0"/>
      <w:marRight w:val="0"/>
      <w:marTop w:val="0"/>
      <w:marBottom w:val="0"/>
      <w:divBdr>
        <w:top w:val="none" w:sz="0" w:space="0" w:color="auto"/>
        <w:left w:val="none" w:sz="0" w:space="0" w:color="auto"/>
        <w:bottom w:val="none" w:sz="0" w:space="0" w:color="auto"/>
        <w:right w:val="none" w:sz="0" w:space="0" w:color="auto"/>
      </w:divBdr>
      <w:divsChild>
        <w:div w:id="298732471">
          <w:marLeft w:val="0"/>
          <w:marRight w:val="0"/>
          <w:marTop w:val="0"/>
          <w:marBottom w:val="0"/>
          <w:divBdr>
            <w:top w:val="none" w:sz="0" w:space="0" w:color="auto"/>
            <w:left w:val="none" w:sz="0" w:space="0" w:color="auto"/>
            <w:bottom w:val="none" w:sz="0" w:space="0" w:color="auto"/>
            <w:right w:val="none" w:sz="0" w:space="0" w:color="auto"/>
          </w:divBdr>
          <w:divsChild>
            <w:div w:id="1263953304">
              <w:marLeft w:val="0"/>
              <w:marRight w:val="0"/>
              <w:marTop w:val="0"/>
              <w:marBottom w:val="0"/>
              <w:divBdr>
                <w:top w:val="none" w:sz="0" w:space="0" w:color="auto"/>
                <w:left w:val="none" w:sz="0" w:space="0" w:color="auto"/>
                <w:bottom w:val="none" w:sz="0" w:space="0" w:color="auto"/>
                <w:right w:val="none" w:sz="0" w:space="0" w:color="auto"/>
              </w:divBdr>
              <w:divsChild>
                <w:div w:id="17845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149903">
      <w:bodyDiv w:val="1"/>
      <w:marLeft w:val="0"/>
      <w:marRight w:val="0"/>
      <w:marTop w:val="0"/>
      <w:marBottom w:val="0"/>
      <w:divBdr>
        <w:top w:val="none" w:sz="0" w:space="0" w:color="auto"/>
        <w:left w:val="none" w:sz="0" w:space="0" w:color="auto"/>
        <w:bottom w:val="none" w:sz="0" w:space="0" w:color="auto"/>
        <w:right w:val="none" w:sz="0" w:space="0" w:color="auto"/>
      </w:divBdr>
      <w:divsChild>
        <w:div w:id="2032954147">
          <w:marLeft w:val="0"/>
          <w:marRight w:val="0"/>
          <w:marTop w:val="0"/>
          <w:marBottom w:val="0"/>
          <w:divBdr>
            <w:top w:val="none" w:sz="0" w:space="0" w:color="auto"/>
            <w:left w:val="none" w:sz="0" w:space="0" w:color="auto"/>
            <w:bottom w:val="none" w:sz="0" w:space="0" w:color="auto"/>
            <w:right w:val="none" w:sz="0" w:space="0" w:color="auto"/>
          </w:divBdr>
          <w:divsChild>
            <w:div w:id="1590775470">
              <w:marLeft w:val="0"/>
              <w:marRight w:val="0"/>
              <w:marTop w:val="0"/>
              <w:marBottom w:val="0"/>
              <w:divBdr>
                <w:top w:val="none" w:sz="0" w:space="0" w:color="auto"/>
                <w:left w:val="none" w:sz="0" w:space="0" w:color="auto"/>
                <w:bottom w:val="none" w:sz="0" w:space="0" w:color="auto"/>
                <w:right w:val="none" w:sz="0" w:space="0" w:color="auto"/>
              </w:divBdr>
              <w:divsChild>
                <w:div w:id="162013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178880">
      <w:bodyDiv w:val="1"/>
      <w:marLeft w:val="0"/>
      <w:marRight w:val="0"/>
      <w:marTop w:val="0"/>
      <w:marBottom w:val="0"/>
      <w:divBdr>
        <w:top w:val="none" w:sz="0" w:space="0" w:color="auto"/>
        <w:left w:val="none" w:sz="0" w:space="0" w:color="auto"/>
        <w:bottom w:val="none" w:sz="0" w:space="0" w:color="auto"/>
        <w:right w:val="none" w:sz="0" w:space="0" w:color="auto"/>
      </w:divBdr>
    </w:div>
    <w:div w:id="1027028540">
      <w:bodyDiv w:val="1"/>
      <w:marLeft w:val="0"/>
      <w:marRight w:val="0"/>
      <w:marTop w:val="0"/>
      <w:marBottom w:val="0"/>
      <w:divBdr>
        <w:top w:val="none" w:sz="0" w:space="0" w:color="auto"/>
        <w:left w:val="none" w:sz="0" w:space="0" w:color="auto"/>
        <w:bottom w:val="none" w:sz="0" w:space="0" w:color="auto"/>
        <w:right w:val="none" w:sz="0" w:space="0" w:color="auto"/>
      </w:divBdr>
    </w:div>
    <w:div w:id="1046760947">
      <w:bodyDiv w:val="1"/>
      <w:marLeft w:val="0"/>
      <w:marRight w:val="0"/>
      <w:marTop w:val="0"/>
      <w:marBottom w:val="0"/>
      <w:divBdr>
        <w:top w:val="none" w:sz="0" w:space="0" w:color="auto"/>
        <w:left w:val="none" w:sz="0" w:space="0" w:color="auto"/>
        <w:bottom w:val="none" w:sz="0" w:space="0" w:color="auto"/>
        <w:right w:val="none" w:sz="0" w:space="0" w:color="auto"/>
      </w:divBdr>
      <w:divsChild>
        <w:div w:id="1956331372">
          <w:marLeft w:val="0"/>
          <w:marRight w:val="0"/>
          <w:marTop w:val="0"/>
          <w:marBottom w:val="0"/>
          <w:divBdr>
            <w:top w:val="none" w:sz="0" w:space="0" w:color="auto"/>
            <w:left w:val="none" w:sz="0" w:space="0" w:color="auto"/>
            <w:bottom w:val="none" w:sz="0" w:space="0" w:color="auto"/>
            <w:right w:val="none" w:sz="0" w:space="0" w:color="auto"/>
          </w:divBdr>
          <w:divsChild>
            <w:div w:id="975843197">
              <w:marLeft w:val="0"/>
              <w:marRight w:val="0"/>
              <w:marTop w:val="0"/>
              <w:marBottom w:val="0"/>
              <w:divBdr>
                <w:top w:val="none" w:sz="0" w:space="0" w:color="auto"/>
                <w:left w:val="none" w:sz="0" w:space="0" w:color="auto"/>
                <w:bottom w:val="none" w:sz="0" w:space="0" w:color="auto"/>
                <w:right w:val="none" w:sz="0" w:space="0" w:color="auto"/>
              </w:divBdr>
              <w:divsChild>
                <w:div w:id="27802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195924">
      <w:bodyDiv w:val="1"/>
      <w:marLeft w:val="0"/>
      <w:marRight w:val="0"/>
      <w:marTop w:val="0"/>
      <w:marBottom w:val="0"/>
      <w:divBdr>
        <w:top w:val="none" w:sz="0" w:space="0" w:color="auto"/>
        <w:left w:val="none" w:sz="0" w:space="0" w:color="auto"/>
        <w:bottom w:val="none" w:sz="0" w:space="0" w:color="auto"/>
        <w:right w:val="none" w:sz="0" w:space="0" w:color="auto"/>
      </w:divBdr>
    </w:div>
    <w:div w:id="1193225166">
      <w:bodyDiv w:val="1"/>
      <w:marLeft w:val="0"/>
      <w:marRight w:val="0"/>
      <w:marTop w:val="0"/>
      <w:marBottom w:val="0"/>
      <w:divBdr>
        <w:top w:val="none" w:sz="0" w:space="0" w:color="auto"/>
        <w:left w:val="none" w:sz="0" w:space="0" w:color="auto"/>
        <w:bottom w:val="none" w:sz="0" w:space="0" w:color="auto"/>
        <w:right w:val="none" w:sz="0" w:space="0" w:color="auto"/>
      </w:divBdr>
    </w:div>
    <w:div w:id="1217547093">
      <w:bodyDiv w:val="1"/>
      <w:marLeft w:val="0"/>
      <w:marRight w:val="0"/>
      <w:marTop w:val="0"/>
      <w:marBottom w:val="0"/>
      <w:divBdr>
        <w:top w:val="none" w:sz="0" w:space="0" w:color="auto"/>
        <w:left w:val="none" w:sz="0" w:space="0" w:color="auto"/>
        <w:bottom w:val="none" w:sz="0" w:space="0" w:color="auto"/>
        <w:right w:val="none" w:sz="0" w:space="0" w:color="auto"/>
      </w:divBdr>
    </w:div>
    <w:div w:id="1220165618">
      <w:bodyDiv w:val="1"/>
      <w:marLeft w:val="0"/>
      <w:marRight w:val="0"/>
      <w:marTop w:val="0"/>
      <w:marBottom w:val="0"/>
      <w:divBdr>
        <w:top w:val="none" w:sz="0" w:space="0" w:color="auto"/>
        <w:left w:val="none" w:sz="0" w:space="0" w:color="auto"/>
        <w:bottom w:val="none" w:sz="0" w:space="0" w:color="auto"/>
        <w:right w:val="none" w:sz="0" w:space="0" w:color="auto"/>
      </w:divBdr>
      <w:divsChild>
        <w:div w:id="2144031191">
          <w:marLeft w:val="0"/>
          <w:marRight w:val="0"/>
          <w:marTop w:val="0"/>
          <w:marBottom w:val="0"/>
          <w:divBdr>
            <w:top w:val="none" w:sz="0" w:space="0" w:color="auto"/>
            <w:left w:val="none" w:sz="0" w:space="0" w:color="auto"/>
            <w:bottom w:val="none" w:sz="0" w:space="0" w:color="auto"/>
            <w:right w:val="none" w:sz="0" w:space="0" w:color="auto"/>
          </w:divBdr>
          <w:divsChild>
            <w:div w:id="1930232585">
              <w:marLeft w:val="0"/>
              <w:marRight w:val="0"/>
              <w:marTop w:val="0"/>
              <w:marBottom w:val="0"/>
              <w:divBdr>
                <w:top w:val="none" w:sz="0" w:space="0" w:color="auto"/>
                <w:left w:val="none" w:sz="0" w:space="0" w:color="auto"/>
                <w:bottom w:val="none" w:sz="0" w:space="0" w:color="auto"/>
                <w:right w:val="none" w:sz="0" w:space="0" w:color="auto"/>
              </w:divBdr>
              <w:divsChild>
                <w:div w:id="143250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495028">
      <w:bodyDiv w:val="1"/>
      <w:marLeft w:val="0"/>
      <w:marRight w:val="0"/>
      <w:marTop w:val="0"/>
      <w:marBottom w:val="0"/>
      <w:divBdr>
        <w:top w:val="none" w:sz="0" w:space="0" w:color="auto"/>
        <w:left w:val="none" w:sz="0" w:space="0" w:color="auto"/>
        <w:bottom w:val="none" w:sz="0" w:space="0" w:color="auto"/>
        <w:right w:val="none" w:sz="0" w:space="0" w:color="auto"/>
      </w:divBdr>
      <w:divsChild>
        <w:div w:id="779111591">
          <w:marLeft w:val="0"/>
          <w:marRight w:val="0"/>
          <w:marTop w:val="0"/>
          <w:marBottom w:val="0"/>
          <w:divBdr>
            <w:top w:val="none" w:sz="0" w:space="0" w:color="auto"/>
            <w:left w:val="none" w:sz="0" w:space="0" w:color="auto"/>
            <w:bottom w:val="none" w:sz="0" w:space="0" w:color="auto"/>
            <w:right w:val="none" w:sz="0" w:space="0" w:color="auto"/>
          </w:divBdr>
          <w:divsChild>
            <w:div w:id="1077434372">
              <w:marLeft w:val="0"/>
              <w:marRight w:val="0"/>
              <w:marTop w:val="0"/>
              <w:marBottom w:val="0"/>
              <w:divBdr>
                <w:top w:val="none" w:sz="0" w:space="0" w:color="auto"/>
                <w:left w:val="none" w:sz="0" w:space="0" w:color="auto"/>
                <w:bottom w:val="none" w:sz="0" w:space="0" w:color="auto"/>
                <w:right w:val="none" w:sz="0" w:space="0" w:color="auto"/>
              </w:divBdr>
              <w:divsChild>
                <w:div w:id="129035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9372">
      <w:bodyDiv w:val="1"/>
      <w:marLeft w:val="0"/>
      <w:marRight w:val="0"/>
      <w:marTop w:val="0"/>
      <w:marBottom w:val="0"/>
      <w:divBdr>
        <w:top w:val="none" w:sz="0" w:space="0" w:color="auto"/>
        <w:left w:val="none" w:sz="0" w:space="0" w:color="auto"/>
        <w:bottom w:val="none" w:sz="0" w:space="0" w:color="auto"/>
        <w:right w:val="none" w:sz="0" w:space="0" w:color="auto"/>
      </w:divBdr>
      <w:divsChild>
        <w:div w:id="1076321989">
          <w:marLeft w:val="0"/>
          <w:marRight w:val="0"/>
          <w:marTop w:val="0"/>
          <w:marBottom w:val="0"/>
          <w:divBdr>
            <w:top w:val="none" w:sz="0" w:space="0" w:color="auto"/>
            <w:left w:val="none" w:sz="0" w:space="0" w:color="auto"/>
            <w:bottom w:val="none" w:sz="0" w:space="0" w:color="auto"/>
            <w:right w:val="none" w:sz="0" w:space="0" w:color="auto"/>
          </w:divBdr>
          <w:divsChild>
            <w:div w:id="1056969444">
              <w:marLeft w:val="0"/>
              <w:marRight w:val="0"/>
              <w:marTop w:val="0"/>
              <w:marBottom w:val="0"/>
              <w:divBdr>
                <w:top w:val="none" w:sz="0" w:space="0" w:color="auto"/>
                <w:left w:val="none" w:sz="0" w:space="0" w:color="auto"/>
                <w:bottom w:val="none" w:sz="0" w:space="0" w:color="auto"/>
                <w:right w:val="none" w:sz="0" w:space="0" w:color="auto"/>
              </w:divBdr>
              <w:divsChild>
                <w:div w:id="154255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029063">
      <w:bodyDiv w:val="1"/>
      <w:marLeft w:val="0"/>
      <w:marRight w:val="0"/>
      <w:marTop w:val="0"/>
      <w:marBottom w:val="0"/>
      <w:divBdr>
        <w:top w:val="none" w:sz="0" w:space="0" w:color="auto"/>
        <w:left w:val="none" w:sz="0" w:space="0" w:color="auto"/>
        <w:bottom w:val="none" w:sz="0" w:space="0" w:color="auto"/>
        <w:right w:val="none" w:sz="0" w:space="0" w:color="auto"/>
      </w:divBdr>
      <w:divsChild>
        <w:div w:id="553857817">
          <w:marLeft w:val="0"/>
          <w:marRight w:val="0"/>
          <w:marTop w:val="0"/>
          <w:marBottom w:val="0"/>
          <w:divBdr>
            <w:top w:val="none" w:sz="0" w:space="0" w:color="auto"/>
            <w:left w:val="none" w:sz="0" w:space="0" w:color="auto"/>
            <w:bottom w:val="none" w:sz="0" w:space="0" w:color="auto"/>
            <w:right w:val="none" w:sz="0" w:space="0" w:color="auto"/>
          </w:divBdr>
          <w:divsChild>
            <w:div w:id="1846050449">
              <w:marLeft w:val="0"/>
              <w:marRight w:val="0"/>
              <w:marTop w:val="0"/>
              <w:marBottom w:val="0"/>
              <w:divBdr>
                <w:top w:val="none" w:sz="0" w:space="0" w:color="auto"/>
                <w:left w:val="none" w:sz="0" w:space="0" w:color="auto"/>
                <w:bottom w:val="none" w:sz="0" w:space="0" w:color="auto"/>
                <w:right w:val="none" w:sz="0" w:space="0" w:color="auto"/>
              </w:divBdr>
              <w:divsChild>
                <w:div w:id="97086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634621">
      <w:bodyDiv w:val="1"/>
      <w:marLeft w:val="0"/>
      <w:marRight w:val="0"/>
      <w:marTop w:val="0"/>
      <w:marBottom w:val="0"/>
      <w:divBdr>
        <w:top w:val="none" w:sz="0" w:space="0" w:color="auto"/>
        <w:left w:val="none" w:sz="0" w:space="0" w:color="auto"/>
        <w:bottom w:val="none" w:sz="0" w:space="0" w:color="auto"/>
        <w:right w:val="none" w:sz="0" w:space="0" w:color="auto"/>
      </w:divBdr>
    </w:div>
    <w:div w:id="1368874310">
      <w:bodyDiv w:val="1"/>
      <w:marLeft w:val="0"/>
      <w:marRight w:val="0"/>
      <w:marTop w:val="0"/>
      <w:marBottom w:val="0"/>
      <w:divBdr>
        <w:top w:val="none" w:sz="0" w:space="0" w:color="auto"/>
        <w:left w:val="none" w:sz="0" w:space="0" w:color="auto"/>
        <w:bottom w:val="none" w:sz="0" w:space="0" w:color="auto"/>
        <w:right w:val="none" w:sz="0" w:space="0" w:color="auto"/>
      </w:divBdr>
    </w:div>
    <w:div w:id="1388409368">
      <w:bodyDiv w:val="1"/>
      <w:marLeft w:val="0"/>
      <w:marRight w:val="0"/>
      <w:marTop w:val="0"/>
      <w:marBottom w:val="0"/>
      <w:divBdr>
        <w:top w:val="none" w:sz="0" w:space="0" w:color="auto"/>
        <w:left w:val="none" w:sz="0" w:space="0" w:color="auto"/>
        <w:bottom w:val="none" w:sz="0" w:space="0" w:color="auto"/>
        <w:right w:val="none" w:sz="0" w:space="0" w:color="auto"/>
      </w:divBdr>
    </w:div>
    <w:div w:id="1458377375">
      <w:bodyDiv w:val="1"/>
      <w:marLeft w:val="0"/>
      <w:marRight w:val="0"/>
      <w:marTop w:val="0"/>
      <w:marBottom w:val="0"/>
      <w:divBdr>
        <w:top w:val="none" w:sz="0" w:space="0" w:color="auto"/>
        <w:left w:val="none" w:sz="0" w:space="0" w:color="auto"/>
        <w:bottom w:val="none" w:sz="0" w:space="0" w:color="auto"/>
        <w:right w:val="none" w:sz="0" w:space="0" w:color="auto"/>
      </w:divBdr>
      <w:divsChild>
        <w:div w:id="709182357">
          <w:marLeft w:val="0"/>
          <w:marRight w:val="0"/>
          <w:marTop w:val="0"/>
          <w:marBottom w:val="0"/>
          <w:divBdr>
            <w:top w:val="none" w:sz="0" w:space="0" w:color="auto"/>
            <w:left w:val="none" w:sz="0" w:space="0" w:color="auto"/>
            <w:bottom w:val="none" w:sz="0" w:space="0" w:color="auto"/>
            <w:right w:val="none" w:sz="0" w:space="0" w:color="auto"/>
          </w:divBdr>
          <w:divsChild>
            <w:div w:id="1375033802">
              <w:marLeft w:val="0"/>
              <w:marRight w:val="0"/>
              <w:marTop w:val="0"/>
              <w:marBottom w:val="0"/>
              <w:divBdr>
                <w:top w:val="none" w:sz="0" w:space="0" w:color="auto"/>
                <w:left w:val="none" w:sz="0" w:space="0" w:color="auto"/>
                <w:bottom w:val="none" w:sz="0" w:space="0" w:color="auto"/>
                <w:right w:val="none" w:sz="0" w:space="0" w:color="auto"/>
              </w:divBdr>
              <w:divsChild>
                <w:div w:id="10538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689230">
      <w:bodyDiv w:val="1"/>
      <w:marLeft w:val="0"/>
      <w:marRight w:val="0"/>
      <w:marTop w:val="0"/>
      <w:marBottom w:val="0"/>
      <w:divBdr>
        <w:top w:val="none" w:sz="0" w:space="0" w:color="auto"/>
        <w:left w:val="none" w:sz="0" w:space="0" w:color="auto"/>
        <w:bottom w:val="none" w:sz="0" w:space="0" w:color="auto"/>
        <w:right w:val="none" w:sz="0" w:space="0" w:color="auto"/>
      </w:divBdr>
      <w:divsChild>
        <w:div w:id="256446707">
          <w:marLeft w:val="0"/>
          <w:marRight w:val="0"/>
          <w:marTop w:val="0"/>
          <w:marBottom w:val="0"/>
          <w:divBdr>
            <w:top w:val="none" w:sz="0" w:space="0" w:color="auto"/>
            <w:left w:val="none" w:sz="0" w:space="0" w:color="auto"/>
            <w:bottom w:val="none" w:sz="0" w:space="0" w:color="auto"/>
            <w:right w:val="none" w:sz="0" w:space="0" w:color="auto"/>
          </w:divBdr>
          <w:divsChild>
            <w:div w:id="488639102">
              <w:marLeft w:val="0"/>
              <w:marRight w:val="0"/>
              <w:marTop w:val="0"/>
              <w:marBottom w:val="0"/>
              <w:divBdr>
                <w:top w:val="none" w:sz="0" w:space="0" w:color="auto"/>
                <w:left w:val="none" w:sz="0" w:space="0" w:color="auto"/>
                <w:bottom w:val="none" w:sz="0" w:space="0" w:color="auto"/>
                <w:right w:val="none" w:sz="0" w:space="0" w:color="auto"/>
              </w:divBdr>
              <w:divsChild>
                <w:div w:id="1907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322647">
      <w:bodyDiv w:val="1"/>
      <w:marLeft w:val="0"/>
      <w:marRight w:val="0"/>
      <w:marTop w:val="0"/>
      <w:marBottom w:val="0"/>
      <w:divBdr>
        <w:top w:val="none" w:sz="0" w:space="0" w:color="auto"/>
        <w:left w:val="none" w:sz="0" w:space="0" w:color="auto"/>
        <w:bottom w:val="none" w:sz="0" w:space="0" w:color="auto"/>
        <w:right w:val="none" w:sz="0" w:space="0" w:color="auto"/>
      </w:divBdr>
      <w:divsChild>
        <w:div w:id="19012379">
          <w:marLeft w:val="0"/>
          <w:marRight w:val="0"/>
          <w:marTop w:val="0"/>
          <w:marBottom w:val="0"/>
          <w:divBdr>
            <w:top w:val="none" w:sz="0" w:space="0" w:color="auto"/>
            <w:left w:val="none" w:sz="0" w:space="0" w:color="auto"/>
            <w:bottom w:val="none" w:sz="0" w:space="0" w:color="auto"/>
            <w:right w:val="none" w:sz="0" w:space="0" w:color="auto"/>
          </w:divBdr>
          <w:divsChild>
            <w:div w:id="1478300920">
              <w:marLeft w:val="0"/>
              <w:marRight w:val="0"/>
              <w:marTop w:val="0"/>
              <w:marBottom w:val="0"/>
              <w:divBdr>
                <w:top w:val="none" w:sz="0" w:space="0" w:color="auto"/>
                <w:left w:val="none" w:sz="0" w:space="0" w:color="auto"/>
                <w:bottom w:val="none" w:sz="0" w:space="0" w:color="auto"/>
                <w:right w:val="none" w:sz="0" w:space="0" w:color="auto"/>
              </w:divBdr>
              <w:divsChild>
                <w:div w:id="131526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14246">
      <w:bodyDiv w:val="1"/>
      <w:marLeft w:val="0"/>
      <w:marRight w:val="0"/>
      <w:marTop w:val="0"/>
      <w:marBottom w:val="0"/>
      <w:divBdr>
        <w:top w:val="none" w:sz="0" w:space="0" w:color="auto"/>
        <w:left w:val="none" w:sz="0" w:space="0" w:color="auto"/>
        <w:bottom w:val="none" w:sz="0" w:space="0" w:color="auto"/>
        <w:right w:val="none" w:sz="0" w:space="0" w:color="auto"/>
      </w:divBdr>
      <w:divsChild>
        <w:div w:id="1178235794">
          <w:marLeft w:val="0"/>
          <w:marRight w:val="0"/>
          <w:marTop w:val="0"/>
          <w:marBottom w:val="0"/>
          <w:divBdr>
            <w:top w:val="none" w:sz="0" w:space="0" w:color="auto"/>
            <w:left w:val="none" w:sz="0" w:space="0" w:color="auto"/>
            <w:bottom w:val="none" w:sz="0" w:space="0" w:color="auto"/>
            <w:right w:val="none" w:sz="0" w:space="0" w:color="auto"/>
          </w:divBdr>
          <w:divsChild>
            <w:div w:id="1734160719">
              <w:marLeft w:val="0"/>
              <w:marRight w:val="0"/>
              <w:marTop w:val="0"/>
              <w:marBottom w:val="0"/>
              <w:divBdr>
                <w:top w:val="none" w:sz="0" w:space="0" w:color="auto"/>
                <w:left w:val="none" w:sz="0" w:space="0" w:color="auto"/>
                <w:bottom w:val="none" w:sz="0" w:space="0" w:color="auto"/>
                <w:right w:val="none" w:sz="0" w:space="0" w:color="auto"/>
              </w:divBdr>
              <w:divsChild>
                <w:div w:id="94052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96491">
      <w:bodyDiv w:val="1"/>
      <w:marLeft w:val="0"/>
      <w:marRight w:val="0"/>
      <w:marTop w:val="0"/>
      <w:marBottom w:val="0"/>
      <w:divBdr>
        <w:top w:val="none" w:sz="0" w:space="0" w:color="auto"/>
        <w:left w:val="none" w:sz="0" w:space="0" w:color="auto"/>
        <w:bottom w:val="none" w:sz="0" w:space="0" w:color="auto"/>
        <w:right w:val="none" w:sz="0" w:space="0" w:color="auto"/>
      </w:divBdr>
    </w:div>
    <w:div w:id="1594127244">
      <w:bodyDiv w:val="1"/>
      <w:marLeft w:val="0"/>
      <w:marRight w:val="0"/>
      <w:marTop w:val="0"/>
      <w:marBottom w:val="0"/>
      <w:divBdr>
        <w:top w:val="none" w:sz="0" w:space="0" w:color="auto"/>
        <w:left w:val="none" w:sz="0" w:space="0" w:color="auto"/>
        <w:bottom w:val="none" w:sz="0" w:space="0" w:color="auto"/>
        <w:right w:val="none" w:sz="0" w:space="0" w:color="auto"/>
      </w:divBdr>
      <w:divsChild>
        <w:div w:id="199055158">
          <w:marLeft w:val="0"/>
          <w:marRight w:val="0"/>
          <w:marTop w:val="0"/>
          <w:marBottom w:val="0"/>
          <w:divBdr>
            <w:top w:val="none" w:sz="0" w:space="0" w:color="auto"/>
            <w:left w:val="none" w:sz="0" w:space="0" w:color="auto"/>
            <w:bottom w:val="none" w:sz="0" w:space="0" w:color="auto"/>
            <w:right w:val="none" w:sz="0" w:space="0" w:color="auto"/>
          </w:divBdr>
          <w:divsChild>
            <w:div w:id="1289583758">
              <w:marLeft w:val="0"/>
              <w:marRight w:val="0"/>
              <w:marTop w:val="0"/>
              <w:marBottom w:val="0"/>
              <w:divBdr>
                <w:top w:val="none" w:sz="0" w:space="0" w:color="auto"/>
                <w:left w:val="none" w:sz="0" w:space="0" w:color="auto"/>
                <w:bottom w:val="none" w:sz="0" w:space="0" w:color="auto"/>
                <w:right w:val="none" w:sz="0" w:space="0" w:color="auto"/>
              </w:divBdr>
              <w:divsChild>
                <w:div w:id="141790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831728">
      <w:bodyDiv w:val="1"/>
      <w:marLeft w:val="0"/>
      <w:marRight w:val="0"/>
      <w:marTop w:val="0"/>
      <w:marBottom w:val="0"/>
      <w:divBdr>
        <w:top w:val="none" w:sz="0" w:space="0" w:color="auto"/>
        <w:left w:val="none" w:sz="0" w:space="0" w:color="auto"/>
        <w:bottom w:val="none" w:sz="0" w:space="0" w:color="auto"/>
        <w:right w:val="none" w:sz="0" w:space="0" w:color="auto"/>
      </w:divBdr>
    </w:div>
    <w:div w:id="1668098905">
      <w:bodyDiv w:val="1"/>
      <w:marLeft w:val="0"/>
      <w:marRight w:val="0"/>
      <w:marTop w:val="0"/>
      <w:marBottom w:val="0"/>
      <w:divBdr>
        <w:top w:val="none" w:sz="0" w:space="0" w:color="auto"/>
        <w:left w:val="none" w:sz="0" w:space="0" w:color="auto"/>
        <w:bottom w:val="none" w:sz="0" w:space="0" w:color="auto"/>
        <w:right w:val="none" w:sz="0" w:space="0" w:color="auto"/>
      </w:divBdr>
    </w:div>
    <w:div w:id="1702854295">
      <w:bodyDiv w:val="1"/>
      <w:marLeft w:val="0"/>
      <w:marRight w:val="0"/>
      <w:marTop w:val="0"/>
      <w:marBottom w:val="0"/>
      <w:divBdr>
        <w:top w:val="none" w:sz="0" w:space="0" w:color="auto"/>
        <w:left w:val="none" w:sz="0" w:space="0" w:color="auto"/>
        <w:bottom w:val="none" w:sz="0" w:space="0" w:color="auto"/>
        <w:right w:val="none" w:sz="0" w:space="0" w:color="auto"/>
      </w:divBdr>
      <w:divsChild>
        <w:div w:id="1196651761">
          <w:marLeft w:val="0"/>
          <w:marRight w:val="0"/>
          <w:marTop w:val="0"/>
          <w:marBottom w:val="0"/>
          <w:divBdr>
            <w:top w:val="none" w:sz="0" w:space="0" w:color="auto"/>
            <w:left w:val="none" w:sz="0" w:space="0" w:color="auto"/>
            <w:bottom w:val="none" w:sz="0" w:space="0" w:color="auto"/>
            <w:right w:val="none" w:sz="0" w:space="0" w:color="auto"/>
          </w:divBdr>
          <w:divsChild>
            <w:div w:id="1161894959">
              <w:marLeft w:val="0"/>
              <w:marRight w:val="0"/>
              <w:marTop w:val="0"/>
              <w:marBottom w:val="0"/>
              <w:divBdr>
                <w:top w:val="none" w:sz="0" w:space="0" w:color="auto"/>
                <w:left w:val="none" w:sz="0" w:space="0" w:color="auto"/>
                <w:bottom w:val="none" w:sz="0" w:space="0" w:color="auto"/>
                <w:right w:val="none" w:sz="0" w:space="0" w:color="auto"/>
              </w:divBdr>
              <w:divsChild>
                <w:div w:id="210144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135150">
      <w:bodyDiv w:val="1"/>
      <w:marLeft w:val="0"/>
      <w:marRight w:val="0"/>
      <w:marTop w:val="0"/>
      <w:marBottom w:val="0"/>
      <w:divBdr>
        <w:top w:val="none" w:sz="0" w:space="0" w:color="auto"/>
        <w:left w:val="none" w:sz="0" w:space="0" w:color="auto"/>
        <w:bottom w:val="none" w:sz="0" w:space="0" w:color="auto"/>
        <w:right w:val="none" w:sz="0" w:space="0" w:color="auto"/>
      </w:divBdr>
    </w:div>
    <w:div w:id="1729066134">
      <w:bodyDiv w:val="1"/>
      <w:marLeft w:val="0"/>
      <w:marRight w:val="0"/>
      <w:marTop w:val="0"/>
      <w:marBottom w:val="0"/>
      <w:divBdr>
        <w:top w:val="none" w:sz="0" w:space="0" w:color="auto"/>
        <w:left w:val="none" w:sz="0" w:space="0" w:color="auto"/>
        <w:bottom w:val="none" w:sz="0" w:space="0" w:color="auto"/>
        <w:right w:val="none" w:sz="0" w:space="0" w:color="auto"/>
      </w:divBdr>
      <w:divsChild>
        <w:div w:id="1307737873">
          <w:marLeft w:val="0"/>
          <w:marRight w:val="0"/>
          <w:marTop w:val="0"/>
          <w:marBottom w:val="0"/>
          <w:divBdr>
            <w:top w:val="none" w:sz="0" w:space="0" w:color="auto"/>
            <w:left w:val="none" w:sz="0" w:space="0" w:color="auto"/>
            <w:bottom w:val="none" w:sz="0" w:space="0" w:color="auto"/>
            <w:right w:val="none" w:sz="0" w:space="0" w:color="auto"/>
          </w:divBdr>
          <w:divsChild>
            <w:div w:id="729159974">
              <w:marLeft w:val="0"/>
              <w:marRight w:val="0"/>
              <w:marTop w:val="0"/>
              <w:marBottom w:val="0"/>
              <w:divBdr>
                <w:top w:val="none" w:sz="0" w:space="0" w:color="auto"/>
                <w:left w:val="none" w:sz="0" w:space="0" w:color="auto"/>
                <w:bottom w:val="none" w:sz="0" w:space="0" w:color="auto"/>
                <w:right w:val="none" w:sz="0" w:space="0" w:color="auto"/>
              </w:divBdr>
              <w:divsChild>
                <w:div w:id="1247807556">
                  <w:marLeft w:val="0"/>
                  <w:marRight w:val="0"/>
                  <w:marTop w:val="0"/>
                  <w:marBottom w:val="0"/>
                  <w:divBdr>
                    <w:top w:val="none" w:sz="0" w:space="0" w:color="auto"/>
                    <w:left w:val="none" w:sz="0" w:space="0" w:color="auto"/>
                    <w:bottom w:val="none" w:sz="0" w:space="0" w:color="auto"/>
                    <w:right w:val="none" w:sz="0" w:space="0" w:color="auto"/>
                  </w:divBdr>
                  <w:divsChild>
                    <w:div w:id="94018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176497">
      <w:bodyDiv w:val="1"/>
      <w:marLeft w:val="0"/>
      <w:marRight w:val="0"/>
      <w:marTop w:val="0"/>
      <w:marBottom w:val="0"/>
      <w:divBdr>
        <w:top w:val="none" w:sz="0" w:space="0" w:color="auto"/>
        <w:left w:val="none" w:sz="0" w:space="0" w:color="auto"/>
        <w:bottom w:val="none" w:sz="0" w:space="0" w:color="auto"/>
        <w:right w:val="none" w:sz="0" w:space="0" w:color="auto"/>
      </w:divBdr>
      <w:divsChild>
        <w:div w:id="4287428">
          <w:marLeft w:val="0"/>
          <w:marRight w:val="0"/>
          <w:marTop w:val="0"/>
          <w:marBottom w:val="0"/>
          <w:divBdr>
            <w:top w:val="none" w:sz="0" w:space="0" w:color="auto"/>
            <w:left w:val="none" w:sz="0" w:space="0" w:color="auto"/>
            <w:bottom w:val="none" w:sz="0" w:space="0" w:color="auto"/>
            <w:right w:val="none" w:sz="0" w:space="0" w:color="auto"/>
          </w:divBdr>
          <w:divsChild>
            <w:div w:id="1382902111">
              <w:marLeft w:val="0"/>
              <w:marRight w:val="0"/>
              <w:marTop w:val="0"/>
              <w:marBottom w:val="0"/>
              <w:divBdr>
                <w:top w:val="none" w:sz="0" w:space="0" w:color="auto"/>
                <w:left w:val="none" w:sz="0" w:space="0" w:color="auto"/>
                <w:bottom w:val="none" w:sz="0" w:space="0" w:color="auto"/>
                <w:right w:val="none" w:sz="0" w:space="0" w:color="auto"/>
              </w:divBdr>
              <w:divsChild>
                <w:div w:id="18941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46167">
      <w:bodyDiv w:val="1"/>
      <w:marLeft w:val="0"/>
      <w:marRight w:val="0"/>
      <w:marTop w:val="0"/>
      <w:marBottom w:val="0"/>
      <w:divBdr>
        <w:top w:val="none" w:sz="0" w:space="0" w:color="auto"/>
        <w:left w:val="none" w:sz="0" w:space="0" w:color="auto"/>
        <w:bottom w:val="none" w:sz="0" w:space="0" w:color="auto"/>
        <w:right w:val="none" w:sz="0" w:space="0" w:color="auto"/>
      </w:divBdr>
    </w:div>
    <w:div w:id="1833255343">
      <w:bodyDiv w:val="1"/>
      <w:marLeft w:val="0"/>
      <w:marRight w:val="0"/>
      <w:marTop w:val="0"/>
      <w:marBottom w:val="0"/>
      <w:divBdr>
        <w:top w:val="none" w:sz="0" w:space="0" w:color="auto"/>
        <w:left w:val="none" w:sz="0" w:space="0" w:color="auto"/>
        <w:bottom w:val="none" w:sz="0" w:space="0" w:color="auto"/>
        <w:right w:val="none" w:sz="0" w:space="0" w:color="auto"/>
      </w:divBdr>
      <w:divsChild>
        <w:div w:id="24407230">
          <w:marLeft w:val="0"/>
          <w:marRight w:val="0"/>
          <w:marTop w:val="0"/>
          <w:marBottom w:val="0"/>
          <w:divBdr>
            <w:top w:val="none" w:sz="0" w:space="0" w:color="auto"/>
            <w:left w:val="none" w:sz="0" w:space="0" w:color="auto"/>
            <w:bottom w:val="none" w:sz="0" w:space="0" w:color="auto"/>
            <w:right w:val="none" w:sz="0" w:space="0" w:color="auto"/>
          </w:divBdr>
          <w:divsChild>
            <w:div w:id="177277526">
              <w:marLeft w:val="0"/>
              <w:marRight w:val="0"/>
              <w:marTop w:val="0"/>
              <w:marBottom w:val="0"/>
              <w:divBdr>
                <w:top w:val="none" w:sz="0" w:space="0" w:color="auto"/>
                <w:left w:val="none" w:sz="0" w:space="0" w:color="auto"/>
                <w:bottom w:val="none" w:sz="0" w:space="0" w:color="auto"/>
                <w:right w:val="none" w:sz="0" w:space="0" w:color="auto"/>
              </w:divBdr>
              <w:divsChild>
                <w:div w:id="20862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070642">
      <w:bodyDiv w:val="1"/>
      <w:marLeft w:val="0"/>
      <w:marRight w:val="0"/>
      <w:marTop w:val="0"/>
      <w:marBottom w:val="0"/>
      <w:divBdr>
        <w:top w:val="none" w:sz="0" w:space="0" w:color="auto"/>
        <w:left w:val="none" w:sz="0" w:space="0" w:color="auto"/>
        <w:bottom w:val="none" w:sz="0" w:space="0" w:color="auto"/>
        <w:right w:val="none" w:sz="0" w:space="0" w:color="auto"/>
      </w:divBdr>
    </w:div>
    <w:div w:id="1894803624">
      <w:bodyDiv w:val="1"/>
      <w:marLeft w:val="0"/>
      <w:marRight w:val="0"/>
      <w:marTop w:val="0"/>
      <w:marBottom w:val="0"/>
      <w:divBdr>
        <w:top w:val="none" w:sz="0" w:space="0" w:color="auto"/>
        <w:left w:val="none" w:sz="0" w:space="0" w:color="auto"/>
        <w:bottom w:val="none" w:sz="0" w:space="0" w:color="auto"/>
        <w:right w:val="none" w:sz="0" w:space="0" w:color="auto"/>
      </w:divBdr>
      <w:divsChild>
        <w:div w:id="895160327">
          <w:marLeft w:val="0"/>
          <w:marRight w:val="0"/>
          <w:marTop w:val="0"/>
          <w:marBottom w:val="0"/>
          <w:divBdr>
            <w:top w:val="none" w:sz="0" w:space="0" w:color="auto"/>
            <w:left w:val="none" w:sz="0" w:space="0" w:color="auto"/>
            <w:bottom w:val="none" w:sz="0" w:space="0" w:color="auto"/>
            <w:right w:val="none" w:sz="0" w:space="0" w:color="auto"/>
          </w:divBdr>
          <w:divsChild>
            <w:div w:id="1648243343">
              <w:marLeft w:val="0"/>
              <w:marRight w:val="0"/>
              <w:marTop w:val="0"/>
              <w:marBottom w:val="0"/>
              <w:divBdr>
                <w:top w:val="none" w:sz="0" w:space="0" w:color="auto"/>
                <w:left w:val="none" w:sz="0" w:space="0" w:color="auto"/>
                <w:bottom w:val="none" w:sz="0" w:space="0" w:color="auto"/>
                <w:right w:val="none" w:sz="0" w:space="0" w:color="auto"/>
              </w:divBdr>
              <w:divsChild>
                <w:div w:id="140826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65721">
      <w:bodyDiv w:val="1"/>
      <w:marLeft w:val="0"/>
      <w:marRight w:val="0"/>
      <w:marTop w:val="0"/>
      <w:marBottom w:val="0"/>
      <w:divBdr>
        <w:top w:val="none" w:sz="0" w:space="0" w:color="auto"/>
        <w:left w:val="none" w:sz="0" w:space="0" w:color="auto"/>
        <w:bottom w:val="none" w:sz="0" w:space="0" w:color="auto"/>
        <w:right w:val="none" w:sz="0" w:space="0" w:color="auto"/>
      </w:divBdr>
      <w:divsChild>
        <w:div w:id="308831746">
          <w:marLeft w:val="0"/>
          <w:marRight w:val="0"/>
          <w:marTop w:val="0"/>
          <w:marBottom w:val="0"/>
          <w:divBdr>
            <w:top w:val="none" w:sz="0" w:space="0" w:color="auto"/>
            <w:left w:val="none" w:sz="0" w:space="0" w:color="auto"/>
            <w:bottom w:val="none" w:sz="0" w:space="0" w:color="auto"/>
            <w:right w:val="none" w:sz="0" w:space="0" w:color="auto"/>
          </w:divBdr>
          <w:divsChild>
            <w:div w:id="1188057945">
              <w:marLeft w:val="0"/>
              <w:marRight w:val="0"/>
              <w:marTop w:val="0"/>
              <w:marBottom w:val="0"/>
              <w:divBdr>
                <w:top w:val="none" w:sz="0" w:space="0" w:color="auto"/>
                <w:left w:val="none" w:sz="0" w:space="0" w:color="auto"/>
                <w:bottom w:val="none" w:sz="0" w:space="0" w:color="auto"/>
                <w:right w:val="none" w:sz="0" w:space="0" w:color="auto"/>
              </w:divBdr>
              <w:divsChild>
                <w:div w:id="195463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77513">
      <w:bodyDiv w:val="1"/>
      <w:marLeft w:val="0"/>
      <w:marRight w:val="0"/>
      <w:marTop w:val="0"/>
      <w:marBottom w:val="0"/>
      <w:divBdr>
        <w:top w:val="none" w:sz="0" w:space="0" w:color="auto"/>
        <w:left w:val="none" w:sz="0" w:space="0" w:color="auto"/>
        <w:bottom w:val="none" w:sz="0" w:space="0" w:color="auto"/>
        <w:right w:val="none" w:sz="0" w:space="0" w:color="auto"/>
      </w:divBdr>
      <w:divsChild>
        <w:div w:id="1036781278">
          <w:marLeft w:val="0"/>
          <w:marRight w:val="0"/>
          <w:marTop w:val="0"/>
          <w:marBottom w:val="0"/>
          <w:divBdr>
            <w:top w:val="none" w:sz="0" w:space="0" w:color="auto"/>
            <w:left w:val="none" w:sz="0" w:space="0" w:color="auto"/>
            <w:bottom w:val="none" w:sz="0" w:space="0" w:color="auto"/>
            <w:right w:val="none" w:sz="0" w:space="0" w:color="auto"/>
          </w:divBdr>
          <w:divsChild>
            <w:div w:id="1549415256">
              <w:marLeft w:val="0"/>
              <w:marRight w:val="0"/>
              <w:marTop w:val="0"/>
              <w:marBottom w:val="0"/>
              <w:divBdr>
                <w:top w:val="none" w:sz="0" w:space="0" w:color="auto"/>
                <w:left w:val="none" w:sz="0" w:space="0" w:color="auto"/>
                <w:bottom w:val="none" w:sz="0" w:space="0" w:color="auto"/>
                <w:right w:val="none" w:sz="0" w:space="0" w:color="auto"/>
              </w:divBdr>
              <w:divsChild>
                <w:div w:id="152964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oter" Target="footer1.xml"/><Relationship Id="rId8" Type="http://schemas.openxmlformats.org/officeDocument/2006/relationships/image" Target="media/image1.emf"/></Relationships>
</file>

<file path=word/_rels/footnotes.xml.rels><?xml version="1.0" encoding="UTF-8" standalone="yes"?>
<Relationships xmlns="http://schemas.openxmlformats.org/package/2006/relationships"><Relationship Id="rId13" Type="http://schemas.openxmlformats.org/officeDocument/2006/relationships/hyperlink" Target="http://docstore.ohchr.org/SelfServices/FilesHandler.ashx?enc=6QkG1d%2fPPRiCAqhKb7yhsiyaiCIuQzff7FUjD97cNmkHsu4cusE6f7aAm30Zc651pKNDvv%2f4hPnZxGkUWu12qrrOzsXgrLnk6S5gmUDBGEpu57TeyIqDnR5kWd7YYOGy" TargetMode="External"/><Relationship Id="rId18" Type="http://schemas.openxmlformats.org/officeDocument/2006/relationships/hyperlink" Target="https://www.google.com/url?sa=t&amp;rct=j&amp;q=&amp;esrc=s&amp;source=web&amp;cd=1&amp;ved=2ahUKEwj6xpu84crjAhWRXsAKHduZCfQQFjAAegQIABAC&amp;url=http%3A%2F%2Fwww2.ohchr.org%2FSPdocs%2FCRPD%2F7thsession%2FHungarianDisabilityCaucus.doc&amp;usg=AOvVaw1UIBa2ErwyfNMCpiX6SZLy" TargetMode="External"/><Relationship Id="rId26" Type="http://schemas.openxmlformats.org/officeDocument/2006/relationships/hyperlink" Target="http://docstore.ohchr.org/SelfServices/FilesHandler.ashx?enc=6QkG1d%2fPPRiCAqhKb7yhsnzSGolKOaUX8SsM2PfxU7s9lOchc%2bi0vJdc3TEt6JuQH6d6LwuOqunaiCbf0Z0e%2b%2fWMb4CH5VprCrZY%2bNACxgG%2b3FQ4iHroX8O6TU68Yogo" TargetMode="External"/><Relationship Id="rId39" Type="http://schemas.openxmlformats.org/officeDocument/2006/relationships/hyperlink" Target="https://www.lawreform.vic.gov.au/sites/default/files/Guardianship_FinalReport_Full%20text.pdf" TargetMode="External"/><Relationship Id="rId21" Type="http://schemas.openxmlformats.org/officeDocument/2006/relationships/hyperlink" Target="https://www.globaldisabilityrightsnow.org/sites/default/files/related-files/262/My%20Home%2C%20My%20Choice%20in%20Hungary%20-%20Community%20living%20for%20people%20with%20mental%20disabilities.pdf" TargetMode="External"/><Relationship Id="rId34" Type="http://schemas.openxmlformats.org/officeDocument/2006/relationships/hyperlink" Target="http://www.bclaws.ca/civix/document/id/complete/statreg/96405_01" TargetMode="External"/><Relationship Id="rId7" Type="http://schemas.openxmlformats.org/officeDocument/2006/relationships/hyperlink" Target="https://www.google.com/url?sa=t&amp;rct=j&amp;q=&amp;esrc=s&amp;source=web&amp;cd=1&amp;ved=2ahUKEwihjfCH1MjjAhVQ1qYKHXXdA1MQFjAAegQIARAC&amp;url=https%3A%2F%2Fwww.ohchr.org%2FDocuments%2FIssues%2FDisability%2FDecisionMaking%2FCSOs_DPOs%2FCSOs%2520-%2520EQUALS_India_ENG.docx&amp;usg=AOvVaw1RCHWNYsE62xvK3GPwZZMo" TargetMode="External"/><Relationship Id="rId12" Type="http://schemas.openxmlformats.org/officeDocument/2006/relationships/hyperlink" Target="http://mdac.org/sites/mdac.org/files/2011_12_06_Comments_LC_Latvia.doc" TargetMode="External"/><Relationship Id="rId17" Type="http://schemas.openxmlformats.org/officeDocument/2006/relationships/hyperlink" Target="http://docstore.ohchr.org/SelfServices/FilesHandler.ashx?enc=6QkG1d%2fPPRiCAqhKb7yhsmg8z0DXeL2x2%2fDmZ9jKJsn%2bvgDgQamIHh2by41iKdtBqX6%2fmcK7LAx1cVgfXGMMwJn3718zD3IMIjnCsqay3rkyHzOhuK5uyHrTCGRxaeBIQkmHcCe7%2bKCjPDB4KLjsfA%3d%3d" TargetMode="External"/><Relationship Id="rId25" Type="http://schemas.openxmlformats.org/officeDocument/2006/relationships/hyperlink" Target="https://www.google.com/url?sa=t&amp;rct=j&amp;q=&amp;esrc=s&amp;source=web&amp;cd=1&amp;ved=2ahUKEwjrpemG_MrjAhXOiVwKHVTJAxEQFjAAegQIABAC&amp;url=https%3A%2F%2Fec.europa.eu%2Fsocial%2FBlobServlet%3FdocId%3D15773%26langId%3Den&amp;usg=AOvVaw0WHW3CWubT__TYSkPkHqRI" TargetMode="External"/><Relationship Id="rId33" Type="http://schemas.openxmlformats.org/officeDocument/2006/relationships/hyperlink" Target="https://www.ohchr.org/EN/NewsEvents/Pages/DisplayNews.aspx?NewsID=24481&amp;LangID=E" TargetMode="External"/><Relationship Id="rId38" Type="http://schemas.openxmlformats.org/officeDocument/2006/relationships/hyperlink" Target="https://www.alrc.gov.au/sites/default/files/pdfs/publications/alrc_124_whole_pdf_file.pdf" TargetMode="External"/><Relationship Id="rId2" Type="http://schemas.openxmlformats.org/officeDocument/2006/relationships/hyperlink" Target="https://www.ohchr.org/Documents/Issues/Disability/A.HRC.37.56.docx" TargetMode="External"/><Relationship Id="rId16" Type="http://schemas.openxmlformats.org/officeDocument/2006/relationships/hyperlink" Target="https://tdziegler.files.wordpress.com/2014/06/civil_code.pdf" TargetMode="External"/><Relationship Id="rId20" Type="http://schemas.openxmlformats.org/officeDocument/2006/relationships/hyperlink" Target="https://tbinternet.ohchr.org/Treaties/CRPD/Shared%20Documents/HUN/INT_CRPD_ICS_HUN_31035_E.docx" TargetMode="External"/><Relationship Id="rId29" Type="http://schemas.openxmlformats.org/officeDocument/2006/relationships/hyperlink" Target="https://orbi.uliege.be/bitstream/2268/222202/1/Incapacit%C3%A9%20-%20DEGUEL.pdf" TargetMode="External"/><Relationship Id="rId1" Type="http://schemas.openxmlformats.org/officeDocument/2006/relationships/hyperlink" Target="https://www.equalrightstrust.org/ertdocumentbank/err_issue02%20reduced.pdf" TargetMode="External"/><Relationship Id="rId6" Type="http://schemas.openxmlformats.org/officeDocument/2006/relationships/hyperlink" Target="https://www.google.com/url?sa=t&amp;rct=j&amp;q=&amp;esrc=s&amp;source=web&amp;cd=3&amp;ved=2ahUKEwjgivP4mNDjAhWFyqYKHRaXA14QFjACegQIAhAC&amp;url=https%3A%2F%2Fcostarica.unfpa.org%2Fsites%2Fdefault%2Ffiles%2Fpub-pdf%2Fcuaderno%2520autonomi%25CC%2581a-baja.pdf&amp;usg=AOvVaw2lpz17MKJAXptzauLeDS5G" TargetMode="External"/><Relationship Id="rId11" Type="http://schemas.openxmlformats.org/officeDocument/2006/relationships/hyperlink" Target="http://zelda.org.lv/wp-content/uploads/Opinion-concerning-the-amendments-to-Civil-Law-and-Civil-Procedure-Law-regarding-legal-capacity1.pdf" TargetMode="External"/><Relationship Id="rId24" Type="http://schemas.openxmlformats.org/officeDocument/2006/relationships/hyperlink" Target="https://www.hse.ie/eng/about/who/qid/other-quality-improvement-programmes/assisteddecisionmaking/assisted-decision-making.html" TargetMode="External"/><Relationship Id="rId32"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37" Type="http://schemas.openxmlformats.org/officeDocument/2006/relationships/hyperlink" Target="https://capitol.texas.gov/tlodocs/84R/billtext/pdf/SB01881F.pdf" TargetMode="External"/><Relationship Id="rId40" Type="http://schemas.openxmlformats.org/officeDocument/2006/relationships/hyperlink" Target="http://www.legislation.vic.gov.au/Domino/Web_Notes/LDMS/PubStatbook.nsf/f932b66241ecf1b7ca256e92000e23be/AF123F4F49B8FA2BCA257D40000EE0B2/$FILE/14-057abookmarked.pdf" TargetMode="External"/><Relationship Id="rId5" Type="http://schemas.openxmlformats.org/officeDocument/2006/relationships/hyperlink" Target="https://www.google.com/url?sa=t&amp;rct=j&amp;q=&amp;esrc=s&amp;source=web&amp;cd=2&amp;ved=2ahUKEwiT8__J8NnjAhXd8qYKHRutBm4QFjABegQIABAC&amp;url=https%3A%2F%2Fwww.mdpi.com%2F2075-471X%2F8%2F1%2F4%2Fpdf&amp;usg=AOvVaw27oDRzj2bXo1i4LG8-x81I" TargetMode="External"/><Relationship Id="rId15" Type="http://schemas.openxmlformats.org/officeDocument/2006/relationships/hyperlink" Target="https://www.mdac.org/en/Hungary" TargetMode="External"/><Relationship Id="rId23" Type="http://schemas.openxmlformats.org/officeDocument/2006/relationships/hyperlink" Target="http://www.ksh.hu/docs/hun/xstadat/xstadat_eves/i_fsg004.html" TargetMode="External"/><Relationship Id="rId28" Type="http://schemas.openxmlformats.org/officeDocument/2006/relationships/hyperlink" Target="http://www.ejustice.just.fgov.be/cgi_loi/change_lg.pl?language=fr&amp;la=F&amp;cn=2013031714&amp;table_name=loi" TargetMode="External"/><Relationship Id="rId36" Type="http://schemas.openxmlformats.org/officeDocument/2006/relationships/hyperlink" Target="https://www.nyulawreview.org/wp-content/uploads/2018/10/NYULawReview-93-4-Theodorou_0.pdf" TargetMode="External"/><Relationship Id="rId10" Type="http://schemas.openxmlformats.org/officeDocument/2006/relationships/hyperlink" Target="https://www.kvalitavpraxi.cz/res/archive/033/004202.pdf?seek=1527587379" TargetMode="External"/><Relationship Id="rId19" Type="http://schemas.openxmlformats.org/officeDocument/2006/relationships/hyperlink" Target="https://www.google.com/url?sa=t&amp;rct=j&amp;q=&amp;esrc=s&amp;source=web&amp;cd=1&amp;ved=2ahUKEwiO6eeX8crjAhWHiVwKHca8CKMQFjAAegQIABAC&amp;url=https%3A%2F%2Fuprdoc.ohchr.org%2Fuprweb%2Fdownloadfile.aspx%3Ffilename%3D2610%26file%3DEnglishTranslation&amp;usg=AOvVaw3g4c_Bav4mYf2tjCi4f7Tl" TargetMode="External"/><Relationship Id="rId31" Type="http://schemas.openxmlformats.org/officeDocument/2006/relationships/hyperlink" Target="https://tbinternet.ohchr.org/Treaties/CRPD/Shared%20Documents/BEL/INT_CRPD_NGO_BEL_16564_E.pdf" TargetMode="External"/><Relationship Id="rId4" Type="http://schemas.openxmlformats.org/officeDocument/2006/relationships/hyperlink" Target="https://dk-media.s3.amazonaws.com/AA/AG/chrusp-biz/downloads/340835/Legislative_Decree_No_1384__Peruvian_legal_capacity_reform_.docx" TargetMode="External"/><Relationship Id="rId9" Type="http://schemas.openxmlformats.org/officeDocument/2006/relationships/hyperlink" Target="http://mdac.info/sites/mdac.info/files/legal_capacity_in_europe.pdf" TargetMode="External"/><Relationship Id="rId14" Type="http://schemas.openxmlformats.org/officeDocument/2006/relationships/hyperlink" Target="http://docstore.ohchr.org/SelfServices/FilesHandler.ashx?enc=6QkG1d%2fPPRiCAqhKb7yhsiyaiCIuQzff7FUjD97cNmlMwHPw42Pi74CX9nqtwZb5qlEktwaQ2x8FfTttXJ0XRXWKqzZxg9%2fh7C25wlyrQ7Z84yHwWFin%2fZGIu%2bHYTWea" TargetMode="External"/><Relationship Id="rId22" Type="http://schemas.openxmlformats.org/officeDocument/2006/relationships/hyperlink" Target="https://tbinternet.ohchr.org/Treaties/CRPD/Shared%20Documents/HUN/INT_CRPD_ICS_HUN_26895_E.doc" TargetMode="External"/><Relationship Id="rId27" Type="http://schemas.openxmlformats.org/officeDocument/2006/relationships/hyperlink" Target="https://tbinternet.ohchr.org/Treaties/CRPD/Shared%20Documents/AUT/INT_CRPD_ICS_AUT_31755_E.DOCX" TargetMode="External"/><Relationship Id="rId30" Type="http://schemas.openxmlformats.org/officeDocument/2006/relationships/hyperlink" Target="https://tbinternet.ohchr.org/Treaties/CRPD/Shared%20Documents/BEL/INT_CRPD_NGO_BEL_17019_E.doc" TargetMode="External"/><Relationship Id="rId35" Type="http://schemas.openxmlformats.org/officeDocument/2006/relationships/hyperlink" Target="http://www.bclaws.ca/civix/document/id/consol31/consol31/00_96181_01" TargetMode="External"/><Relationship Id="rId8" Type="http://schemas.openxmlformats.org/officeDocument/2006/relationships/hyperlink" Target="http://docstore.ohchr.org/SelfServices/FilesHandler.ashx?enc=6QkG1d%2fPPRiCAqhKb7yhsmcRCScUCudOHc8Goa6B5KEkL6YUtTPLTOUD66rERh6KEGfKVWTxI5AfzkloITNfgT5HMb5VMk3dAc8OQXVFSy9OFbu57wXSawf15nY8EVQa%2bdZPt0VvYglHaZoMaUHyNQ%3d%3d" TargetMode="External"/><Relationship Id="rId3" Type="http://schemas.openxmlformats.org/officeDocument/2006/relationships/hyperlink" Target="https://dk-media.s3.amazonaws.com/AA/AG/chrusp-biz/downloads/340835/Legislative_Decree_No_1384__Peruvian_legal_capacity_reform_.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863C9-F101-480F-AC9B-1401C08AB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108</Pages>
  <Words>37590</Words>
  <Characters>214269</Characters>
  <Application>Microsoft Office Word</Application>
  <DocSecurity>0</DocSecurity>
  <Lines>1785</Lines>
  <Paragraphs>502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Backman</dc:creator>
  <cp:keywords/>
  <dc:description/>
  <cp:lastModifiedBy>Hezzy/Matthew Smith</cp:lastModifiedBy>
  <cp:revision>2</cp:revision>
  <cp:lastPrinted>2019-07-31T06:59:00Z</cp:lastPrinted>
  <dcterms:created xsi:type="dcterms:W3CDTF">2020-01-02T20:45:00Z</dcterms:created>
  <dcterms:modified xsi:type="dcterms:W3CDTF">2020-01-02T20:45:00Z</dcterms:modified>
</cp:coreProperties>
</file>