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009B7" w14:textId="03E5B14A" w:rsidR="00B305B5" w:rsidRPr="003C5376" w:rsidRDefault="00250202" w:rsidP="00416BBB">
      <w:pPr>
        <w:jc w:val="center"/>
        <w:rPr>
          <w:b/>
          <w:sz w:val="28"/>
          <w:szCs w:val="28"/>
        </w:rPr>
      </w:pPr>
      <w:r>
        <w:rPr>
          <w:b/>
        </w:rPr>
        <w:t xml:space="preserve"> </w:t>
      </w:r>
      <w:r w:rsidR="00B305B5" w:rsidRPr="003C5376">
        <w:rPr>
          <w:b/>
          <w:sz w:val="28"/>
          <w:szCs w:val="28"/>
        </w:rPr>
        <w:t xml:space="preserve">Supporting Decision Making Across the Age Spectrum </w:t>
      </w:r>
    </w:p>
    <w:p w14:paraId="303DF152" w14:textId="78BC3C6A" w:rsidR="00AA64F4" w:rsidRPr="003C5376" w:rsidRDefault="00AA64F4" w:rsidP="00416BBB">
      <w:pPr>
        <w:jc w:val="center"/>
      </w:pPr>
      <w:r w:rsidRPr="003C5376">
        <w:t>A Report by</w:t>
      </w:r>
    </w:p>
    <w:p w14:paraId="6110F5D7" w14:textId="69396E3B" w:rsidR="00B305B5" w:rsidRPr="00416BBB" w:rsidRDefault="00221B65" w:rsidP="00416BBB">
      <w:pPr>
        <w:jc w:val="center"/>
        <w:rPr>
          <w:b/>
        </w:rPr>
      </w:pPr>
      <w:r w:rsidRPr="00416BBB">
        <w:rPr>
          <w:b/>
        </w:rPr>
        <w:t>T</w:t>
      </w:r>
      <w:r w:rsidR="00B305B5" w:rsidRPr="00416BBB">
        <w:rPr>
          <w:b/>
        </w:rPr>
        <w:t>he American Bar Association Commission on Law and Aging</w:t>
      </w:r>
      <w:r w:rsidR="003C5376">
        <w:rPr>
          <w:rStyle w:val="FootnoteReference"/>
          <w:b/>
        </w:rPr>
        <w:footnoteReference w:id="1"/>
      </w:r>
      <w:r w:rsidR="00B305B5" w:rsidRPr="00416BBB">
        <w:rPr>
          <w:b/>
        </w:rPr>
        <w:t xml:space="preserve"> </w:t>
      </w:r>
    </w:p>
    <w:p w14:paraId="62B4200E" w14:textId="2B548EAD" w:rsidR="00B305B5" w:rsidRDefault="002B1BCA" w:rsidP="00416BBB">
      <w:pPr>
        <w:jc w:val="center"/>
        <w:rPr>
          <w:b/>
        </w:rPr>
      </w:pPr>
      <w:r>
        <w:rPr>
          <w:b/>
        </w:rPr>
        <w:t>March</w:t>
      </w:r>
      <w:r w:rsidR="009D2D14">
        <w:rPr>
          <w:b/>
        </w:rPr>
        <w:t xml:space="preserve"> 2020</w:t>
      </w:r>
    </w:p>
    <w:p w14:paraId="08B7CC8D" w14:textId="0E2EE7A3" w:rsidR="00F33B75" w:rsidRDefault="00F33B75" w:rsidP="00416BBB">
      <w:pPr>
        <w:jc w:val="center"/>
        <w:rPr>
          <w:b/>
        </w:rPr>
      </w:pPr>
    </w:p>
    <w:p w14:paraId="38790459" w14:textId="77777777" w:rsidR="00F33B75" w:rsidRPr="00416BBB" w:rsidRDefault="00F33B75" w:rsidP="00416BBB">
      <w:pPr>
        <w:jc w:val="center"/>
        <w:rPr>
          <w:b/>
        </w:rPr>
      </w:pPr>
    </w:p>
    <w:p w14:paraId="1CB6ACB3" w14:textId="5A96CB96" w:rsidR="00526215" w:rsidRPr="00416BBB" w:rsidRDefault="00526215" w:rsidP="00416BBB">
      <w:pPr>
        <w:rPr>
          <w:b/>
        </w:rPr>
      </w:pPr>
    </w:p>
    <w:sdt>
      <w:sdtPr>
        <w:rPr>
          <w:rFonts w:ascii="Times New Roman" w:eastAsia="Times New Roman" w:hAnsi="Times New Roman" w:cs="Times New Roman"/>
          <w:color w:val="auto"/>
          <w:sz w:val="24"/>
          <w:szCs w:val="24"/>
        </w:rPr>
        <w:id w:val="1636294474"/>
        <w:docPartObj>
          <w:docPartGallery w:val="Table of Contents"/>
          <w:docPartUnique/>
        </w:docPartObj>
      </w:sdtPr>
      <w:sdtEndPr>
        <w:rPr>
          <w:b/>
          <w:bCs/>
          <w:noProof/>
        </w:rPr>
      </w:sdtEndPr>
      <w:sdtContent>
        <w:p w14:paraId="4FAE880E" w14:textId="1DA1E9D1" w:rsidR="00526215" w:rsidRDefault="00526215" w:rsidP="00197013">
          <w:pPr>
            <w:pStyle w:val="TOCHeading"/>
            <w:spacing w:before="0" w:line="240" w:lineRule="auto"/>
            <w:rPr>
              <w:rFonts w:ascii="Times New Roman" w:hAnsi="Times New Roman" w:cs="Times New Roman"/>
              <w:sz w:val="28"/>
              <w:szCs w:val="28"/>
            </w:rPr>
          </w:pPr>
          <w:r w:rsidRPr="00197013">
            <w:rPr>
              <w:rFonts w:ascii="Times New Roman" w:hAnsi="Times New Roman" w:cs="Times New Roman"/>
              <w:sz w:val="28"/>
              <w:szCs w:val="28"/>
            </w:rPr>
            <w:t xml:space="preserve">Table of Contents </w:t>
          </w:r>
        </w:p>
        <w:p w14:paraId="6793C48D" w14:textId="77777777" w:rsidR="00535A09" w:rsidRPr="00535A09" w:rsidRDefault="00535A09" w:rsidP="00535A09"/>
        <w:p w14:paraId="006E9E60" w14:textId="082435C1" w:rsidR="00B87A19" w:rsidRDefault="00526215">
          <w:pPr>
            <w:pStyle w:val="TOC2"/>
            <w:tabs>
              <w:tab w:val="right" w:leader="dot" w:pos="9350"/>
            </w:tabs>
            <w:rPr>
              <w:rFonts w:asciiTheme="minorHAnsi" w:eastAsiaTheme="minorEastAsia" w:hAnsiTheme="minorHAnsi" w:cstheme="minorBidi"/>
              <w:noProof/>
              <w:sz w:val="22"/>
              <w:szCs w:val="22"/>
            </w:rPr>
          </w:pPr>
          <w:r w:rsidRPr="006959E5">
            <w:rPr>
              <w:b/>
              <w:bCs/>
              <w:noProof/>
            </w:rPr>
            <w:fldChar w:fldCharType="begin"/>
          </w:r>
          <w:r w:rsidRPr="00416BBB">
            <w:rPr>
              <w:b/>
              <w:bCs/>
              <w:noProof/>
            </w:rPr>
            <w:instrText xml:space="preserve"> TOC \o "1-3" \h \z \u </w:instrText>
          </w:r>
          <w:r w:rsidRPr="006959E5">
            <w:rPr>
              <w:b/>
              <w:bCs/>
              <w:noProof/>
            </w:rPr>
            <w:fldChar w:fldCharType="separate"/>
          </w:r>
          <w:hyperlink w:anchor="_Toc31213090" w:history="1">
            <w:r w:rsidR="00B87A19" w:rsidRPr="006A4910">
              <w:rPr>
                <w:rStyle w:val="Hyperlink"/>
                <w:noProof/>
              </w:rPr>
              <w:t>Introduction</w:t>
            </w:r>
            <w:r w:rsidR="00B87A19">
              <w:rPr>
                <w:noProof/>
                <w:webHidden/>
              </w:rPr>
              <w:tab/>
            </w:r>
            <w:r w:rsidR="00B87A19">
              <w:rPr>
                <w:noProof/>
                <w:webHidden/>
              </w:rPr>
              <w:fldChar w:fldCharType="begin"/>
            </w:r>
            <w:r w:rsidR="00B87A19">
              <w:rPr>
                <w:noProof/>
                <w:webHidden/>
              </w:rPr>
              <w:instrText xml:space="preserve"> PAGEREF _Toc31213090 \h </w:instrText>
            </w:r>
            <w:r w:rsidR="00B87A19">
              <w:rPr>
                <w:noProof/>
                <w:webHidden/>
              </w:rPr>
            </w:r>
            <w:r w:rsidR="00B87A19">
              <w:rPr>
                <w:noProof/>
                <w:webHidden/>
              </w:rPr>
              <w:fldChar w:fldCharType="separate"/>
            </w:r>
            <w:r w:rsidR="00864AD6">
              <w:rPr>
                <w:noProof/>
                <w:webHidden/>
              </w:rPr>
              <w:t>1</w:t>
            </w:r>
            <w:r w:rsidR="00B87A19">
              <w:rPr>
                <w:noProof/>
                <w:webHidden/>
              </w:rPr>
              <w:fldChar w:fldCharType="end"/>
            </w:r>
          </w:hyperlink>
        </w:p>
        <w:p w14:paraId="2EBE6713" w14:textId="17C8F247" w:rsidR="00B87A19" w:rsidRDefault="001625A2">
          <w:pPr>
            <w:pStyle w:val="TOC2"/>
            <w:tabs>
              <w:tab w:val="right" w:leader="dot" w:pos="9350"/>
            </w:tabs>
            <w:rPr>
              <w:rFonts w:asciiTheme="minorHAnsi" w:eastAsiaTheme="minorEastAsia" w:hAnsiTheme="minorHAnsi" w:cstheme="minorBidi"/>
              <w:noProof/>
              <w:sz w:val="22"/>
              <w:szCs w:val="22"/>
            </w:rPr>
          </w:pPr>
          <w:hyperlink w:anchor="_Toc31213091" w:history="1">
            <w:r w:rsidR="00B87A19" w:rsidRPr="006A4910">
              <w:rPr>
                <w:rStyle w:val="Hyperlink"/>
                <w:noProof/>
              </w:rPr>
              <w:t xml:space="preserve">Decision Making: A Human Rights Framework </w:t>
            </w:r>
            <w:r w:rsidR="00B87A19">
              <w:rPr>
                <w:noProof/>
                <w:webHidden/>
              </w:rPr>
              <w:tab/>
            </w:r>
            <w:r w:rsidR="00B87A19">
              <w:rPr>
                <w:noProof/>
                <w:webHidden/>
              </w:rPr>
              <w:fldChar w:fldCharType="begin"/>
            </w:r>
            <w:r w:rsidR="00B87A19">
              <w:rPr>
                <w:noProof/>
                <w:webHidden/>
              </w:rPr>
              <w:instrText xml:space="preserve"> PAGEREF _Toc31213091 \h </w:instrText>
            </w:r>
            <w:r w:rsidR="00B87A19">
              <w:rPr>
                <w:noProof/>
                <w:webHidden/>
              </w:rPr>
            </w:r>
            <w:r w:rsidR="00B87A19">
              <w:rPr>
                <w:noProof/>
                <w:webHidden/>
              </w:rPr>
              <w:fldChar w:fldCharType="separate"/>
            </w:r>
            <w:r w:rsidR="00864AD6">
              <w:rPr>
                <w:noProof/>
                <w:webHidden/>
              </w:rPr>
              <w:t>3</w:t>
            </w:r>
            <w:r w:rsidR="00B87A19">
              <w:rPr>
                <w:noProof/>
                <w:webHidden/>
              </w:rPr>
              <w:fldChar w:fldCharType="end"/>
            </w:r>
          </w:hyperlink>
        </w:p>
        <w:p w14:paraId="5984FF18" w14:textId="57E2321A" w:rsidR="00B87A19" w:rsidRDefault="001625A2">
          <w:pPr>
            <w:pStyle w:val="TOC2"/>
            <w:tabs>
              <w:tab w:val="right" w:leader="dot" w:pos="9350"/>
            </w:tabs>
            <w:rPr>
              <w:rFonts w:asciiTheme="minorHAnsi" w:eastAsiaTheme="minorEastAsia" w:hAnsiTheme="minorHAnsi" w:cstheme="minorBidi"/>
              <w:noProof/>
              <w:sz w:val="22"/>
              <w:szCs w:val="22"/>
            </w:rPr>
          </w:pPr>
          <w:hyperlink w:anchor="_Toc31213092" w:history="1">
            <w:r w:rsidR="00B87A19" w:rsidRPr="006A4910">
              <w:rPr>
                <w:rStyle w:val="Hyperlink"/>
                <w:noProof/>
              </w:rPr>
              <w:t>Areas of Consensus</w:t>
            </w:r>
            <w:r w:rsidR="00B87A19">
              <w:rPr>
                <w:noProof/>
                <w:webHidden/>
              </w:rPr>
              <w:tab/>
            </w:r>
            <w:r w:rsidR="00B87A19">
              <w:rPr>
                <w:noProof/>
                <w:webHidden/>
              </w:rPr>
              <w:fldChar w:fldCharType="begin"/>
            </w:r>
            <w:r w:rsidR="00B87A19">
              <w:rPr>
                <w:noProof/>
                <w:webHidden/>
              </w:rPr>
              <w:instrText xml:space="preserve"> PAGEREF _Toc31213092 \h </w:instrText>
            </w:r>
            <w:r w:rsidR="00B87A19">
              <w:rPr>
                <w:noProof/>
                <w:webHidden/>
              </w:rPr>
            </w:r>
            <w:r w:rsidR="00B87A19">
              <w:rPr>
                <w:noProof/>
                <w:webHidden/>
              </w:rPr>
              <w:fldChar w:fldCharType="separate"/>
            </w:r>
            <w:r w:rsidR="00864AD6">
              <w:rPr>
                <w:noProof/>
                <w:webHidden/>
              </w:rPr>
              <w:t>5</w:t>
            </w:r>
            <w:r w:rsidR="00B87A19">
              <w:rPr>
                <w:noProof/>
                <w:webHidden/>
              </w:rPr>
              <w:fldChar w:fldCharType="end"/>
            </w:r>
          </w:hyperlink>
        </w:p>
        <w:p w14:paraId="5E3B3417" w14:textId="5000223B" w:rsidR="00B87A19" w:rsidRDefault="001625A2">
          <w:pPr>
            <w:pStyle w:val="TOC2"/>
            <w:tabs>
              <w:tab w:val="right" w:leader="dot" w:pos="9350"/>
            </w:tabs>
            <w:rPr>
              <w:rFonts w:asciiTheme="minorHAnsi" w:eastAsiaTheme="minorEastAsia" w:hAnsiTheme="minorHAnsi" w:cstheme="minorBidi"/>
              <w:noProof/>
              <w:sz w:val="22"/>
              <w:szCs w:val="22"/>
            </w:rPr>
          </w:pPr>
          <w:hyperlink w:anchor="_Toc31213093" w:history="1">
            <w:r w:rsidR="00B87A19" w:rsidRPr="006A4910">
              <w:rPr>
                <w:rStyle w:val="Hyperlink"/>
                <w:noProof/>
              </w:rPr>
              <w:t>Legal and Legislative Advances in Promoting Decision Supports</w:t>
            </w:r>
            <w:r w:rsidR="00B87A19">
              <w:rPr>
                <w:noProof/>
                <w:webHidden/>
              </w:rPr>
              <w:tab/>
            </w:r>
            <w:r w:rsidR="00B87A19">
              <w:rPr>
                <w:noProof/>
                <w:webHidden/>
              </w:rPr>
              <w:fldChar w:fldCharType="begin"/>
            </w:r>
            <w:r w:rsidR="00B87A19">
              <w:rPr>
                <w:noProof/>
                <w:webHidden/>
              </w:rPr>
              <w:instrText xml:space="preserve"> PAGEREF _Toc31213093 \h </w:instrText>
            </w:r>
            <w:r w:rsidR="00B87A19">
              <w:rPr>
                <w:noProof/>
                <w:webHidden/>
              </w:rPr>
            </w:r>
            <w:r w:rsidR="00B87A19">
              <w:rPr>
                <w:noProof/>
                <w:webHidden/>
              </w:rPr>
              <w:fldChar w:fldCharType="separate"/>
            </w:r>
            <w:r w:rsidR="00864AD6">
              <w:rPr>
                <w:noProof/>
                <w:webHidden/>
              </w:rPr>
              <w:t>5</w:t>
            </w:r>
            <w:r w:rsidR="00B87A19">
              <w:rPr>
                <w:noProof/>
                <w:webHidden/>
              </w:rPr>
              <w:fldChar w:fldCharType="end"/>
            </w:r>
          </w:hyperlink>
        </w:p>
        <w:p w14:paraId="204A3BF6" w14:textId="1BA8ED7C" w:rsidR="00B87A19" w:rsidRDefault="001625A2">
          <w:pPr>
            <w:pStyle w:val="TOC2"/>
            <w:tabs>
              <w:tab w:val="right" w:leader="dot" w:pos="9350"/>
            </w:tabs>
            <w:rPr>
              <w:rFonts w:asciiTheme="minorHAnsi" w:eastAsiaTheme="minorEastAsia" w:hAnsiTheme="minorHAnsi" w:cstheme="minorBidi"/>
              <w:noProof/>
              <w:sz w:val="22"/>
              <w:szCs w:val="22"/>
            </w:rPr>
          </w:pPr>
          <w:hyperlink w:anchor="_Toc31213094" w:history="1">
            <w:r w:rsidR="00B87A19" w:rsidRPr="006A4910">
              <w:rPr>
                <w:rStyle w:val="Hyperlink"/>
                <w:noProof/>
              </w:rPr>
              <w:t>Abuse, Neglect and Exploitation</w:t>
            </w:r>
            <w:r w:rsidR="00B87A19">
              <w:rPr>
                <w:noProof/>
                <w:webHidden/>
              </w:rPr>
              <w:tab/>
            </w:r>
            <w:r w:rsidR="00B87A19">
              <w:rPr>
                <w:noProof/>
                <w:webHidden/>
              </w:rPr>
              <w:fldChar w:fldCharType="begin"/>
            </w:r>
            <w:r w:rsidR="00B87A19">
              <w:rPr>
                <w:noProof/>
                <w:webHidden/>
              </w:rPr>
              <w:instrText xml:space="preserve"> PAGEREF _Toc31213094 \h </w:instrText>
            </w:r>
            <w:r w:rsidR="00B87A19">
              <w:rPr>
                <w:noProof/>
                <w:webHidden/>
              </w:rPr>
            </w:r>
            <w:r w:rsidR="00B87A19">
              <w:rPr>
                <w:noProof/>
                <w:webHidden/>
              </w:rPr>
              <w:fldChar w:fldCharType="separate"/>
            </w:r>
            <w:r w:rsidR="00864AD6">
              <w:rPr>
                <w:noProof/>
                <w:webHidden/>
              </w:rPr>
              <w:t>7</w:t>
            </w:r>
            <w:r w:rsidR="00B87A19">
              <w:rPr>
                <w:noProof/>
                <w:webHidden/>
              </w:rPr>
              <w:fldChar w:fldCharType="end"/>
            </w:r>
          </w:hyperlink>
        </w:p>
        <w:p w14:paraId="5AEB0B88" w14:textId="6923F003" w:rsidR="00B87A19" w:rsidRDefault="001625A2">
          <w:pPr>
            <w:pStyle w:val="TOC2"/>
            <w:tabs>
              <w:tab w:val="right" w:leader="dot" w:pos="9350"/>
            </w:tabs>
            <w:rPr>
              <w:rFonts w:asciiTheme="minorHAnsi" w:eastAsiaTheme="minorEastAsia" w:hAnsiTheme="minorHAnsi" w:cstheme="minorBidi"/>
              <w:noProof/>
              <w:sz w:val="22"/>
              <w:szCs w:val="22"/>
            </w:rPr>
          </w:pPr>
          <w:hyperlink w:anchor="_Toc31213095" w:history="1">
            <w:r w:rsidR="00B87A19" w:rsidRPr="006A4910">
              <w:rPr>
                <w:rStyle w:val="Hyperlink"/>
                <w:noProof/>
              </w:rPr>
              <w:t>Decision Supports and Guardianship/Conservatorship</w:t>
            </w:r>
            <w:r w:rsidR="00B87A19">
              <w:rPr>
                <w:noProof/>
                <w:webHidden/>
              </w:rPr>
              <w:tab/>
            </w:r>
            <w:r w:rsidR="00B87A19">
              <w:rPr>
                <w:noProof/>
                <w:webHidden/>
              </w:rPr>
              <w:fldChar w:fldCharType="begin"/>
            </w:r>
            <w:r w:rsidR="00B87A19">
              <w:rPr>
                <w:noProof/>
                <w:webHidden/>
              </w:rPr>
              <w:instrText xml:space="preserve"> PAGEREF _Toc31213095 \h </w:instrText>
            </w:r>
            <w:r w:rsidR="00B87A19">
              <w:rPr>
                <w:noProof/>
                <w:webHidden/>
              </w:rPr>
            </w:r>
            <w:r w:rsidR="00B87A19">
              <w:rPr>
                <w:noProof/>
                <w:webHidden/>
              </w:rPr>
              <w:fldChar w:fldCharType="separate"/>
            </w:r>
            <w:r w:rsidR="00864AD6">
              <w:rPr>
                <w:noProof/>
                <w:webHidden/>
              </w:rPr>
              <w:t>7</w:t>
            </w:r>
            <w:r w:rsidR="00B87A19">
              <w:rPr>
                <w:noProof/>
                <w:webHidden/>
              </w:rPr>
              <w:fldChar w:fldCharType="end"/>
            </w:r>
          </w:hyperlink>
        </w:p>
        <w:p w14:paraId="06263EF8" w14:textId="79459C0A" w:rsidR="00B87A19" w:rsidRDefault="001625A2">
          <w:pPr>
            <w:pStyle w:val="TOC2"/>
            <w:tabs>
              <w:tab w:val="right" w:leader="dot" w:pos="9350"/>
            </w:tabs>
            <w:rPr>
              <w:rFonts w:asciiTheme="minorHAnsi" w:eastAsiaTheme="minorEastAsia" w:hAnsiTheme="minorHAnsi" w:cstheme="minorBidi"/>
              <w:noProof/>
              <w:sz w:val="22"/>
              <w:szCs w:val="22"/>
            </w:rPr>
          </w:pPr>
          <w:hyperlink w:anchor="_Toc31213096" w:history="1">
            <w:r w:rsidR="00B87A19" w:rsidRPr="006A4910">
              <w:rPr>
                <w:rStyle w:val="Hyperlink"/>
                <w:noProof/>
              </w:rPr>
              <w:t>Next Steps: Ongoing Need for Research</w:t>
            </w:r>
            <w:r w:rsidR="00B87A19">
              <w:rPr>
                <w:noProof/>
                <w:webHidden/>
              </w:rPr>
              <w:tab/>
            </w:r>
            <w:r w:rsidR="00B87A19">
              <w:rPr>
                <w:noProof/>
                <w:webHidden/>
              </w:rPr>
              <w:fldChar w:fldCharType="begin"/>
            </w:r>
            <w:r w:rsidR="00B87A19">
              <w:rPr>
                <w:noProof/>
                <w:webHidden/>
              </w:rPr>
              <w:instrText xml:space="preserve"> PAGEREF _Toc31213096 \h </w:instrText>
            </w:r>
            <w:r w:rsidR="00B87A19">
              <w:rPr>
                <w:noProof/>
                <w:webHidden/>
              </w:rPr>
            </w:r>
            <w:r w:rsidR="00B87A19">
              <w:rPr>
                <w:noProof/>
                <w:webHidden/>
              </w:rPr>
              <w:fldChar w:fldCharType="separate"/>
            </w:r>
            <w:r w:rsidR="00864AD6">
              <w:rPr>
                <w:noProof/>
                <w:webHidden/>
              </w:rPr>
              <w:t>8</w:t>
            </w:r>
            <w:r w:rsidR="00B87A19">
              <w:rPr>
                <w:noProof/>
                <w:webHidden/>
              </w:rPr>
              <w:fldChar w:fldCharType="end"/>
            </w:r>
          </w:hyperlink>
        </w:p>
        <w:p w14:paraId="333EA8F4" w14:textId="3716CACB" w:rsidR="00B305B5" w:rsidRPr="005F0E4F" w:rsidRDefault="00526215" w:rsidP="005F0E4F">
          <w:r w:rsidRPr="006959E5">
            <w:rPr>
              <w:b/>
              <w:bCs/>
              <w:noProof/>
            </w:rPr>
            <w:fldChar w:fldCharType="end"/>
          </w:r>
        </w:p>
      </w:sdtContent>
    </w:sdt>
    <w:p w14:paraId="4C5EF3AC" w14:textId="15A8A3A6" w:rsidR="00506462" w:rsidRDefault="00506462">
      <w:pPr>
        <w:rPr>
          <w:b/>
        </w:rPr>
      </w:pPr>
    </w:p>
    <w:p w14:paraId="71B6DCE8" w14:textId="09A8252F" w:rsidR="002F369B" w:rsidRDefault="006B1119" w:rsidP="00FA1EB3">
      <w:pPr>
        <w:pStyle w:val="Heading2"/>
      </w:pPr>
      <w:bookmarkStart w:id="0" w:name="_Toc31213090"/>
      <w:r w:rsidRPr="006959E5">
        <w:t>I</w:t>
      </w:r>
      <w:r w:rsidR="00526215" w:rsidRPr="006959E5">
        <w:t>n</w:t>
      </w:r>
      <w:r w:rsidRPr="007A26AD">
        <w:t>troduction</w:t>
      </w:r>
      <w:bookmarkEnd w:id="0"/>
    </w:p>
    <w:p w14:paraId="12A73579" w14:textId="77777777" w:rsidR="00197013" w:rsidRPr="00197013" w:rsidRDefault="00197013" w:rsidP="00197013"/>
    <w:p w14:paraId="3043A24B" w14:textId="7D364B7D" w:rsidR="00197013" w:rsidRPr="00416BBB" w:rsidRDefault="080854E1" w:rsidP="00197013">
      <w:r>
        <w:t>In May and June 2019, the Commission on Law and Aging convened advocates</w:t>
      </w:r>
      <w:r w:rsidR="002B0D20">
        <w:t>,</w:t>
      </w:r>
      <w:r w:rsidR="00CE370A">
        <w:t xml:space="preserve"> </w:t>
      </w:r>
      <w:r>
        <w:t xml:space="preserve">experts, and policymakers </w:t>
      </w:r>
      <w:r w:rsidR="00CE370A">
        <w:t xml:space="preserve">in disabilities and aging </w:t>
      </w:r>
      <w:r>
        <w:t>to discuss decision supports for individuals across the age spectrum</w:t>
      </w:r>
      <w:r w:rsidR="00CE370A">
        <w:t xml:space="preserve"> and to explore areas of consensus about supporting decision-making for all adults</w:t>
      </w:r>
      <w:r>
        <w:t xml:space="preserve">. Participants </w:t>
      </w:r>
      <w:r w:rsidR="002C2970">
        <w:t>in the two forums</w:t>
      </w:r>
      <w:r w:rsidR="00967B8E">
        <w:t xml:space="preserve">, held in Washington, DC, </w:t>
      </w:r>
      <w:r>
        <w:t xml:space="preserve">agreed on some points and disagreed passionately on others, but universally demonstrated </w:t>
      </w:r>
      <w:r w:rsidR="003433E1">
        <w:t xml:space="preserve">a </w:t>
      </w:r>
      <w:r>
        <w:t xml:space="preserve">commitment to </w:t>
      </w:r>
      <w:r w:rsidR="003433E1">
        <w:t xml:space="preserve">a set of core principles and to </w:t>
      </w:r>
      <w:r>
        <w:t>the importance of decision supports for individuals who historically have bee</w:t>
      </w:r>
      <w:r w:rsidR="00535A09">
        <w:t>n denied the right</w:t>
      </w:r>
      <w:r>
        <w:t xml:space="preserve"> to make </w:t>
      </w:r>
      <w:r w:rsidR="003433E1">
        <w:t xml:space="preserve">their </w:t>
      </w:r>
      <w:r>
        <w:t>own choices.</w:t>
      </w:r>
      <w:r w:rsidR="00C711C2">
        <w:rPr>
          <w:rStyle w:val="FootnoteReference"/>
        </w:rPr>
        <w:footnoteReference w:id="2"/>
      </w:r>
    </w:p>
    <w:p w14:paraId="4BD7B68B" w14:textId="77777777" w:rsidR="00672F80" w:rsidRPr="00416BBB" w:rsidRDefault="00672F80"/>
    <w:p w14:paraId="68B4414A" w14:textId="2CF651FF" w:rsidR="00967B8E" w:rsidRDefault="00672F80">
      <w:r w:rsidRPr="00416BBB">
        <w:t>We adopted the term</w:t>
      </w:r>
      <w:r w:rsidR="001F4979" w:rsidRPr="00416BBB">
        <w:t xml:space="preserve"> “decision supports” to </w:t>
      </w:r>
      <w:r w:rsidRPr="00416BBB">
        <w:t>encompass all means of support, from formal practices to informal interactions</w:t>
      </w:r>
      <w:r w:rsidR="00E7778B" w:rsidRPr="00416BBB">
        <w:t xml:space="preserve">, and to distinguish the concept from </w:t>
      </w:r>
      <w:r w:rsidR="00B07606">
        <w:t>supported decision making</w:t>
      </w:r>
      <w:r w:rsidR="00730E7F">
        <w:t>.</w:t>
      </w:r>
      <w:r w:rsidR="002F0DCF">
        <w:t xml:space="preserve"> </w:t>
      </w:r>
      <w:r w:rsidR="00730E7F">
        <w:t xml:space="preserve"> Supported decision making </w:t>
      </w:r>
      <w:r w:rsidR="002F0DCF">
        <w:t>or SDM</w:t>
      </w:r>
      <w:r w:rsidR="00730E7F">
        <w:t xml:space="preserve"> is</w:t>
      </w:r>
      <w:r w:rsidR="002861B8" w:rsidRPr="00416BBB">
        <w:t xml:space="preserve"> a decision</w:t>
      </w:r>
      <w:r w:rsidR="002F0DCF">
        <w:t>-</w:t>
      </w:r>
      <w:r w:rsidR="002861B8" w:rsidRPr="00416BBB">
        <w:t>making model</w:t>
      </w:r>
      <w:r w:rsidR="006C0474" w:rsidRPr="00416BBB">
        <w:t xml:space="preserve"> in</w:t>
      </w:r>
      <w:r w:rsidR="00535A09">
        <w:t xml:space="preserve"> which</w:t>
      </w:r>
      <w:r w:rsidR="006C0474" w:rsidRPr="00416BBB">
        <w:t xml:space="preserve"> </w:t>
      </w:r>
      <w:r w:rsidR="00A1696B">
        <w:t>an individual</w:t>
      </w:r>
      <w:r w:rsidR="006C0474" w:rsidRPr="00416BBB">
        <w:t xml:space="preserve"> makes decisions with the support of trusted individuals</w:t>
      </w:r>
      <w:r w:rsidR="00E7778B" w:rsidRPr="00416BBB">
        <w:t>.</w:t>
      </w:r>
      <w:r w:rsidR="00CC6AF5">
        <w:t xml:space="preserve"> </w:t>
      </w:r>
      <w:r w:rsidR="00730E7F">
        <w:t>SDM</w:t>
      </w:r>
      <w:r w:rsidR="00B07606">
        <w:t xml:space="preserve"> </w:t>
      </w:r>
      <w:r w:rsidR="005D264C">
        <w:t>is gaining recognition</w:t>
      </w:r>
      <w:r w:rsidR="00E7778B" w:rsidRPr="00416BBB">
        <w:t xml:space="preserve"> as an</w:t>
      </w:r>
      <w:r w:rsidR="002861B8" w:rsidRPr="00416BBB">
        <w:t xml:space="preserve"> </w:t>
      </w:r>
      <w:r w:rsidR="00E7778B" w:rsidRPr="00416BBB">
        <w:lastRenderedPageBreak/>
        <w:t xml:space="preserve">alternative to </w:t>
      </w:r>
      <w:r w:rsidR="005D264C">
        <w:t>adult</w:t>
      </w:r>
      <w:r w:rsidR="002861B8" w:rsidRPr="00416BBB">
        <w:t xml:space="preserve"> guardianship</w:t>
      </w:r>
      <w:r w:rsidR="00AB71D1">
        <w:t xml:space="preserve"> in state statutes, case law, and social services</w:t>
      </w:r>
      <w:r w:rsidR="002861B8" w:rsidRPr="00416BBB">
        <w:t>.</w:t>
      </w:r>
      <w:r w:rsidR="005E2D2A">
        <w:rPr>
          <w:rStyle w:val="FootnoteReference"/>
        </w:rPr>
        <w:footnoteReference w:id="3"/>
      </w:r>
      <w:r w:rsidR="00535A09">
        <w:t xml:space="preserve"> It has primarily been available for people with intellectual/developmental disabilities, </w:t>
      </w:r>
      <w:r w:rsidR="00AB71D1">
        <w:t>although advocates</w:t>
      </w:r>
      <w:r w:rsidR="00730E7F">
        <w:t>, social service providers,</w:t>
      </w:r>
      <w:r w:rsidR="00AA64F4">
        <w:t xml:space="preserve"> </w:t>
      </w:r>
      <w:r w:rsidR="00730E7F">
        <w:t>and stakeholders</w:t>
      </w:r>
      <w:r w:rsidR="00AB71D1">
        <w:t xml:space="preserve"> have begun exploring the application of </w:t>
      </w:r>
      <w:r w:rsidR="00116D12">
        <w:t>SDM</w:t>
      </w:r>
      <w:r w:rsidR="00AB71D1">
        <w:t xml:space="preserve"> for people with psychiatric disabilities, traumatic brain injuries, and age</w:t>
      </w:r>
      <w:r w:rsidR="002F0DCF">
        <w:t>-</w:t>
      </w:r>
      <w:r w:rsidR="00AB71D1">
        <w:t>related cognitive decline.</w:t>
      </w:r>
      <w:r w:rsidR="002861B8" w:rsidRPr="00416BBB">
        <w:t xml:space="preserve"> </w:t>
      </w:r>
    </w:p>
    <w:p w14:paraId="4BEA2241" w14:textId="77777777" w:rsidR="00967B8E" w:rsidRDefault="00967B8E"/>
    <w:p w14:paraId="7F867433" w14:textId="3B298574" w:rsidR="00ED7819" w:rsidRDefault="00E7778B">
      <w:r w:rsidRPr="00416BBB">
        <w:t>Our use of</w:t>
      </w:r>
      <w:r w:rsidR="00ED7819" w:rsidRPr="00416BBB">
        <w:t xml:space="preserve"> </w:t>
      </w:r>
      <w:r w:rsidR="002C2970">
        <w:t xml:space="preserve">the term </w:t>
      </w:r>
      <w:r w:rsidRPr="00416BBB">
        <w:t>“</w:t>
      </w:r>
      <w:r w:rsidR="00ED7819" w:rsidRPr="00416BBB">
        <w:t>decision supports</w:t>
      </w:r>
      <w:r w:rsidRPr="00416BBB">
        <w:t>”</w:t>
      </w:r>
      <w:r w:rsidR="00ED7819" w:rsidRPr="00416BBB">
        <w:t xml:space="preserve"> </w:t>
      </w:r>
      <w:r w:rsidR="002C2970">
        <w:t xml:space="preserve">as discussed in the two forums </w:t>
      </w:r>
      <w:r w:rsidR="00ED7819" w:rsidRPr="00416BBB">
        <w:t xml:space="preserve">acknowledges that </w:t>
      </w:r>
      <w:r w:rsidR="00CD17BC">
        <w:t xml:space="preserve">in addition to </w:t>
      </w:r>
      <w:r w:rsidR="00CD17BC" w:rsidRPr="00416BBB">
        <w:t xml:space="preserve">the </w:t>
      </w:r>
      <w:r w:rsidR="00CD17BC">
        <w:t>SDM</w:t>
      </w:r>
      <w:r w:rsidR="00CD17BC" w:rsidRPr="00416BBB">
        <w:t xml:space="preserve"> model </w:t>
      </w:r>
      <w:r w:rsidR="00276D45" w:rsidRPr="00416BBB">
        <w:t xml:space="preserve">there </w:t>
      </w:r>
      <w:r w:rsidR="00ED7819" w:rsidRPr="00416BBB">
        <w:t xml:space="preserve">are supports </w:t>
      </w:r>
      <w:r w:rsidR="00875D1C">
        <w:t>that</w:t>
      </w:r>
      <w:r w:rsidR="00CD17BC">
        <w:t xml:space="preserve"> can be individualized based on a person’s desires and life circumstances, </w:t>
      </w:r>
      <w:r w:rsidR="00875D1C">
        <w:t>and that these supports often overlap or work in tandem</w:t>
      </w:r>
      <w:r w:rsidR="006C0474" w:rsidRPr="00416BBB">
        <w:t>.</w:t>
      </w:r>
      <w:r w:rsidR="00CC6AF5">
        <w:t xml:space="preserve"> </w:t>
      </w:r>
      <w:r w:rsidR="002C2970">
        <w:t>Forum partic</w:t>
      </w:r>
      <w:r w:rsidR="00967B8E">
        <w:t>i</w:t>
      </w:r>
      <w:r w:rsidR="002C2970">
        <w:t>pants described ma</w:t>
      </w:r>
      <w:r w:rsidR="00875D1C">
        <w:t>n</w:t>
      </w:r>
      <w:r w:rsidR="002C2970">
        <w:t xml:space="preserve">y </w:t>
      </w:r>
      <w:r w:rsidR="00967B8E">
        <w:t xml:space="preserve">potential decision supports, ranging in degree of formality including: </w:t>
      </w:r>
    </w:p>
    <w:p w14:paraId="23D03F93" w14:textId="77777777" w:rsidR="00967B8E" w:rsidRPr="00416BBB" w:rsidRDefault="00967B8E" w:rsidP="00967B8E"/>
    <w:p w14:paraId="0723B064" w14:textId="77777777" w:rsidR="00967B8E" w:rsidRPr="00416BBB" w:rsidRDefault="00967B8E" w:rsidP="005E2D2A">
      <w:pPr>
        <w:pStyle w:val="ListParagraph"/>
        <w:numPr>
          <w:ilvl w:val="0"/>
          <w:numId w:val="37"/>
        </w:numPr>
        <w:spacing w:after="0" w:line="240" w:lineRule="auto"/>
        <w:rPr>
          <w:rFonts w:ascii="Times New Roman" w:hAnsi="Times New Roman" w:cs="Times New Roman"/>
          <w:sz w:val="24"/>
          <w:szCs w:val="24"/>
        </w:rPr>
      </w:pPr>
      <w:r w:rsidRPr="00416BBB">
        <w:rPr>
          <w:rFonts w:ascii="Times New Roman" w:hAnsi="Times New Roman" w:cs="Times New Roman"/>
          <w:sz w:val="24"/>
          <w:szCs w:val="24"/>
        </w:rPr>
        <w:t xml:space="preserve">Informal support systems such as personal relationships, community settings, religious communities, cultural groups and traditions, and a myriad of other supports systems. </w:t>
      </w:r>
    </w:p>
    <w:p w14:paraId="7F32A977" w14:textId="42F182B7" w:rsidR="00967B8E" w:rsidRPr="00416BBB" w:rsidRDefault="00791D04" w:rsidP="005E2D2A">
      <w:pPr>
        <w:pStyle w:val="ListParagraph"/>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Direct p</w:t>
      </w:r>
      <w:r w:rsidR="00967B8E" w:rsidRPr="00416BBB">
        <w:rPr>
          <w:rFonts w:ascii="Times New Roman" w:hAnsi="Times New Roman" w:cs="Times New Roman"/>
          <w:sz w:val="24"/>
          <w:szCs w:val="24"/>
        </w:rPr>
        <w:t xml:space="preserve">ersonal supports from one or more </w:t>
      </w:r>
      <w:r w:rsidR="00875D1C">
        <w:rPr>
          <w:rFonts w:ascii="Times New Roman" w:hAnsi="Times New Roman" w:cs="Times New Roman"/>
          <w:sz w:val="24"/>
          <w:szCs w:val="24"/>
        </w:rPr>
        <w:t>friends, fami</w:t>
      </w:r>
      <w:r>
        <w:rPr>
          <w:rFonts w:ascii="Times New Roman" w:hAnsi="Times New Roman" w:cs="Times New Roman"/>
          <w:sz w:val="24"/>
          <w:szCs w:val="24"/>
        </w:rPr>
        <w:t>l</w:t>
      </w:r>
      <w:r w:rsidR="00875D1C">
        <w:rPr>
          <w:rFonts w:ascii="Times New Roman" w:hAnsi="Times New Roman" w:cs="Times New Roman"/>
          <w:sz w:val="24"/>
          <w:szCs w:val="24"/>
        </w:rPr>
        <w:t>y members or other individuals, including</w:t>
      </w:r>
      <w:r>
        <w:rPr>
          <w:rFonts w:ascii="Times New Roman" w:hAnsi="Times New Roman" w:cs="Times New Roman"/>
          <w:sz w:val="24"/>
          <w:szCs w:val="24"/>
        </w:rPr>
        <w:t>,</w:t>
      </w:r>
      <w:r w:rsidR="00967B8E" w:rsidRPr="00416BBB">
        <w:rPr>
          <w:rFonts w:ascii="Times New Roman" w:hAnsi="Times New Roman" w:cs="Times New Roman"/>
          <w:sz w:val="24"/>
          <w:szCs w:val="24"/>
        </w:rPr>
        <w:t xml:space="preserve"> communication</w:t>
      </w:r>
      <w:r>
        <w:rPr>
          <w:rFonts w:ascii="Times New Roman" w:hAnsi="Times New Roman" w:cs="Times New Roman"/>
          <w:sz w:val="24"/>
          <w:szCs w:val="24"/>
        </w:rPr>
        <w:t>,</w:t>
      </w:r>
      <w:r w:rsidR="00967B8E" w:rsidRPr="00416BBB">
        <w:rPr>
          <w:rFonts w:ascii="Times New Roman" w:hAnsi="Times New Roman" w:cs="Times New Roman"/>
          <w:sz w:val="24"/>
          <w:szCs w:val="24"/>
        </w:rPr>
        <w:t xml:space="preserve"> analytic, or emotional assistance.</w:t>
      </w:r>
    </w:p>
    <w:p w14:paraId="559C42D3" w14:textId="77777777" w:rsidR="00967B8E" w:rsidRPr="00416BBB" w:rsidRDefault="00967B8E" w:rsidP="005E2D2A">
      <w:pPr>
        <w:pStyle w:val="ListParagraph"/>
        <w:numPr>
          <w:ilvl w:val="0"/>
          <w:numId w:val="37"/>
        </w:numPr>
        <w:spacing w:after="0" w:line="240" w:lineRule="auto"/>
        <w:rPr>
          <w:rFonts w:ascii="Times New Roman" w:hAnsi="Times New Roman" w:cs="Times New Roman"/>
          <w:sz w:val="24"/>
          <w:szCs w:val="24"/>
        </w:rPr>
      </w:pPr>
      <w:r w:rsidRPr="00416BBB">
        <w:rPr>
          <w:rFonts w:ascii="Times New Roman" w:hAnsi="Times New Roman" w:cs="Times New Roman"/>
          <w:sz w:val="24"/>
          <w:szCs w:val="24"/>
        </w:rPr>
        <w:t>Technology supports (such as a smartphone app or interactive software developed to support particular decisions).</w:t>
      </w:r>
    </w:p>
    <w:p w14:paraId="66BC7796" w14:textId="46307C93" w:rsidR="00967B8E" w:rsidRPr="00416BBB" w:rsidRDefault="00967B8E" w:rsidP="005E2D2A">
      <w:pPr>
        <w:pStyle w:val="ListParagraph"/>
        <w:numPr>
          <w:ilvl w:val="0"/>
          <w:numId w:val="37"/>
        </w:numPr>
        <w:spacing w:after="0" w:line="240" w:lineRule="auto"/>
        <w:rPr>
          <w:rFonts w:ascii="Times New Roman" w:hAnsi="Times New Roman" w:cs="Times New Roman"/>
          <w:sz w:val="24"/>
          <w:szCs w:val="24"/>
        </w:rPr>
      </w:pPr>
      <w:r w:rsidRPr="00416BBB">
        <w:rPr>
          <w:rFonts w:ascii="Times New Roman" w:hAnsi="Times New Roman" w:cs="Times New Roman"/>
          <w:sz w:val="24"/>
          <w:szCs w:val="24"/>
        </w:rPr>
        <w:t>Environmental supports (such as ensuring decisions are made in less stressful places or without time pressure).</w:t>
      </w:r>
    </w:p>
    <w:p w14:paraId="674494A6" w14:textId="77777777" w:rsidR="00967B8E" w:rsidRPr="00416BBB" w:rsidRDefault="00967B8E" w:rsidP="005E2D2A">
      <w:pPr>
        <w:pStyle w:val="ListParagraph"/>
        <w:numPr>
          <w:ilvl w:val="0"/>
          <w:numId w:val="37"/>
        </w:numPr>
        <w:spacing w:after="0" w:line="240" w:lineRule="auto"/>
        <w:rPr>
          <w:rFonts w:ascii="Times New Roman" w:hAnsi="Times New Roman" w:cs="Times New Roman"/>
          <w:sz w:val="24"/>
          <w:szCs w:val="24"/>
        </w:rPr>
      </w:pPr>
      <w:r w:rsidRPr="00416BBB">
        <w:rPr>
          <w:rFonts w:ascii="Times New Roman" w:hAnsi="Times New Roman" w:cs="Times New Roman"/>
          <w:sz w:val="24"/>
          <w:szCs w:val="24"/>
        </w:rPr>
        <w:t>Financial supports (such as direct deposit, joint accounts, or trusted person designations).</w:t>
      </w:r>
    </w:p>
    <w:p w14:paraId="4D07985E" w14:textId="209B5333" w:rsidR="00967B8E" w:rsidRPr="00416BBB" w:rsidRDefault="00967B8E" w:rsidP="005E2D2A">
      <w:pPr>
        <w:pStyle w:val="ListParagraph"/>
        <w:numPr>
          <w:ilvl w:val="0"/>
          <w:numId w:val="37"/>
        </w:numPr>
        <w:spacing w:after="0" w:line="240" w:lineRule="auto"/>
        <w:rPr>
          <w:rFonts w:ascii="Times New Roman" w:hAnsi="Times New Roman" w:cs="Times New Roman"/>
          <w:sz w:val="24"/>
          <w:szCs w:val="24"/>
        </w:rPr>
      </w:pPr>
      <w:r w:rsidRPr="00416BBB">
        <w:rPr>
          <w:rFonts w:ascii="Times New Roman" w:hAnsi="Times New Roman" w:cs="Times New Roman"/>
          <w:sz w:val="24"/>
          <w:szCs w:val="24"/>
        </w:rPr>
        <w:t xml:space="preserve">Contractual supports (such as </w:t>
      </w:r>
      <w:r w:rsidR="00791D04">
        <w:rPr>
          <w:rFonts w:ascii="Times New Roman" w:hAnsi="Times New Roman" w:cs="Times New Roman"/>
          <w:sz w:val="24"/>
          <w:szCs w:val="24"/>
        </w:rPr>
        <w:t>SDM</w:t>
      </w:r>
      <w:r w:rsidRPr="00416BBB">
        <w:rPr>
          <w:rFonts w:ascii="Times New Roman" w:hAnsi="Times New Roman" w:cs="Times New Roman"/>
          <w:sz w:val="24"/>
          <w:szCs w:val="24"/>
        </w:rPr>
        <w:t xml:space="preserve"> agreements or creation of a power of attorney or trust). </w:t>
      </w:r>
    </w:p>
    <w:p w14:paraId="376D35DA" w14:textId="2748A999" w:rsidR="00967B8E" w:rsidRPr="00416BBB" w:rsidRDefault="00967B8E" w:rsidP="005E2D2A">
      <w:pPr>
        <w:pStyle w:val="ListParagraph"/>
        <w:numPr>
          <w:ilvl w:val="0"/>
          <w:numId w:val="37"/>
        </w:numPr>
        <w:spacing w:after="0" w:line="240" w:lineRule="auto"/>
        <w:rPr>
          <w:rFonts w:ascii="Times New Roman" w:hAnsi="Times New Roman" w:cs="Times New Roman"/>
          <w:sz w:val="24"/>
          <w:szCs w:val="24"/>
        </w:rPr>
      </w:pPr>
      <w:r w:rsidRPr="00416BBB">
        <w:rPr>
          <w:rFonts w:ascii="Times New Roman" w:hAnsi="Times New Roman" w:cs="Times New Roman"/>
          <w:sz w:val="24"/>
          <w:szCs w:val="24"/>
        </w:rPr>
        <w:t>Court supervised supports (such as the use of guardianship or conservatorship with decision support principles</w:t>
      </w:r>
      <w:r w:rsidR="00791D04">
        <w:rPr>
          <w:rFonts w:ascii="Times New Roman" w:hAnsi="Times New Roman" w:cs="Times New Roman"/>
          <w:sz w:val="24"/>
          <w:szCs w:val="24"/>
        </w:rPr>
        <w:t>, or a protective arrangement for a single decision or action</w:t>
      </w:r>
      <w:r w:rsidRPr="00416BBB">
        <w:rPr>
          <w:rFonts w:ascii="Times New Roman" w:hAnsi="Times New Roman" w:cs="Times New Roman"/>
          <w:sz w:val="24"/>
          <w:szCs w:val="24"/>
        </w:rPr>
        <w:t xml:space="preserve">).  </w:t>
      </w:r>
    </w:p>
    <w:p w14:paraId="0280D74C" w14:textId="77777777" w:rsidR="00967B8E" w:rsidRPr="00416BBB" w:rsidRDefault="00967B8E"/>
    <w:p w14:paraId="5B656E31" w14:textId="77777777" w:rsidR="00CE370A" w:rsidRDefault="00AB71D1" w:rsidP="00AB71D1">
      <w:r w:rsidRPr="00416BBB">
        <w:t xml:space="preserve">All methods of decision-making supports are person-centered and person-directed – </w:t>
      </w:r>
      <w:r>
        <w:t xml:space="preserve">meaning </w:t>
      </w:r>
      <w:r w:rsidRPr="00416BBB">
        <w:t xml:space="preserve">the values, priorities, and wishes </w:t>
      </w:r>
      <w:r>
        <w:t xml:space="preserve">of the individual </w:t>
      </w:r>
      <w:r w:rsidRPr="00416BBB">
        <w:t xml:space="preserve">drive the </w:t>
      </w:r>
      <w:r>
        <w:t>decision</w:t>
      </w:r>
      <w:r w:rsidR="002F0DCF">
        <w:t>-</w:t>
      </w:r>
      <w:r>
        <w:t>making process</w:t>
      </w:r>
      <w:r w:rsidRPr="00416BBB">
        <w:t xml:space="preserve">. </w:t>
      </w:r>
      <w:r>
        <w:t xml:space="preserve">Individuals </w:t>
      </w:r>
      <w:r w:rsidR="00791D04">
        <w:t>may</w:t>
      </w:r>
      <w:r>
        <w:t xml:space="preserve"> need different kinds of supports depending on their circumstances, preferences, abilities, resources, and life experiences</w:t>
      </w:r>
      <w:r w:rsidRPr="00416BBB">
        <w:t>.</w:t>
      </w:r>
      <w:r>
        <w:t xml:space="preserve"> </w:t>
      </w:r>
      <w:r w:rsidR="00AA3381">
        <w:t>The individual’s cultural context is also critical in determining the kind of supports that will be meaningful.</w:t>
      </w:r>
      <w:r w:rsidR="00CC6AF5">
        <w:t xml:space="preserve"> </w:t>
      </w:r>
    </w:p>
    <w:p w14:paraId="1CE2D911" w14:textId="77777777" w:rsidR="00CE370A" w:rsidRDefault="00CE370A" w:rsidP="00AB71D1"/>
    <w:p w14:paraId="1E4F5265" w14:textId="75790065" w:rsidR="00AB71D1" w:rsidRPr="00416BBB" w:rsidRDefault="00CE370A" w:rsidP="00AB71D1">
      <w:r>
        <w:t>Some participants expressed the view that u</w:t>
      </w:r>
      <w:r w:rsidR="00AA3381">
        <w:t>sing</w:t>
      </w:r>
      <w:r w:rsidR="00AB71D1">
        <w:t xml:space="preserve"> this approach,</w:t>
      </w:r>
      <w:r w:rsidR="00AB71D1" w:rsidRPr="00416BBB">
        <w:t xml:space="preserve"> </w:t>
      </w:r>
      <w:r w:rsidR="00AB71D1">
        <w:t>even</w:t>
      </w:r>
      <w:r w:rsidR="00AB71D1" w:rsidRPr="00416BBB">
        <w:t xml:space="preserve"> </w:t>
      </w:r>
      <w:r>
        <w:t xml:space="preserve">in </w:t>
      </w:r>
      <w:r w:rsidR="00AB71D1">
        <w:t xml:space="preserve">guardianship, which </w:t>
      </w:r>
      <w:r>
        <w:t xml:space="preserve">in plenary form </w:t>
      </w:r>
      <w:r w:rsidR="00AB71D1">
        <w:t xml:space="preserve">can </w:t>
      </w:r>
      <w:r w:rsidR="00380D36">
        <w:t xml:space="preserve">legally </w:t>
      </w:r>
      <w:r w:rsidR="00AB71D1">
        <w:t>limit virtually all a person’s decision</w:t>
      </w:r>
      <w:r w:rsidR="002F0DCF">
        <w:t>-</w:t>
      </w:r>
      <w:r w:rsidR="00AB71D1">
        <w:t>making autonomy, incorporat</w:t>
      </w:r>
      <w:r>
        <w:t>ing</w:t>
      </w:r>
      <w:r w:rsidR="00AB71D1">
        <w:t xml:space="preserve"> the</w:t>
      </w:r>
      <w:r w:rsidR="00AB71D1" w:rsidRPr="00416BBB">
        <w:t xml:space="preserve"> values and practices of decision supports</w:t>
      </w:r>
      <w:r>
        <w:t xml:space="preserve"> is possible when guardians use decision support principles that </w:t>
      </w:r>
      <w:r w:rsidR="00D72525">
        <w:t>honor</w:t>
      </w:r>
      <w:r>
        <w:t xml:space="preserve"> the values and wishes of the protected person</w:t>
      </w:r>
      <w:r w:rsidR="00AB71D1" w:rsidRPr="00416BBB">
        <w:t>.</w:t>
      </w:r>
      <w:r>
        <w:t xml:space="preserve">  </w:t>
      </w:r>
    </w:p>
    <w:p w14:paraId="06F56403" w14:textId="77777777" w:rsidR="00AB71D1" w:rsidRDefault="00AB71D1"/>
    <w:p w14:paraId="6B27E609" w14:textId="4A55FDD5" w:rsidR="00535A09" w:rsidRDefault="00967B8E" w:rsidP="00535A09">
      <w:r>
        <w:t xml:space="preserve">In the first of the </w:t>
      </w:r>
      <w:r w:rsidR="00535A09">
        <w:t>two forums, we brought together professionals who are implementing and expanding decision supports on a case by case basis and statewide - including judges,</w:t>
      </w:r>
      <w:r w:rsidR="00AB71D1">
        <w:t xml:space="preserve"> private elder law and legal services</w:t>
      </w:r>
      <w:r w:rsidR="00535A09">
        <w:t xml:space="preserve"> attorneys, social service providers,</w:t>
      </w:r>
      <w:r w:rsidR="00AB71D1">
        <w:t xml:space="preserve"> representatives from</w:t>
      </w:r>
      <w:r w:rsidR="00535A09">
        <w:t xml:space="preserve"> </w:t>
      </w:r>
      <w:r w:rsidR="00AB71D1">
        <w:t xml:space="preserve">adult protective service and state agencies on aging, and social service organizations. </w:t>
      </w:r>
      <w:r w:rsidR="00535A09">
        <w:t xml:space="preserve">A month later, we convened a meeting of experts and thought leaders who brought a national perspective to the discussion, including policymakers, academics, representatives </w:t>
      </w:r>
      <w:r w:rsidR="00CE370A">
        <w:t xml:space="preserve">in disabilities and aging </w:t>
      </w:r>
      <w:r w:rsidR="00535A09">
        <w:t>from national legal services, adult protective services, and other advocacy organizations.</w:t>
      </w:r>
    </w:p>
    <w:p w14:paraId="62D6B737" w14:textId="4F845479" w:rsidR="008923CB" w:rsidRDefault="008923CB" w:rsidP="006E20A8"/>
    <w:p w14:paraId="1137CD3E" w14:textId="7A9DF79C" w:rsidR="00380D36" w:rsidRDefault="00380D36" w:rsidP="00380D36">
      <w:r>
        <w:t>We invited as diverse an array of participants as possible to encourage a broad range of perspectives on decision supports. Many participants shared that they pursued careers in advocating for people with disabilities and/or older adults because they believed everyone should have the rights and resources to make their own decisions. Whether fighting an eviction notice</w:t>
      </w:r>
      <w:r w:rsidR="00917C0D">
        <w:t xml:space="preserve">, </w:t>
      </w:r>
      <w:r>
        <w:t xml:space="preserve">assisting with mental health services, </w:t>
      </w:r>
      <w:r w:rsidR="00917C0D">
        <w:t xml:space="preserve">or representing individuals to contest or revoke guardianships, </w:t>
      </w:r>
      <w:r>
        <w:t xml:space="preserve">participants viewed preserving their clients’ autonomy to be fundamental to their work. </w:t>
      </w:r>
    </w:p>
    <w:p w14:paraId="24C9755A" w14:textId="77777777" w:rsidR="00380D36" w:rsidRPr="00416BBB" w:rsidRDefault="00380D36" w:rsidP="00380D36"/>
    <w:p w14:paraId="218776EA" w14:textId="5FF7A2FA" w:rsidR="006E20A8" w:rsidRPr="00416BBB" w:rsidRDefault="080854E1" w:rsidP="006E20A8">
      <w:r>
        <w:t xml:space="preserve">Participants also included some of the leading experts on </w:t>
      </w:r>
      <w:r w:rsidR="00C74DFC">
        <w:t>SDM</w:t>
      </w:r>
      <w:r>
        <w:t>, including: facilitators of two of the country’s best</w:t>
      </w:r>
      <w:r w:rsidR="009D2D14">
        <w:t>-</w:t>
      </w:r>
      <w:r>
        <w:t xml:space="preserve">known pilot programs, leaders of </w:t>
      </w:r>
      <w:r w:rsidR="00F96964">
        <w:t xml:space="preserve">a </w:t>
      </w:r>
      <w:r w:rsidR="00791D04">
        <w:t>national resource center</w:t>
      </w:r>
      <w:r w:rsidR="00F343DB">
        <w:t>,</w:t>
      </w:r>
      <w:r>
        <w:t xml:space="preserve"> policy advocates who were instrumental in passing SDM legislation in their home states, attorneys assisting individuals in completing supported decision</w:t>
      </w:r>
      <w:r w:rsidR="00F343DB">
        <w:t>-</w:t>
      </w:r>
      <w:r>
        <w:t>making agreements, and authors of supported decision</w:t>
      </w:r>
      <w:r w:rsidR="00F343DB">
        <w:t>-</w:t>
      </w:r>
      <w:r>
        <w:t xml:space="preserve">making resources. </w:t>
      </w:r>
    </w:p>
    <w:p w14:paraId="4BC8052F" w14:textId="7F92CC74" w:rsidR="006E20A8" w:rsidRDefault="006E20A8"/>
    <w:p w14:paraId="0BBDD642" w14:textId="4D27E1ED" w:rsidR="00544320" w:rsidRPr="005F0E4F" w:rsidRDefault="00544320">
      <w:pPr>
        <w:pStyle w:val="Heading2"/>
      </w:pPr>
      <w:bookmarkStart w:id="1" w:name="_Toc31213091"/>
      <w:r w:rsidRPr="005F0E4F">
        <w:t>Decision</w:t>
      </w:r>
      <w:r w:rsidR="00B50A9A">
        <w:t>-</w:t>
      </w:r>
      <w:r w:rsidRPr="005F0E4F">
        <w:t xml:space="preserve">Making: A Human Rights Framework </w:t>
      </w:r>
      <w:bookmarkEnd w:id="1"/>
    </w:p>
    <w:p w14:paraId="680005AD" w14:textId="4C4E004D" w:rsidR="009C6FC8" w:rsidRPr="00416BBB" w:rsidRDefault="009C6FC8">
      <w:pPr>
        <w:rPr>
          <w:bCs/>
        </w:rPr>
      </w:pPr>
    </w:p>
    <w:p w14:paraId="756AC561" w14:textId="678EF204" w:rsidR="00591992" w:rsidRDefault="00382641">
      <w:r>
        <w:t>D</w:t>
      </w:r>
      <w:r w:rsidR="00780E76">
        <w:t xml:space="preserve">iscussions </w:t>
      </w:r>
      <w:r>
        <w:t xml:space="preserve">in both forums </w:t>
      </w:r>
      <w:r w:rsidR="00780E76">
        <w:t>were predicated on the belief that decision</w:t>
      </w:r>
      <w:r w:rsidR="00B50A9A">
        <w:t>-</w:t>
      </w:r>
      <w:r w:rsidR="00780E76">
        <w:t>making is an essential function of being human, and a human right.</w:t>
      </w:r>
      <w:r w:rsidR="0028341D" w:rsidRPr="00416BBB">
        <w:t xml:space="preserve"> </w:t>
      </w:r>
      <w:bookmarkStart w:id="2" w:name="_Hlk31968665"/>
      <w:r w:rsidR="00986672">
        <w:t>Historically</w:t>
      </w:r>
      <w:r w:rsidR="00791D04">
        <w:t>, the right of p</w:t>
      </w:r>
      <w:r w:rsidR="005D264C">
        <w:t>eople</w:t>
      </w:r>
      <w:r w:rsidR="0028341D" w:rsidRPr="00416BBB">
        <w:t xml:space="preserve"> with disabilities and older adults to make their own decisions</w:t>
      </w:r>
      <w:r w:rsidR="00791D04">
        <w:t xml:space="preserve"> has often been supplanted by a substitute decision</w:t>
      </w:r>
      <w:r w:rsidR="00CC1F4D">
        <w:t>-maker</w:t>
      </w:r>
      <w:r w:rsidR="009D2D14">
        <w:t xml:space="preserve"> who makes decisions based on his or her own determination of the individual’s best interest rather </w:t>
      </w:r>
      <w:r w:rsidR="00B50A9A">
        <w:t xml:space="preserve">than </w:t>
      </w:r>
      <w:r w:rsidR="009D2D14">
        <w:t xml:space="preserve">the individual’s own values and preferences. </w:t>
      </w:r>
      <w:bookmarkEnd w:id="2"/>
      <w:r w:rsidR="0028341D" w:rsidRPr="00416BBB">
        <w:t xml:space="preserve">In the last several decades, civil rights </w:t>
      </w:r>
      <w:r w:rsidR="00CC1F4D">
        <w:t>activism</w:t>
      </w:r>
      <w:r w:rsidR="0028341D" w:rsidRPr="00416BBB">
        <w:t xml:space="preserve"> and </w:t>
      </w:r>
      <w:r w:rsidR="005D264C">
        <w:t>advancements</w:t>
      </w:r>
      <w:r w:rsidR="00780E76">
        <w:t xml:space="preserve"> in technology</w:t>
      </w:r>
      <w:r w:rsidR="005D264C">
        <w:t xml:space="preserve"> have driven a culture change in expectations of autonomy</w:t>
      </w:r>
      <w:r w:rsidR="003254B2">
        <w:t xml:space="preserve">, including the right to make </w:t>
      </w:r>
      <w:r w:rsidR="002F0DCF">
        <w:t xml:space="preserve">one’s own </w:t>
      </w:r>
      <w:r w:rsidR="003254B2">
        <w:t>decisions for people with disabilities and older adults</w:t>
      </w:r>
      <w:r w:rsidR="002F0DCF">
        <w:t>.</w:t>
      </w:r>
      <w:r w:rsidR="00CC6AF5">
        <w:t xml:space="preserve"> </w:t>
      </w:r>
      <w:r w:rsidR="00CC1F4D">
        <w:t>The growing acceptance of SDM demonstrates a major</w:t>
      </w:r>
      <w:r w:rsidR="00917C0D">
        <w:t xml:space="preserve"> </w:t>
      </w:r>
      <w:r w:rsidR="00917C0D" w:rsidRPr="009D2D14">
        <w:t xml:space="preserve">advance in advocacy to promote the </w:t>
      </w:r>
      <w:r w:rsidR="005D06B1" w:rsidRPr="009D2D14">
        <w:t>self-determination</w:t>
      </w:r>
      <w:r w:rsidR="00917C0D" w:rsidRPr="009D2D14">
        <w:t xml:space="preserve"> rights of all adults to direct their own lives, adding new insights to the long history of advoca</w:t>
      </w:r>
      <w:r w:rsidR="009D2D14">
        <w:t>cy</w:t>
      </w:r>
      <w:r w:rsidR="00917C0D" w:rsidRPr="009D2D14">
        <w:t xml:space="preserve"> promoting self-directedness and autonomy among adults of various population segments.</w:t>
      </w:r>
    </w:p>
    <w:p w14:paraId="5E39A2F0" w14:textId="2179423D" w:rsidR="00CC1F4D" w:rsidRPr="00416BBB" w:rsidRDefault="00CC1F4D">
      <w:pPr>
        <w:rPr>
          <w:bCs/>
        </w:rPr>
      </w:pPr>
    </w:p>
    <w:p w14:paraId="778F37F0" w14:textId="45BB4864" w:rsidR="00CC1F4D" w:rsidRDefault="00CC1F4D" w:rsidP="00CC1F4D">
      <w:r>
        <w:t>The United Nations’ Convention on the Rights of People with Disabilities (CRPD), adopted in 2006, has played an instrumental role in affirming the rights of individuals with disabilities to exercise legal capacity with the necessary supports to do so.</w:t>
      </w:r>
      <w:r>
        <w:rPr>
          <w:rStyle w:val="FootnoteReference"/>
        </w:rPr>
        <w:footnoteReference w:id="4"/>
      </w:r>
      <w:r>
        <w:t xml:space="preserve"> The CRPD provides that “persons with disabilities enjoy legal capacity on an equal basis with others in all aspects of life,” and </w:t>
      </w:r>
      <w:r w:rsidR="00B50A9A">
        <w:t xml:space="preserve">that </w:t>
      </w:r>
      <w:r>
        <w:t>“States Parties shall take appropriate measures to provide access by persons with disabilities to the support they may require in exercising their legal capacity.”</w:t>
      </w:r>
      <w:r>
        <w:rPr>
          <w:rStyle w:val="FootnoteReference"/>
        </w:rPr>
        <w:footnoteReference w:id="5"/>
      </w:r>
      <w:r>
        <w:t xml:space="preserve"> </w:t>
      </w:r>
    </w:p>
    <w:p w14:paraId="13024B55" w14:textId="77777777" w:rsidR="007E0CFE" w:rsidRPr="00416BBB" w:rsidRDefault="007E0CFE">
      <w:pPr>
        <w:rPr>
          <w:bCs/>
        </w:rPr>
      </w:pPr>
    </w:p>
    <w:p w14:paraId="24E85176" w14:textId="3CD50ECD" w:rsidR="00F744C0" w:rsidRPr="00F744C0" w:rsidRDefault="00695A44" w:rsidP="00F744C0">
      <w:pPr>
        <w:rPr>
          <w:b/>
        </w:rPr>
      </w:pPr>
      <w:r>
        <w:t xml:space="preserve">The CRPD Article 12’s principles have served as a </w:t>
      </w:r>
      <w:r w:rsidR="00F96964">
        <w:t xml:space="preserve">more recent </w:t>
      </w:r>
      <w:r>
        <w:t xml:space="preserve">starting point for materials on decision supports around the world, including </w:t>
      </w:r>
      <w:r w:rsidR="00C42EA5" w:rsidRPr="00416BBB">
        <w:t>a</w:t>
      </w:r>
      <w:r w:rsidR="00EB3F42" w:rsidRPr="00416BBB">
        <w:t xml:space="preserve"> </w:t>
      </w:r>
      <w:r w:rsidR="002F369B" w:rsidRPr="00416BBB">
        <w:t>core set of values</w:t>
      </w:r>
      <w:r w:rsidR="003433E1">
        <w:t xml:space="preserve"> contained in a policy development guideline for aged care</w:t>
      </w:r>
      <w:r w:rsidR="00780E76">
        <w:t>,</w:t>
      </w:r>
      <w:r w:rsidR="00465F52">
        <w:t xml:space="preserve"> published in Australia,</w:t>
      </w:r>
      <w:r w:rsidR="00780E76" w:rsidRPr="00780E76">
        <w:t xml:space="preserve"> </w:t>
      </w:r>
      <w:r w:rsidR="00780E76" w:rsidRPr="00416BBB">
        <w:t xml:space="preserve">based on the principles in the </w:t>
      </w:r>
      <w:r w:rsidR="00780E76" w:rsidRPr="00416BBB">
        <w:lastRenderedPageBreak/>
        <w:t>United Nations Convention on the Rights of Persons with Disabilities</w:t>
      </w:r>
      <w:r w:rsidR="00465F52">
        <w:t>.</w:t>
      </w:r>
      <w:r w:rsidR="00780E76" w:rsidRPr="005F0E4F">
        <w:rPr>
          <w:rStyle w:val="FootnoteReference"/>
        </w:rPr>
        <w:footnoteReference w:id="6"/>
      </w:r>
      <w:r w:rsidR="00F744C0">
        <w:rPr>
          <w:b/>
        </w:rPr>
        <w:t xml:space="preserve"> </w:t>
      </w:r>
      <w:r w:rsidRPr="00B10F44">
        <w:t>Participants in both forums responded favorably to this core set of values</w:t>
      </w:r>
      <w:r>
        <w:rPr>
          <w:b/>
        </w:rPr>
        <w:t xml:space="preserve">. </w:t>
      </w:r>
      <w:r w:rsidR="00F744C0" w:rsidRPr="00416BBB">
        <w:t xml:space="preserve">The Australian publication also included more detailed Key Actions under each principle for purposes of implementation. The timing and scope of this initiative did not allow for discussion </w:t>
      </w:r>
      <w:r w:rsidR="00F744C0">
        <w:t xml:space="preserve">on the Key Actions </w:t>
      </w:r>
      <w:r w:rsidR="00F744C0" w:rsidRPr="00416BBB">
        <w:t>at the two forums</w:t>
      </w:r>
      <w:r w:rsidR="00F744C0">
        <w:t>.</w:t>
      </w:r>
    </w:p>
    <w:p w14:paraId="20147E70" w14:textId="77777777" w:rsidR="000A7583" w:rsidRPr="00416BBB" w:rsidRDefault="000A7583"/>
    <w:p w14:paraId="4D434635" w14:textId="06E1E0B4" w:rsidR="002F369B" w:rsidRDefault="002F369B">
      <w:r w:rsidRPr="005F0E4F">
        <w:t xml:space="preserve">The core </w:t>
      </w:r>
      <w:r w:rsidR="00B979EC" w:rsidRPr="005F0E4F">
        <w:t>values</w:t>
      </w:r>
      <w:r w:rsidR="00586FF9">
        <w:t xml:space="preserve"> in the Australian guidelines are directly in alignment with Article 12 of the CRPD</w:t>
      </w:r>
      <w:r w:rsidR="00AF7B7F">
        <w:t>,</w:t>
      </w:r>
      <w:r w:rsidR="00586FF9">
        <w:t xml:space="preserve"> and state:</w:t>
      </w:r>
      <w:r w:rsidRPr="005F0E4F">
        <w:t xml:space="preserve"> </w:t>
      </w:r>
    </w:p>
    <w:p w14:paraId="254D77A0" w14:textId="77777777" w:rsidR="003C5376" w:rsidRPr="005F0E4F" w:rsidRDefault="003C5376"/>
    <w:p w14:paraId="28E94FF3" w14:textId="78BD6227" w:rsidR="002F369B" w:rsidRPr="006959E5" w:rsidRDefault="002F369B" w:rsidP="005E2D2A">
      <w:pPr>
        <w:pStyle w:val="ListParagraph"/>
        <w:numPr>
          <w:ilvl w:val="0"/>
          <w:numId w:val="40"/>
        </w:numPr>
        <w:rPr>
          <w:b/>
        </w:rPr>
      </w:pPr>
      <w:r w:rsidRPr="00780E76">
        <w:rPr>
          <w:rFonts w:ascii="Times New Roman" w:hAnsi="Times New Roman" w:cs="Times New Roman"/>
          <w:b/>
          <w:sz w:val="24"/>
          <w:szCs w:val="24"/>
        </w:rPr>
        <w:t>All adults have an equal right to make decisions that affect their lives and to have those decisions respected.</w:t>
      </w:r>
    </w:p>
    <w:p w14:paraId="19ACD7F3" w14:textId="3E11121C" w:rsidR="002F369B" w:rsidRPr="006959E5" w:rsidRDefault="002F369B" w:rsidP="005E2D2A">
      <w:pPr>
        <w:pStyle w:val="ListParagraph"/>
        <w:numPr>
          <w:ilvl w:val="0"/>
          <w:numId w:val="40"/>
        </w:numPr>
        <w:rPr>
          <w:b/>
        </w:rPr>
      </w:pPr>
      <w:r w:rsidRPr="00AB71D1">
        <w:rPr>
          <w:rFonts w:ascii="Times New Roman" w:hAnsi="Times New Roman" w:cs="Times New Roman"/>
          <w:b/>
          <w:sz w:val="24"/>
          <w:szCs w:val="24"/>
        </w:rPr>
        <w:t>Persons who require support in decision-making must be provided with access to the</w:t>
      </w:r>
      <w:r w:rsidR="003B1420">
        <w:rPr>
          <w:rFonts w:ascii="Times New Roman" w:hAnsi="Times New Roman" w:cs="Times New Roman"/>
          <w:b/>
          <w:sz w:val="24"/>
          <w:szCs w:val="24"/>
        </w:rPr>
        <w:t xml:space="preserve"> </w:t>
      </w:r>
      <w:r w:rsidRPr="00AB71D1">
        <w:rPr>
          <w:rFonts w:ascii="Times New Roman" w:hAnsi="Times New Roman" w:cs="Times New Roman"/>
          <w:b/>
          <w:sz w:val="24"/>
          <w:szCs w:val="24"/>
        </w:rPr>
        <w:t>support necessary for them to make, communicate and participate in decisions that affect their lives.</w:t>
      </w:r>
    </w:p>
    <w:p w14:paraId="16E5415F" w14:textId="7543E3F8" w:rsidR="002F369B" w:rsidRPr="006959E5" w:rsidRDefault="002F369B" w:rsidP="005E2D2A">
      <w:pPr>
        <w:pStyle w:val="ListParagraph"/>
        <w:numPr>
          <w:ilvl w:val="0"/>
          <w:numId w:val="40"/>
        </w:numPr>
        <w:rPr>
          <w:b/>
        </w:rPr>
      </w:pPr>
      <w:r w:rsidRPr="00AB71D1">
        <w:rPr>
          <w:rFonts w:ascii="Times New Roman" w:hAnsi="Times New Roman" w:cs="Times New Roman"/>
          <w:b/>
          <w:sz w:val="24"/>
          <w:szCs w:val="24"/>
        </w:rPr>
        <w:t>The will, preferences and rights of persons who may require decision-making support must direct decisions that affect their lives.</w:t>
      </w:r>
    </w:p>
    <w:p w14:paraId="162E0AB4" w14:textId="69B15D13" w:rsidR="00B23901" w:rsidRPr="00416BBB" w:rsidRDefault="002F369B" w:rsidP="005E2D2A">
      <w:pPr>
        <w:pStyle w:val="ListParagraph"/>
        <w:numPr>
          <w:ilvl w:val="0"/>
          <w:numId w:val="40"/>
        </w:numPr>
      </w:pPr>
      <w:r w:rsidRPr="00AB71D1">
        <w:rPr>
          <w:rFonts w:ascii="Times New Roman" w:hAnsi="Times New Roman" w:cs="Times New Roman"/>
          <w:b/>
          <w:sz w:val="24"/>
          <w:szCs w:val="24"/>
        </w:rPr>
        <w:t xml:space="preserve">Laws and legal frameworks must contain appropriate and effective safeguards in relation to interventions for persons who may require decision-making support, </w:t>
      </w:r>
      <w:r w:rsidR="00465F52" w:rsidRPr="00465F52">
        <w:rPr>
          <w:rFonts w:ascii="Times New Roman" w:hAnsi="Times New Roman" w:cs="Times New Roman"/>
          <w:b/>
          <w:sz w:val="24"/>
          <w:szCs w:val="24"/>
        </w:rPr>
        <w:t>including to prevent abuse and undue influence</w:t>
      </w:r>
      <w:r w:rsidR="00AF7B7F">
        <w:rPr>
          <w:rFonts w:ascii="Times New Roman" w:hAnsi="Times New Roman" w:cs="Times New Roman"/>
          <w:b/>
          <w:sz w:val="24"/>
          <w:szCs w:val="24"/>
        </w:rPr>
        <w:t>.</w:t>
      </w:r>
    </w:p>
    <w:p w14:paraId="3E9CFCBA" w14:textId="77777777" w:rsidR="003C5376" w:rsidRDefault="003C5376"/>
    <w:p w14:paraId="7F5D49EB" w14:textId="54A5AC95" w:rsidR="002F369B" w:rsidRPr="00416BBB" w:rsidRDefault="002F369B">
      <w:r w:rsidRPr="00416BBB">
        <w:t>The first principle</w:t>
      </w:r>
      <w:r w:rsidR="005C1813">
        <w:t>, as noted above,</w:t>
      </w:r>
      <w:r w:rsidR="00F67097" w:rsidRPr="00416BBB">
        <w:t xml:space="preserve"> was fundamental to the partic</w:t>
      </w:r>
      <w:r w:rsidR="00E54E41" w:rsidRPr="00416BBB">
        <w:t>i</w:t>
      </w:r>
      <w:r w:rsidR="00F67097" w:rsidRPr="00416BBB">
        <w:t xml:space="preserve">pants’ </w:t>
      </w:r>
      <w:r w:rsidR="00780E76">
        <w:t xml:space="preserve">commitment to making decision supports available to the people they serve, as means for those individuals to make their own choices. </w:t>
      </w:r>
    </w:p>
    <w:p w14:paraId="38E9B4DB" w14:textId="77777777" w:rsidR="00506462" w:rsidRPr="00416BBB" w:rsidRDefault="00506462"/>
    <w:p w14:paraId="78CC1264" w14:textId="2E7BB81C" w:rsidR="00AA7F05" w:rsidRPr="00416BBB" w:rsidRDefault="002F369B">
      <w:r w:rsidRPr="00416BBB">
        <w:t xml:space="preserve">The second principle </w:t>
      </w:r>
      <w:r w:rsidR="005C1813">
        <w:t xml:space="preserve">reflects the heart of what many of the participants do—asking what kinds of services and supports it will take for individuals to make their own decisions and </w:t>
      </w:r>
      <w:r w:rsidR="00F744C0">
        <w:t xml:space="preserve">implementing </w:t>
      </w:r>
      <w:r w:rsidR="005C1813">
        <w:t>those</w:t>
      </w:r>
      <w:r w:rsidR="00F744C0">
        <w:t xml:space="preserve"> supports</w:t>
      </w:r>
      <w:r w:rsidR="005C1813">
        <w:t>.</w:t>
      </w:r>
      <w:r w:rsidR="00CC6AF5">
        <w:t xml:space="preserve"> </w:t>
      </w:r>
      <w:r w:rsidR="00F744C0">
        <w:t>Participants broke into small groups to review case studies to prompt conversation about what kinds of supports are appropriate to specific situations.</w:t>
      </w:r>
      <w:r w:rsidR="00CC6AF5">
        <w:t xml:space="preserve"> </w:t>
      </w:r>
      <w:r w:rsidR="00E74441">
        <w:t xml:space="preserve">While all embraced the goal </w:t>
      </w:r>
      <w:r w:rsidR="00382641">
        <w:t>of support</w:t>
      </w:r>
      <w:r w:rsidR="00E74441">
        <w:t>, views varied as to the means.</w:t>
      </w:r>
    </w:p>
    <w:p w14:paraId="47EA888E" w14:textId="77777777" w:rsidR="00506462" w:rsidRPr="00416BBB" w:rsidRDefault="00506462"/>
    <w:p w14:paraId="0B857DBD" w14:textId="72DAAF5C" w:rsidR="00AA7F05" w:rsidRPr="00416BBB" w:rsidRDefault="000203F4">
      <w:r>
        <w:t xml:space="preserve">Participants also provided examples of how they respect the third principle, </w:t>
      </w:r>
      <w:r w:rsidR="0034490C">
        <w:t xml:space="preserve">to ensure that </w:t>
      </w:r>
      <w:r>
        <w:t>that the individual’s values and preferences drive decision</w:t>
      </w:r>
      <w:r w:rsidR="0034490C">
        <w:t>s, and not the values and beliefs of the supporter or others.</w:t>
      </w:r>
      <w:r w:rsidR="00CC6AF5">
        <w:t xml:space="preserve"> </w:t>
      </w:r>
      <w:r w:rsidR="0034490C">
        <w:t xml:space="preserve">It was also recognized that </w:t>
      </w:r>
      <w:r w:rsidR="00110213">
        <w:t xml:space="preserve">some </w:t>
      </w:r>
      <w:r w:rsidR="00FD5FEA" w:rsidRPr="00416BBB">
        <w:t>person</w:t>
      </w:r>
      <w:r w:rsidR="00110213">
        <w:t>s may be</w:t>
      </w:r>
      <w:r w:rsidR="00FD5FEA" w:rsidRPr="00416BBB">
        <w:t xml:space="preserve"> unable to make a choice or express a</w:t>
      </w:r>
      <w:r w:rsidR="00110213">
        <w:t>ny</w:t>
      </w:r>
      <w:r w:rsidR="00FD5FEA" w:rsidRPr="00416BBB">
        <w:t xml:space="preserve"> preference</w:t>
      </w:r>
      <w:r w:rsidR="0034490C">
        <w:t xml:space="preserve"> at all</w:t>
      </w:r>
      <w:r w:rsidR="00FD5FEA" w:rsidRPr="00416BBB">
        <w:t xml:space="preserve">, </w:t>
      </w:r>
      <w:r w:rsidR="00110213">
        <w:t>in which case</w:t>
      </w:r>
      <w:r w:rsidR="0034490C">
        <w:t xml:space="preserve"> </w:t>
      </w:r>
      <w:r w:rsidR="00FD5FEA" w:rsidRPr="00416BBB">
        <w:t>any surrogate decision</w:t>
      </w:r>
      <w:r w:rsidR="00AF7B7F">
        <w:t>-</w:t>
      </w:r>
      <w:r w:rsidR="00FD5FEA" w:rsidRPr="00416BBB">
        <w:t xml:space="preserve">maker </w:t>
      </w:r>
      <w:r w:rsidR="00695A44">
        <w:t>faces</w:t>
      </w:r>
      <w:r w:rsidR="00E74441">
        <w:t xml:space="preserve"> the additional challenge </w:t>
      </w:r>
      <w:r w:rsidR="00695A44">
        <w:t xml:space="preserve">and duty </w:t>
      </w:r>
      <w:r w:rsidR="00E74441">
        <w:t xml:space="preserve">of </w:t>
      </w:r>
      <w:r w:rsidR="00AA3381">
        <w:t>piecing together</w:t>
      </w:r>
      <w:r w:rsidR="00FD5FEA" w:rsidRPr="00416BBB">
        <w:t xml:space="preserve"> </w:t>
      </w:r>
      <w:r w:rsidR="00695A44">
        <w:t xml:space="preserve">to the greatest extent possible </w:t>
      </w:r>
      <w:r w:rsidR="00FD5FEA" w:rsidRPr="00416BBB">
        <w:t>the known values and preferences of the person.</w:t>
      </w:r>
      <w:r w:rsidR="00FD5FEA">
        <w:t xml:space="preserve"> </w:t>
      </w:r>
    </w:p>
    <w:p w14:paraId="1B358072" w14:textId="77777777" w:rsidR="00506462" w:rsidRPr="00416BBB" w:rsidRDefault="00506462"/>
    <w:p w14:paraId="4DF43262" w14:textId="61BD0784" w:rsidR="0057303B" w:rsidRPr="00416BBB" w:rsidRDefault="00AA7F05">
      <w:r w:rsidRPr="00416BBB">
        <w:t xml:space="preserve">The </w:t>
      </w:r>
      <w:r w:rsidR="002B2152" w:rsidRPr="00416BBB">
        <w:t>fourth</w:t>
      </w:r>
      <w:r w:rsidRPr="00416BBB">
        <w:t xml:space="preserve"> principle</w:t>
      </w:r>
      <w:r w:rsidR="00110213">
        <w:t xml:space="preserve"> prompted considerable discussion.</w:t>
      </w:r>
      <w:r w:rsidR="0057303B" w:rsidRPr="00416BBB">
        <w:t xml:space="preserve"> While all participants agreed that safeguards are important, participant</w:t>
      </w:r>
      <w:r w:rsidR="00AF7B7F">
        <w:t>s</w:t>
      </w:r>
      <w:r w:rsidR="0057303B" w:rsidRPr="00416BBB">
        <w:t xml:space="preserve"> disagreed on the appropriate response to potential misuse and abuse. Some participants </w:t>
      </w:r>
      <w:r w:rsidR="007E7835" w:rsidRPr="00416BBB">
        <w:t xml:space="preserve">focused </w:t>
      </w:r>
      <w:r w:rsidR="00500825">
        <w:t xml:space="preserve">more prominently </w:t>
      </w:r>
      <w:r w:rsidR="007E7835" w:rsidRPr="00416BBB">
        <w:t>on the</w:t>
      </w:r>
      <w:r w:rsidR="0057303B" w:rsidRPr="00416BBB">
        <w:t xml:space="preserve"> first principle </w:t>
      </w:r>
      <w:r w:rsidR="007E7835" w:rsidRPr="00416BBB">
        <w:t>-</w:t>
      </w:r>
      <w:r w:rsidR="0057303B" w:rsidRPr="00416BBB">
        <w:t xml:space="preserve"> the right to make choices</w:t>
      </w:r>
      <w:r w:rsidR="007E7835" w:rsidRPr="00416BBB">
        <w:t xml:space="preserve"> - </w:t>
      </w:r>
      <w:r w:rsidR="0057303B" w:rsidRPr="00416BBB">
        <w:t xml:space="preserve">even if those choices have unfortunate consequences. Others </w:t>
      </w:r>
      <w:r w:rsidR="007E7835" w:rsidRPr="00416BBB">
        <w:t>questioned how</w:t>
      </w:r>
      <w:r w:rsidR="0057303B" w:rsidRPr="00416BBB">
        <w:t xml:space="preserve"> a decision </w:t>
      </w:r>
      <w:r w:rsidR="0057303B" w:rsidRPr="00416BBB">
        <w:lastRenderedPageBreak/>
        <w:t xml:space="preserve">made under </w:t>
      </w:r>
      <w:r w:rsidR="00500825">
        <w:t xml:space="preserve">circumstances </w:t>
      </w:r>
      <w:r w:rsidR="00512EE1">
        <w:t>implicating</w:t>
      </w:r>
      <w:r w:rsidR="00500825">
        <w:t xml:space="preserve"> undue influence</w:t>
      </w:r>
      <w:r w:rsidR="005A4857">
        <w:t>,</w:t>
      </w:r>
      <w:r w:rsidR="00500825">
        <w:t xml:space="preserve"> abuse</w:t>
      </w:r>
      <w:r w:rsidR="005A4857">
        <w:t>, or other potential harm</w:t>
      </w:r>
      <w:r w:rsidR="00500825">
        <w:t xml:space="preserve"> by others</w:t>
      </w:r>
      <w:r w:rsidR="00512EE1">
        <w:t xml:space="preserve"> </w:t>
      </w:r>
      <w:r w:rsidR="00512EE1" w:rsidRPr="00416BBB">
        <w:t>could be a true choice</w:t>
      </w:r>
      <w:r w:rsidR="00512EE1">
        <w:t>.</w:t>
      </w:r>
    </w:p>
    <w:p w14:paraId="0D3CD773" w14:textId="77777777" w:rsidR="00544320" w:rsidRPr="00416BBB" w:rsidRDefault="00544320"/>
    <w:p w14:paraId="04586FA4" w14:textId="719DA914" w:rsidR="00C42EA5" w:rsidRPr="00FD5FEA" w:rsidRDefault="00544320">
      <w:pPr>
        <w:rPr>
          <w:bCs/>
        </w:rPr>
      </w:pPr>
      <w:r w:rsidRPr="00416BBB">
        <w:rPr>
          <w:bCs/>
        </w:rPr>
        <w:t xml:space="preserve">An overall theme expressed at both forums was that these decision-support </w:t>
      </w:r>
      <w:r w:rsidR="00110213">
        <w:rPr>
          <w:bCs/>
        </w:rPr>
        <w:t xml:space="preserve">core </w:t>
      </w:r>
      <w:r w:rsidRPr="00416BBB">
        <w:rPr>
          <w:bCs/>
        </w:rPr>
        <w:t xml:space="preserve">values are relevant to the full range of adults across the age spectrum and across all models </w:t>
      </w:r>
      <w:r w:rsidR="006959E5">
        <w:rPr>
          <w:bCs/>
        </w:rPr>
        <w:t>or</w:t>
      </w:r>
      <w:r w:rsidR="006959E5" w:rsidRPr="00416BBB">
        <w:rPr>
          <w:bCs/>
        </w:rPr>
        <w:t xml:space="preserve"> </w:t>
      </w:r>
      <w:r w:rsidRPr="00416BBB">
        <w:rPr>
          <w:bCs/>
        </w:rPr>
        <w:t xml:space="preserve">tools for decisional support. Forum participants expressed interest in finding consensus on core values and applying these values to offering decision-supports to adults </w:t>
      </w:r>
      <w:r w:rsidR="00512EE1">
        <w:rPr>
          <w:bCs/>
        </w:rPr>
        <w:t>of all ages</w:t>
      </w:r>
      <w:r w:rsidRPr="00416BBB">
        <w:rPr>
          <w:bCs/>
        </w:rPr>
        <w:t>.</w:t>
      </w:r>
    </w:p>
    <w:p w14:paraId="209117B9" w14:textId="77777777" w:rsidR="00E74441" w:rsidRDefault="00E74441" w:rsidP="00FD5FEA"/>
    <w:p w14:paraId="525F8F43" w14:textId="4B2A3ABD" w:rsidR="00E74441" w:rsidRDefault="00E74441" w:rsidP="00AA3381">
      <w:pPr>
        <w:pStyle w:val="Heading2"/>
      </w:pPr>
      <w:bookmarkStart w:id="3" w:name="_Toc31213092"/>
      <w:r>
        <w:t>Areas of Consensus</w:t>
      </w:r>
      <w:bookmarkEnd w:id="3"/>
    </w:p>
    <w:p w14:paraId="2E1C3E80" w14:textId="77777777" w:rsidR="00E74441" w:rsidRDefault="00E74441" w:rsidP="00FD5FEA"/>
    <w:p w14:paraId="447D5CFE" w14:textId="7947CBBA" w:rsidR="00FD5FEA" w:rsidRDefault="00FD5FEA" w:rsidP="00FD5FEA">
      <w:r w:rsidRPr="00416BBB">
        <w:t xml:space="preserve">Across all decision support approaches, participants expressed </w:t>
      </w:r>
      <w:r w:rsidRPr="00FD5FEA">
        <w:rPr>
          <w:b/>
        </w:rPr>
        <w:t>consensus</w:t>
      </w:r>
      <w:r w:rsidRPr="00416BBB">
        <w:t xml:space="preserve"> on the following principles: </w:t>
      </w:r>
    </w:p>
    <w:p w14:paraId="76416DF3" w14:textId="77777777" w:rsidR="00FD5FEA" w:rsidRPr="00416BBB" w:rsidRDefault="00FD5FEA" w:rsidP="00FD5FEA"/>
    <w:p w14:paraId="18655FB5" w14:textId="77777777" w:rsidR="00FD5FEA" w:rsidRPr="00416BBB" w:rsidRDefault="00FD5FEA" w:rsidP="005E2D2A">
      <w:pPr>
        <w:pStyle w:val="ListParagraph"/>
        <w:numPr>
          <w:ilvl w:val="0"/>
          <w:numId w:val="38"/>
        </w:numPr>
        <w:spacing w:after="0" w:line="240" w:lineRule="auto"/>
        <w:ind w:left="720"/>
        <w:rPr>
          <w:rFonts w:ascii="Times New Roman" w:hAnsi="Times New Roman" w:cs="Times New Roman"/>
          <w:sz w:val="24"/>
          <w:szCs w:val="24"/>
        </w:rPr>
      </w:pPr>
      <w:r w:rsidRPr="00416BBB">
        <w:rPr>
          <w:rFonts w:ascii="Times New Roman" w:hAnsi="Times New Roman" w:cs="Times New Roman"/>
          <w:sz w:val="24"/>
          <w:szCs w:val="24"/>
        </w:rPr>
        <w:t xml:space="preserve">While all adults seek support in making some kinds of decisions, they vary in the types of decisions and degree of support they want and need. </w:t>
      </w:r>
    </w:p>
    <w:p w14:paraId="041557A8" w14:textId="14500635" w:rsidR="00FD5FEA" w:rsidRPr="00416BBB" w:rsidRDefault="00FD5FEA" w:rsidP="005E2D2A">
      <w:pPr>
        <w:pStyle w:val="ListParagraph"/>
        <w:numPr>
          <w:ilvl w:val="0"/>
          <w:numId w:val="38"/>
        </w:numPr>
        <w:spacing w:after="0" w:line="240" w:lineRule="auto"/>
        <w:ind w:left="720"/>
        <w:rPr>
          <w:rFonts w:ascii="Times New Roman" w:hAnsi="Times New Roman" w:cs="Times New Roman"/>
          <w:sz w:val="24"/>
          <w:szCs w:val="24"/>
        </w:rPr>
      </w:pPr>
      <w:r w:rsidRPr="00416BBB">
        <w:rPr>
          <w:rFonts w:ascii="Times New Roman" w:hAnsi="Times New Roman" w:cs="Times New Roman"/>
          <w:sz w:val="24"/>
          <w:szCs w:val="24"/>
        </w:rPr>
        <w:t xml:space="preserve">Whenever a supporter is involved in exercising a decision support, the supporter must honor the person making the decision by, </w:t>
      </w:r>
      <w:r w:rsidR="00382641">
        <w:rPr>
          <w:rFonts w:ascii="Times New Roman" w:hAnsi="Times New Roman" w:cs="Times New Roman"/>
          <w:sz w:val="24"/>
          <w:szCs w:val="24"/>
        </w:rPr>
        <w:t>as appropriate</w:t>
      </w:r>
      <w:r w:rsidRPr="00416BBB">
        <w:rPr>
          <w:rFonts w:ascii="Times New Roman" w:hAnsi="Times New Roman" w:cs="Times New Roman"/>
          <w:sz w:val="24"/>
          <w:szCs w:val="24"/>
        </w:rPr>
        <w:t>, informing the person of the issue at hand, communicating in a way the person can understand, explain</w:t>
      </w:r>
      <w:r w:rsidR="00465F52">
        <w:rPr>
          <w:rFonts w:ascii="Times New Roman" w:hAnsi="Times New Roman" w:cs="Times New Roman"/>
          <w:sz w:val="24"/>
          <w:szCs w:val="24"/>
        </w:rPr>
        <w:t>ing</w:t>
      </w:r>
      <w:r w:rsidRPr="00416BBB">
        <w:rPr>
          <w:rFonts w:ascii="Times New Roman" w:hAnsi="Times New Roman" w:cs="Times New Roman"/>
          <w:sz w:val="24"/>
          <w:szCs w:val="24"/>
        </w:rPr>
        <w:t xml:space="preserve"> risks and benefits of a decision, respecting the person’s choices and preferences, and assisting as needed and/or desired by that person in implementing the choice made.  </w:t>
      </w:r>
    </w:p>
    <w:p w14:paraId="41D084A6" w14:textId="3F85E48B" w:rsidR="00FD5FEA" w:rsidRDefault="00FD5FEA" w:rsidP="005E2D2A">
      <w:pPr>
        <w:pStyle w:val="ListParagraph"/>
        <w:numPr>
          <w:ilvl w:val="0"/>
          <w:numId w:val="38"/>
        </w:numPr>
        <w:spacing w:after="0" w:line="240" w:lineRule="auto"/>
        <w:ind w:left="720"/>
        <w:rPr>
          <w:rFonts w:ascii="Times New Roman" w:hAnsi="Times New Roman" w:cs="Times New Roman"/>
          <w:sz w:val="24"/>
          <w:szCs w:val="24"/>
        </w:rPr>
      </w:pPr>
      <w:r w:rsidRPr="00416BBB">
        <w:rPr>
          <w:rFonts w:ascii="Times New Roman" w:hAnsi="Times New Roman" w:cs="Times New Roman"/>
          <w:sz w:val="24"/>
          <w:szCs w:val="24"/>
        </w:rPr>
        <w:t xml:space="preserve">Decision supports reflect respect for autonomy and self-determination of adults.  </w:t>
      </w:r>
    </w:p>
    <w:p w14:paraId="5BA58A08" w14:textId="3D237956" w:rsidR="00DF3F86" w:rsidRPr="00416BBB" w:rsidRDefault="00DF3F86" w:rsidP="005E2D2A">
      <w:pPr>
        <w:pStyle w:val="ListParagraph"/>
        <w:numPr>
          <w:ilvl w:val="0"/>
          <w:numId w:val="38"/>
        </w:numPr>
        <w:spacing w:after="0" w:line="240" w:lineRule="auto"/>
        <w:ind w:left="720"/>
        <w:rPr>
          <w:rFonts w:ascii="Times New Roman" w:hAnsi="Times New Roman" w:cs="Times New Roman"/>
          <w:sz w:val="24"/>
          <w:szCs w:val="24"/>
        </w:rPr>
      </w:pPr>
      <w:r w:rsidRPr="00DF3F86">
        <w:rPr>
          <w:rFonts w:ascii="Times New Roman" w:hAnsi="Times New Roman" w:cs="Times New Roman"/>
          <w:sz w:val="24"/>
          <w:szCs w:val="24"/>
        </w:rPr>
        <w:t>Even for someone totally incapable of decision-making, such as a person in a</w:t>
      </w:r>
      <w:r>
        <w:rPr>
          <w:rFonts w:ascii="Times New Roman" w:hAnsi="Times New Roman" w:cs="Times New Roman"/>
          <w:sz w:val="24"/>
          <w:szCs w:val="24"/>
        </w:rPr>
        <w:t xml:space="preserve"> permanently</w:t>
      </w:r>
      <w:r w:rsidRPr="00DF3F86">
        <w:rPr>
          <w:rFonts w:ascii="Times New Roman" w:hAnsi="Times New Roman" w:cs="Times New Roman"/>
          <w:sz w:val="24"/>
          <w:szCs w:val="24"/>
        </w:rPr>
        <w:t xml:space="preserve"> unconscious state, decision support principles are still operative in that they imply an obligation on the part of the substitute decision-maker to learn of and honor the person’s values, goals, priorities, and wishes to the greatest extent feasible.</w:t>
      </w:r>
    </w:p>
    <w:p w14:paraId="27F84CF7" w14:textId="77777777" w:rsidR="00FD5FEA" w:rsidRPr="00416BBB" w:rsidRDefault="00FD5FEA"/>
    <w:p w14:paraId="4DE776F6" w14:textId="0805645D" w:rsidR="00544320" w:rsidRPr="00416BBB" w:rsidRDefault="00A770D9">
      <w:r>
        <w:t xml:space="preserve">Participants at both forums repeatedly </w:t>
      </w:r>
      <w:r w:rsidR="007D6F29">
        <w:t>acknowledged</w:t>
      </w:r>
      <w:r>
        <w:t xml:space="preserve"> that strong social support</w:t>
      </w:r>
      <w:r w:rsidR="007D6F29">
        <w:t>s</w:t>
      </w:r>
      <w:r>
        <w:t xml:space="preserve"> and supporters</w:t>
      </w:r>
      <w:r w:rsidR="007D6F29">
        <w:t>’</w:t>
      </w:r>
      <w:r>
        <w:t xml:space="preserve"> familiarity with the person’s values and preferences were key to successfully implementing decision support strategies. </w:t>
      </w:r>
      <w:r w:rsidR="00AA3381" w:rsidRPr="00AA3381">
        <w:t>Effective decision supports ultimately rest on trust</w:t>
      </w:r>
      <w:r w:rsidR="00BC774A">
        <w:t>wo</w:t>
      </w:r>
      <w:r w:rsidR="00F640AF">
        <w:t>r</w:t>
      </w:r>
      <w:r w:rsidR="00BC774A">
        <w:t>thy</w:t>
      </w:r>
      <w:r w:rsidR="00AA3381" w:rsidRPr="00AA3381">
        <w:t xml:space="preserve"> relationships.</w:t>
      </w:r>
      <w:r w:rsidR="00CC6AF5">
        <w:t xml:space="preserve"> </w:t>
      </w:r>
      <w:r w:rsidR="00AA3381" w:rsidRPr="00AA3381">
        <w:t>There is no autonomy without relationships.</w:t>
      </w:r>
      <w:r w:rsidR="00AA3381">
        <w:t xml:space="preserve"> </w:t>
      </w:r>
      <w:r>
        <w:t>P</w:t>
      </w:r>
      <w:r w:rsidR="009F6851" w:rsidRPr="00416BBB">
        <w:t xml:space="preserve">articipants expressed concern </w:t>
      </w:r>
      <w:r w:rsidR="00F640AF">
        <w:t>about</w:t>
      </w:r>
      <w:r w:rsidR="009F6851" w:rsidRPr="00416BBB">
        <w:t xml:space="preserve"> </w:t>
      </w:r>
      <w:r w:rsidR="00F16DFD" w:rsidRPr="00416BBB">
        <w:t xml:space="preserve">the </w:t>
      </w:r>
      <w:r w:rsidR="00382641">
        <w:t xml:space="preserve">implications of social isolation and the </w:t>
      </w:r>
      <w:r w:rsidR="00F16DFD" w:rsidRPr="00416BBB">
        <w:t>limited</w:t>
      </w:r>
      <w:r w:rsidR="009F6851" w:rsidRPr="00416BBB">
        <w:t xml:space="preserve"> availability of social and </w:t>
      </w:r>
      <w:r w:rsidR="003E1362" w:rsidRPr="00416BBB">
        <w:t>human service</w:t>
      </w:r>
      <w:r w:rsidR="009F6851" w:rsidRPr="00416BBB">
        <w:t xml:space="preserve"> resources</w:t>
      </w:r>
      <w:r w:rsidR="00544320" w:rsidRPr="00416BBB">
        <w:t xml:space="preserve"> needed to make supports meaningful</w:t>
      </w:r>
      <w:r w:rsidR="003E1362" w:rsidRPr="00416BBB">
        <w:t>.</w:t>
      </w:r>
    </w:p>
    <w:p w14:paraId="6A55CC6A" w14:textId="77777777" w:rsidR="009C76DA" w:rsidRPr="00416BBB" w:rsidRDefault="009C76DA"/>
    <w:p w14:paraId="36EB9CAF" w14:textId="78B754D5" w:rsidR="00DD25FD" w:rsidRPr="005F0E4F" w:rsidRDefault="00DD25FD">
      <w:pPr>
        <w:pStyle w:val="Heading2"/>
      </w:pPr>
      <w:bookmarkStart w:id="4" w:name="_Toc31213093"/>
      <w:r w:rsidRPr="005F0E4F">
        <w:t xml:space="preserve">Legal and Legislative Advances </w:t>
      </w:r>
      <w:r w:rsidR="00951827" w:rsidRPr="005F0E4F">
        <w:t>in Promoting Decision Supports</w:t>
      </w:r>
      <w:bookmarkEnd w:id="4"/>
      <w:r w:rsidR="00951827" w:rsidRPr="005F0E4F">
        <w:t xml:space="preserve"> </w:t>
      </w:r>
    </w:p>
    <w:p w14:paraId="07E6C4D0" w14:textId="33FB7E72" w:rsidR="00DD25FD" w:rsidRPr="00416BBB" w:rsidRDefault="00DD25FD"/>
    <w:p w14:paraId="46D1EE88" w14:textId="6C907130" w:rsidR="007E7835" w:rsidRPr="00416BBB" w:rsidRDefault="00951827">
      <w:r w:rsidRPr="00416BBB">
        <w:t>Many participants have been involved in efforts to codify</w:t>
      </w:r>
      <w:r w:rsidR="00526215" w:rsidRPr="00416BBB">
        <w:t xml:space="preserve"> the use of decision supports in statute and establish precedent</w:t>
      </w:r>
      <w:r w:rsidR="007D6F29">
        <w:t>s</w:t>
      </w:r>
      <w:r w:rsidR="00526215" w:rsidRPr="00416BBB">
        <w:t xml:space="preserve"> in court decisions</w:t>
      </w:r>
      <w:r w:rsidR="009D2D14">
        <w:t>,</w:t>
      </w:r>
      <w:r w:rsidR="005A4857">
        <w:t xml:space="preserve"> including nine states that, at the time of the forums, had adopted SDM agreement legislation</w:t>
      </w:r>
      <w:r w:rsidR="00526215" w:rsidRPr="00416BBB">
        <w:t>.</w:t>
      </w:r>
      <w:r w:rsidR="006944BA">
        <w:rPr>
          <w:rStyle w:val="FootnoteReference"/>
        </w:rPr>
        <w:footnoteReference w:id="7"/>
      </w:r>
    </w:p>
    <w:p w14:paraId="48DC4F10" w14:textId="27F3F6AC" w:rsidR="007E7835" w:rsidRPr="00416BBB" w:rsidRDefault="007E7835"/>
    <w:p w14:paraId="554AFA20" w14:textId="23E37B50" w:rsidR="00951827" w:rsidRDefault="00951827">
      <w:r w:rsidRPr="00416BBB">
        <w:t xml:space="preserve">The </w:t>
      </w:r>
      <w:r w:rsidRPr="00617010">
        <w:rPr>
          <w:i/>
        </w:rPr>
        <w:t>Uniform Guardianship</w:t>
      </w:r>
      <w:r w:rsidR="004C55D4" w:rsidRPr="00617010">
        <w:rPr>
          <w:i/>
        </w:rPr>
        <w:t>,</w:t>
      </w:r>
      <w:r w:rsidRPr="00617010">
        <w:rPr>
          <w:i/>
        </w:rPr>
        <w:t xml:space="preserve"> Conservatorship and Other Protective </w:t>
      </w:r>
      <w:r w:rsidR="004C55D4" w:rsidRPr="00617010">
        <w:rPr>
          <w:i/>
        </w:rPr>
        <w:t>Arrangements</w:t>
      </w:r>
      <w:r w:rsidRPr="00617010">
        <w:rPr>
          <w:i/>
        </w:rPr>
        <w:t xml:space="preserve"> Act</w:t>
      </w:r>
      <w:r w:rsidR="004C55D4">
        <w:t xml:space="preserve"> (UGCOPAA) </w:t>
      </w:r>
      <w:r w:rsidRPr="00416BBB">
        <w:t xml:space="preserve">and </w:t>
      </w:r>
      <w:r w:rsidR="004C55D4">
        <w:t>a growing number of</w:t>
      </w:r>
      <w:r w:rsidRPr="00416BBB">
        <w:t xml:space="preserve"> state guardianship laws require courts to consider the </w:t>
      </w:r>
      <w:r w:rsidRPr="00416BBB">
        <w:lastRenderedPageBreak/>
        <w:t>viability of alternatives, including decision supports, before appointing a guardian.</w:t>
      </w:r>
      <w:r w:rsidR="009D3662" w:rsidRPr="005F0E4F">
        <w:rPr>
          <w:rStyle w:val="FootnoteReference"/>
        </w:rPr>
        <w:footnoteReference w:id="8"/>
      </w:r>
      <w:r w:rsidRPr="005F0E4F">
        <w:t xml:space="preserve"> </w:t>
      </w:r>
      <w:r w:rsidR="00FF2599">
        <w:t>Some state statutes also direct</w:t>
      </w:r>
      <w:r w:rsidRPr="00416BBB">
        <w:t xml:space="preserve"> the guardian to support the person whenever possible</w:t>
      </w:r>
      <w:r w:rsidR="00FF2599">
        <w:t xml:space="preserve"> to make his or her own decisions</w:t>
      </w:r>
      <w:r w:rsidRPr="00416BBB">
        <w:t>.</w:t>
      </w:r>
    </w:p>
    <w:p w14:paraId="68FE6E72" w14:textId="11964597" w:rsidR="00F2129D" w:rsidRDefault="00F2129D"/>
    <w:p w14:paraId="527F579B" w14:textId="112F1254" w:rsidR="00F2129D" w:rsidRDefault="00617010">
      <w:r>
        <w:rPr>
          <w:noProof/>
        </w:rPr>
        <mc:AlternateContent>
          <mc:Choice Requires="wps">
            <w:drawing>
              <wp:inline distT="0" distB="0" distL="0" distR="0" wp14:anchorId="55DECE25" wp14:editId="5F975308">
                <wp:extent cx="5743575" cy="1404620"/>
                <wp:effectExtent l="0" t="0" r="28575" b="1714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solidFill>
                          <a:srgbClr val="FFFFFF"/>
                        </a:solidFill>
                        <a:ln w="9525">
                          <a:solidFill>
                            <a:srgbClr val="000000"/>
                          </a:solidFill>
                          <a:miter lim="800000"/>
                          <a:headEnd/>
                          <a:tailEnd/>
                        </a:ln>
                      </wps:spPr>
                      <wps:txbx>
                        <w:txbxContent>
                          <w:p w14:paraId="26020CFE" w14:textId="77777777" w:rsidR="00730E7F" w:rsidRPr="00617010" w:rsidRDefault="00730E7F" w:rsidP="00617010">
                            <w:pPr>
                              <w:jc w:val="center"/>
                              <w:rPr>
                                <w:b/>
                              </w:rPr>
                            </w:pPr>
                            <w:r w:rsidRPr="00617010">
                              <w:rPr>
                                <w:b/>
                              </w:rPr>
                              <w:t xml:space="preserve">Examples of decision support principles incorporated into the </w:t>
                            </w:r>
                            <w:r w:rsidRPr="00617010">
                              <w:rPr>
                                <w:b/>
                                <w:i/>
                              </w:rPr>
                              <w:t>Uniform Guardianship, Conservatorship and Other Protective Arrangements Act</w:t>
                            </w:r>
                            <w:r w:rsidRPr="00617010">
                              <w:rPr>
                                <w:b/>
                              </w:rPr>
                              <w:t>:</w:t>
                            </w:r>
                          </w:p>
                          <w:p w14:paraId="37B942D1" w14:textId="77777777" w:rsidR="00730E7F" w:rsidRDefault="00730E7F" w:rsidP="00617010"/>
                          <w:p w14:paraId="59451DE5" w14:textId="77777777" w:rsidR="00730E7F" w:rsidRPr="009F3FC4" w:rsidRDefault="00730E7F" w:rsidP="00617010">
                            <w:pPr>
                              <w:rPr>
                                <w:rFonts w:asciiTheme="minorHAnsi" w:hAnsiTheme="minorHAnsi" w:cstheme="minorHAnsi"/>
                                <w:b/>
                              </w:rPr>
                            </w:pPr>
                            <w:r w:rsidRPr="009F3FC4">
                              <w:rPr>
                                <w:rFonts w:asciiTheme="minorHAnsi" w:hAnsiTheme="minorHAnsi" w:cstheme="minorHAnsi"/>
                                <w:b/>
                              </w:rPr>
                              <w:t>The person subject to a guardianship petition has the right:</w:t>
                            </w:r>
                          </w:p>
                          <w:p w14:paraId="4B98CF74" w14:textId="77777777" w:rsidR="00730E7F" w:rsidRPr="009F3FC4" w:rsidRDefault="00730E7F" w:rsidP="005E2D2A">
                            <w:pPr>
                              <w:pStyle w:val="ListParagraph"/>
                              <w:numPr>
                                <w:ilvl w:val="0"/>
                                <w:numId w:val="41"/>
                              </w:numPr>
                              <w:ind w:left="360"/>
                              <w:rPr>
                                <w:rFonts w:cstheme="minorHAnsi"/>
                              </w:rPr>
                            </w:pPr>
                            <w:r w:rsidRPr="009F3FC4">
                              <w:rPr>
                                <w:rFonts w:cstheme="minorHAnsi"/>
                              </w:rPr>
                              <w:t>To an attorney who must advocate for the person’s wishes, and if the person’s wishes are not reasonably ascertainable, advocate for the result that is the least restrictive (§§305 and 406).</w:t>
                            </w:r>
                          </w:p>
                          <w:p w14:paraId="405B793F" w14:textId="0702A075" w:rsidR="00730E7F" w:rsidRPr="009F3FC4" w:rsidRDefault="00730E7F" w:rsidP="005E2D2A">
                            <w:pPr>
                              <w:pStyle w:val="ListParagraph"/>
                              <w:numPr>
                                <w:ilvl w:val="0"/>
                                <w:numId w:val="41"/>
                              </w:numPr>
                              <w:ind w:left="360"/>
                              <w:rPr>
                                <w:rFonts w:cstheme="minorHAnsi"/>
                              </w:rPr>
                            </w:pPr>
                            <w:r w:rsidRPr="009F3FC4">
                              <w:rPr>
                                <w:rFonts w:cstheme="minorHAnsi"/>
                              </w:rPr>
                              <w:t>To petition for termination of the guardianship (§§319 and 431)</w:t>
                            </w:r>
                            <w:r w:rsidR="009F3FC4">
                              <w:rPr>
                                <w:rFonts w:cstheme="minorHAnsi"/>
                              </w:rPr>
                              <w:t>.</w:t>
                            </w:r>
                          </w:p>
                          <w:p w14:paraId="10473324" w14:textId="77777777" w:rsidR="00730E7F" w:rsidRPr="009F3FC4" w:rsidRDefault="00730E7F" w:rsidP="00617010">
                            <w:pPr>
                              <w:rPr>
                                <w:rFonts w:asciiTheme="minorHAnsi" w:hAnsiTheme="minorHAnsi" w:cstheme="minorHAnsi"/>
                                <w:b/>
                              </w:rPr>
                            </w:pPr>
                            <w:r w:rsidRPr="009F3FC4">
                              <w:rPr>
                                <w:rFonts w:asciiTheme="minorHAnsi" w:hAnsiTheme="minorHAnsi" w:cstheme="minorHAnsi"/>
                                <w:b/>
                              </w:rPr>
                              <w:t>The Court must:</w:t>
                            </w:r>
                          </w:p>
                          <w:p w14:paraId="1681A9F9" w14:textId="314C0CF5" w:rsidR="00730E7F" w:rsidRPr="0019235F" w:rsidRDefault="00730E7F" w:rsidP="005E2D2A">
                            <w:pPr>
                              <w:pStyle w:val="ListParagraph"/>
                              <w:numPr>
                                <w:ilvl w:val="0"/>
                                <w:numId w:val="41"/>
                              </w:numPr>
                              <w:ind w:left="360"/>
                              <w:rPr>
                                <w:rFonts w:cstheme="minorHAnsi"/>
                              </w:rPr>
                            </w:pPr>
                            <w:r w:rsidRPr="009F3FC4">
                              <w:rPr>
                                <w:rFonts w:cstheme="minorHAnsi"/>
                              </w:rPr>
                              <w:t>Not issue guardianship or conservatorship orders when a less-restrictive alternative is available, such as supported decision-making, technological assistance or an order authorizing a single transaction.</w:t>
                            </w:r>
                            <w:r w:rsidR="00CD48B2" w:rsidRPr="0019235F">
                              <w:rPr>
                                <w:rFonts w:cstheme="minorHAnsi"/>
                              </w:rPr>
                              <w:t xml:space="preserve"> </w:t>
                            </w:r>
                            <w:r w:rsidRPr="0019235F">
                              <w:rPr>
                                <w:rFonts w:cstheme="minorHAnsi"/>
                              </w:rPr>
                              <w:t>(§§310 and 411).</w:t>
                            </w:r>
                          </w:p>
                          <w:p w14:paraId="07626A49" w14:textId="77777777" w:rsidR="00730E7F" w:rsidRPr="0020312E" w:rsidRDefault="00730E7F" w:rsidP="005E2D2A">
                            <w:pPr>
                              <w:pStyle w:val="ListParagraph"/>
                              <w:numPr>
                                <w:ilvl w:val="0"/>
                                <w:numId w:val="41"/>
                              </w:numPr>
                              <w:ind w:left="360"/>
                              <w:rPr>
                                <w:rFonts w:cstheme="minorHAnsi"/>
                              </w:rPr>
                            </w:pPr>
                            <w:r w:rsidRPr="0020312E">
                              <w:rPr>
                                <w:rFonts w:cstheme="minorHAnsi"/>
                              </w:rPr>
                              <w:t>Must review annual reports to determine whether the guardianship or conservatorship should continue (§§317(e) and 423(e)).</w:t>
                            </w:r>
                          </w:p>
                          <w:p w14:paraId="6594282B" w14:textId="77777777" w:rsidR="00730E7F" w:rsidRPr="009F3FC4" w:rsidRDefault="00730E7F" w:rsidP="00617010">
                            <w:pPr>
                              <w:rPr>
                                <w:rFonts w:asciiTheme="minorHAnsi" w:hAnsiTheme="minorHAnsi" w:cstheme="minorHAnsi"/>
                                <w:b/>
                              </w:rPr>
                            </w:pPr>
                            <w:r w:rsidRPr="009F3FC4">
                              <w:rPr>
                                <w:rFonts w:asciiTheme="minorHAnsi" w:hAnsiTheme="minorHAnsi" w:cstheme="minorHAnsi"/>
                                <w:b/>
                              </w:rPr>
                              <w:t>A guardian or conservator must:</w:t>
                            </w:r>
                          </w:p>
                          <w:p w14:paraId="7FD5D58E" w14:textId="77777777" w:rsidR="00730E7F" w:rsidRDefault="00730E7F" w:rsidP="005E2D2A">
                            <w:pPr>
                              <w:pStyle w:val="ListParagraph"/>
                              <w:numPr>
                                <w:ilvl w:val="0"/>
                                <w:numId w:val="41"/>
                              </w:numPr>
                              <w:ind w:left="360"/>
                            </w:pPr>
                            <w:r>
                              <w:t>Create an individualized plan that takes into account the person’s preferences, values, and prior directions to the extent known to or reasonably ascertainable (§§316 and 419).</w:t>
                            </w:r>
                          </w:p>
                          <w:p w14:paraId="496EA3EB" w14:textId="77777777" w:rsidR="00730E7F" w:rsidRDefault="00730E7F" w:rsidP="005E2D2A">
                            <w:pPr>
                              <w:pStyle w:val="ListParagraph"/>
                              <w:numPr>
                                <w:ilvl w:val="0"/>
                                <w:numId w:val="41"/>
                              </w:numPr>
                              <w:ind w:left="360"/>
                            </w:pPr>
                            <w:r>
                              <w:t xml:space="preserve">Make decisions the guardian reasonably believes the adult would make if able, unless doing so would cause harm to the adult. </w:t>
                            </w:r>
                          </w:p>
                          <w:p w14:paraId="3493479D" w14:textId="77777777" w:rsidR="00730E7F" w:rsidRDefault="00730E7F" w:rsidP="005E2D2A">
                            <w:pPr>
                              <w:pStyle w:val="ListParagraph"/>
                              <w:numPr>
                                <w:ilvl w:val="0"/>
                                <w:numId w:val="41"/>
                              </w:numPr>
                              <w:ind w:left="360"/>
                            </w:pPr>
                            <w:r>
                              <w:t>Promote the self-determination of the adult and, to the extent reasonably feasible, encourage the adult to participate in decisions, act on the adult’s own behalf, and develop or regain the capacity to manage the adult’s personal affairs. (§§313 and 418).</w:t>
                            </w:r>
                          </w:p>
                        </w:txbxContent>
                      </wps:txbx>
                      <wps:bodyPr rot="0" vert="horz" wrap="square" lIns="91440" tIns="45720" rIns="91440" bIns="45720" anchor="t" anchorCtr="0">
                        <a:spAutoFit/>
                      </wps:bodyPr>
                    </wps:wsp>
                  </a:graphicData>
                </a:graphic>
              </wp:inline>
            </w:drawing>
          </mc:Choice>
          <mc:Fallback>
            <w:pict>
              <v:shapetype w14:anchorId="55DECE25" id="_x0000_t202" coordsize="21600,21600" o:spt="202" path="m,l,21600r21600,l21600,xe">
                <v:stroke joinstyle="miter"/>
                <v:path gradientshapeok="t" o:connecttype="rect"/>
              </v:shapetype>
              <v:shape id="Text Box 2" o:spid="_x0000_s1026" type="#_x0000_t202" style="width:452.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">
                <v:textbox style="mso-fit-shape-to-text:t">
                  <w:txbxContent>
                    <w:p w14:paraId="26020CFE" w14:textId="77777777" w:rsidR="00730E7F" w:rsidRPr="00617010" w:rsidRDefault="00730E7F" w:rsidP="00617010">
                      <w:pPr>
                        <w:jc w:val="center"/>
                        <w:rPr>
                          <w:b/>
                        </w:rPr>
                      </w:pPr>
                      <w:r w:rsidRPr="00617010">
                        <w:rPr>
                          <w:b/>
                        </w:rPr>
                        <w:t xml:space="preserve">Examples of decision support principles incorporated into the </w:t>
                      </w:r>
                      <w:r w:rsidRPr="00617010">
                        <w:rPr>
                          <w:b/>
                          <w:i/>
                        </w:rPr>
                        <w:t>Uniform Guardianship, Conservatorship and Other Protective Arrangements Act</w:t>
                      </w:r>
                      <w:r w:rsidRPr="00617010">
                        <w:rPr>
                          <w:b/>
                        </w:rPr>
                        <w:t>:</w:t>
                      </w:r>
                    </w:p>
                    <w:p w14:paraId="37B942D1" w14:textId="77777777" w:rsidR="00730E7F" w:rsidRDefault="00730E7F" w:rsidP="00617010"/>
                    <w:p w14:paraId="59451DE5" w14:textId="77777777" w:rsidR="00730E7F" w:rsidRPr="009F3FC4" w:rsidRDefault="00730E7F" w:rsidP="00617010">
                      <w:pPr>
                        <w:rPr>
                          <w:rFonts w:asciiTheme="minorHAnsi" w:hAnsiTheme="minorHAnsi" w:cstheme="minorHAnsi"/>
                          <w:b/>
                        </w:rPr>
                      </w:pPr>
                      <w:r w:rsidRPr="009F3FC4">
                        <w:rPr>
                          <w:rFonts w:asciiTheme="minorHAnsi" w:hAnsiTheme="minorHAnsi" w:cstheme="minorHAnsi"/>
                          <w:b/>
                        </w:rPr>
                        <w:t>The person subject to a guardianship petition has the right:</w:t>
                      </w:r>
                    </w:p>
                    <w:p w14:paraId="4B98CF74" w14:textId="77777777" w:rsidR="00730E7F" w:rsidRPr="009F3FC4" w:rsidRDefault="00730E7F" w:rsidP="005E2D2A">
                      <w:pPr>
                        <w:pStyle w:val="ListParagraph"/>
                        <w:numPr>
                          <w:ilvl w:val="0"/>
                          <w:numId w:val="41"/>
                        </w:numPr>
                        <w:ind w:left="360"/>
                        <w:rPr>
                          <w:rFonts w:cstheme="minorHAnsi"/>
                        </w:rPr>
                      </w:pPr>
                      <w:r w:rsidRPr="009F3FC4">
                        <w:rPr>
                          <w:rFonts w:cstheme="minorHAnsi"/>
                        </w:rPr>
                        <w:t>To an attorney who must advocate for the person’s wishes, and if the person’s wishes are not reasonably ascertainable, advocate for the result that is the least restrictive (§§305 and 406).</w:t>
                      </w:r>
                    </w:p>
                    <w:p w14:paraId="405B793F" w14:textId="0702A075" w:rsidR="00730E7F" w:rsidRPr="009F3FC4" w:rsidRDefault="00730E7F" w:rsidP="005E2D2A">
                      <w:pPr>
                        <w:pStyle w:val="ListParagraph"/>
                        <w:numPr>
                          <w:ilvl w:val="0"/>
                          <w:numId w:val="41"/>
                        </w:numPr>
                        <w:ind w:left="360"/>
                        <w:rPr>
                          <w:rFonts w:cstheme="minorHAnsi"/>
                        </w:rPr>
                      </w:pPr>
                      <w:r w:rsidRPr="009F3FC4">
                        <w:rPr>
                          <w:rFonts w:cstheme="minorHAnsi"/>
                        </w:rPr>
                        <w:t>To petition for termination of the guardianship (§§319 and 431)</w:t>
                      </w:r>
                      <w:r w:rsidR="009F3FC4">
                        <w:rPr>
                          <w:rFonts w:cstheme="minorHAnsi"/>
                        </w:rPr>
                        <w:t>.</w:t>
                      </w:r>
                    </w:p>
                    <w:p w14:paraId="10473324" w14:textId="77777777" w:rsidR="00730E7F" w:rsidRPr="009F3FC4" w:rsidRDefault="00730E7F" w:rsidP="00617010">
                      <w:pPr>
                        <w:rPr>
                          <w:rFonts w:asciiTheme="minorHAnsi" w:hAnsiTheme="minorHAnsi" w:cstheme="minorHAnsi"/>
                          <w:b/>
                        </w:rPr>
                      </w:pPr>
                      <w:r w:rsidRPr="009F3FC4">
                        <w:rPr>
                          <w:rFonts w:asciiTheme="minorHAnsi" w:hAnsiTheme="minorHAnsi" w:cstheme="minorHAnsi"/>
                          <w:b/>
                        </w:rPr>
                        <w:t>The Court must:</w:t>
                      </w:r>
                    </w:p>
                    <w:p w14:paraId="1681A9F9" w14:textId="314C0CF5" w:rsidR="00730E7F" w:rsidRPr="0019235F" w:rsidRDefault="00730E7F" w:rsidP="005E2D2A">
                      <w:pPr>
                        <w:pStyle w:val="ListParagraph"/>
                        <w:numPr>
                          <w:ilvl w:val="0"/>
                          <w:numId w:val="41"/>
                        </w:numPr>
                        <w:ind w:left="360"/>
                        <w:rPr>
                          <w:rFonts w:cstheme="minorHAnsi"/>
                        </w:rPr>
                      </w:pPr>
                      <w:r w:rsidRPr="009F3FC4">
                        <w:rPr>
                          <w:rFonts w:cstheme="minorHAnsi"/>
                        </w:rPr>
                        <w:t>Not issue guardianship or conservatorship orders when a less-restrictive alternative is available, such as supported decision-making, technological assistance or an order authorizing a single transaction.</w:t>
                      </w:r>
                      <w:r w:rsidR="00CD48B2" w:rsidRPr="0019235F">
                        <w:rPr>
                          <w:rFonts w:cstheme="minorHAnsi"/>
                        </w:rPr>
                        <w:t xml:space="preserve"> </w:t>
                      </w:r>
                      <w:r w:rsidRPr="0019235F">
                        <w:rPr>
                          <w:rFonts w:cstheme="minorHAnsi"/>
                        </w:rPr>
                        <w:t>(§§310 and 411).</w:t>
                      </w:r>
                    </w:p>
                    <w:p w14:paraId="07626A49" w14:textId="77777777" w:rsidR="00730E7F" w:rsidRPr="0020312E" w:rsidRDefault="00730E7F" w:rsidP="005E2D2A">
                      <w:pPr>
                        <w:pStyle w:val="ListParagraph"/>
                        <w:numPr>
                          <w:ilvl w:val="0"/>
                          <w:numId w:val="41"/>
                        </w:numPr>
                        <w:ind w:left="360"/>
                        <w:rPr>
                          <w:rFonts w:cstheme="minorHAnsi"/>
                        </w:rPr>
                      </w:pPr>
                      <w:r w:rsidRPr="0020312E">
                        <w:rPr>
                          <w:rFonts w:cstheme="minorHAnsi"/>
                        </w:rPr>
                        <w:t>Must review annual reports to determine whether the guardianship or conservatorship should continue (§§317(e) and 423(e)).</w:t>
                      </w:r>
                    </w:p>
                    <w:p w14:paraId="6594282B" w14:textId="77777777" w:rsidR="00730E7F" w:rsidRPr="009F3FC4" w:rsidRDefault="00730E7F" w:rsidP="00617010">
                      <w:pPr>
                        <w:rPr>
                          <w:rFonts w:asciiTheme="minorHAnsi" w:hAnsiTheme="minorHAnsi" w:cstheme="minorHAnsi"/>
                          <w:b/>
                        </w:rPr>
                      </w:pPr>
                      <w:r w:rsidRPr="009F3FC4">
                        <w:rPr>
                          <w:rFonts w:asciiTheme="minorHAnsi" w:hAnsiTheme="minorHAnsi" w:cstheme="minorHAnsi"/>
                          <w:b/>
                        </w:rPr>
                        <w:t>A guardian or conservator must:</w:t>
                      </w:r>
                    </w:p>
                    <w:p w14:paraId="7FD5D58E" w14:textId="77777777" w:rsidR="00730E7F" w:rsidRDefault="00730E7F" w:rsidP="005E2D2A">
                      <w:pPr>
                        <w:pStyle w:val="ListParagraph"/>
                        <w:numPr>
                          <w:ilvl w:val="0"/>
                          <w:numId w:val="41"/>
                        </w:numPr>
                        <w:ind w:left="360"/>
                      </w:pPr>
                      <w:r>
                        <w:t>Create an individualized plan that takes into account the person’s preferences, values, and prior directions to the extent known to or reasonably ascertainable (§§316 and 419).</w:t>
                      </w:r>
                    </w:p>
                    <w:p w14:paraId="496EA3EB" w14:textId="77777777" w:rsidR="00730E7F" w:rsidRDefault="00730E7F" w:rsidP="005E2D2A">
                      <w:pPr>
                        <w:pStyle w:val="ListParagraph"/>
                        <w:numPr>
                          <w:ilvl w:val="0"/>
                          <w:numId w:val="41"/>
                        </w:numPr>
                        <w:ind w:left="360"/>
                      </w:pPr>
                      <w:r>
                        <w:t xml:space="preserve">Make decisions the guardian reasonably believes the adult would make if able, unless doing so would cause harm to the adult. </w:t>
                      </w:r>
                    </w:p>
                    <w:p w14:paraId="3493479D" w14:textId="77777777" w:rsidR="00730E7F" w:rsidRDefault="00730E7F" w:rsidP="005E2D2A">
                      <w:pPr>
                        <w:pStyle w:val="ListParagraph"/>
                        <w:numPr>
                          <w:ilvl w:val="0"/>
                          <w:numId w:val="41"/>
                        </w:numPr>
                        <w:ind w:left="360"/>
                      </w:pPr>
                      <w:r>
                        <w:t>Promote the self-determination of the adult and, to the extent reasonably feasible, encourage the adult to participate in decisions, act on the adult’s own behalf, and develop or regain the capacity to manage the adult’s personal affairs. (§§313 and 418).</w:t>
                      </w:r>
                    </w:p>
                  </w:txbxContent>
                </v:textbox>
                <w10:anchorlock/>
              </v:shape>
            </w:pict>
          </mc:Fallback>
        </mc:AlternateContent>
      </w:r>
    </w:p>
    <w:p w14:paraId="034822E5" w14:textId="016F6A5C" w:rsidR="00F2129D" w:rsidRDefault="00F2129D"/>
    <w:p w14:paraId="18D7C202" w14:textId="30FC4234" w:rsidR="00EA72A7" w:rsidRDefault="00EA72A7">
      <w:r>
        <w:t>A few participants</w:t>
      </w:r>
      <w:r w:rsidRPr="00416BBB">
        <w:t xml:space="preserve"> have represented individuals in court proceedings to modify or terminate guardianship</w:t>
      </w:r>
      <w:r>
        <w:t xml:space="preserve">, sometimes based on evidence of fully restored capacity, but increasingly based on the presence of sufficient supports </w:t>
      </w:r>
      <w:r w:rsidR="009D2D14">
        <w:t>and services</w:t>
      </w:r>
      <w:r>
        <w:t>.</w:t>
      </w:r>
      <w:r w:rsidR="001C3D11">
        <w:rPr>
          <w:rStyle w:val="FootnoteReference"/>
        </w:rPr>
        <w:footnoteReference w:id="9"/>
      </w:r>
      <w:r w:rsidR="00CC6AF5">
        <w:t xml:space="preserve"> </w:t>
      </w:r>
      <w:r w:rsidRPr="00416BBB">
        <w:t xml:space="preserve">One participant </w:t>
      </w:r>
      <w:r w:rsidR="00382641" w:rsidRPr="00416BBB">
        <w:t>encourag</w:t>
      </w:r>
      <w:r w:rsidR="00382641">
        <w:t>ed</w:t>
      </w:r>
      <w:r w:rsidR="00382641" w:rsidRPr="00416BBB">
        <w:t xml:space="preserve"> advocates</w:t>
      </w:r>
      <w:r w:rsidRPr="00416BBB">
        <w:t xml:space="preserve"> to seek written court decisions </w:t>
      </w:r>
      <w:r w:rsidR="00382641">
        <w:t>in favor of</w:t>
      </w:r>
      <w:r>
        <w:t xml:space="preserve"> decision supports, where relevant, abrogat</w:t>
      </w:r>
      <w:r w:rsidR="00382641">
        <w:t>ing</w:t>
      </w:r>
      <w:r>
        <w:t xml:space="preserve"> </w:t>
      </w:r>
      <w:r w:rsidR="00436FEE">
        <w:t xml:space="preserve"> appointment of </w:t>
      </w:r>
      <w:r>
        <w:t xml:space="preserve"> </w:t>
      </w:r>
      <w:r w:rsidR="00436FEE">
        <w:t xml:space="preserve">a </w:t>
      </w:r>
      <w:r>
        <w:t xml:space="preserve">guardian, instead of simply relying on a verbal ruling </w:t>
      </w:r>
      <w:r w:rsidR="0092323B">
        <w:t xml:space="preserve">or summary order </w:t>
      </w:r>
      <w:r>
        <w:t xml:space="preserve">in favor of </w:t>
      </w:r>
      <w:r w:rsidR="007E0393">
        <w:t>capacity.</w:t>
      </w:r>
      <w:r w:rsidR="00CC6AF5">
        <w:t xml:space="preserve"> </w:t>
      </w:r>
      <w:r w:rsidR="007E0393">
        <w:t>This can be helpful both at the initial petitioning stage and when restoration is sought.</w:t>
      </w:r>
      <w:r w:rsidRPr="00416BBB">
        <w:t xml:space="preserve"> </w:t>
      </w:r>
    </w:p>
    <w:p w14:paraId="436A9145" w14:textId="77777777" w:rsidR="00EA72A7" w:rsidRPr="00416BBB" w:rsidRDefault="00EA72A7"/>
    <w:p w14:paraId="19F8867A" w14:textId="606534A1" w:rsidR="00136B97" w:rsidRPr="005F0E4F" w:rsidRDefault="008E58CF">
      <w:pPr>
        <w:pStyle w:val="Heading2"/>
      </w:pPr>
      <w:bookmarkStart w:id="5" w:name="_Toc31213094"/>
      <w:r w:rsidRPr="005F0E4F">
        <w:lastRenderedPageBreak/>
        <w:t>Abuse</w:t>
      </w:r>
      <w:r w:rsidR="004F4DFE" w:rsidRPr="005F0E4F">
        <w:t>, Neglect and Exploitation</w:t>
      </w:r>
      <w:bookmarkEnd w:id="5"/>
    </w:p>
    <w:p w14:paraId="194269F0" w14:textId="56183A54" w:rsidR="008F2111" w:rsidRDefault="008F2111"/>
    <w:p w14:paraId="7A829C5A" w14:textId="002B2CB1" w:rsidR="00590061" w:rsidRDefault="00590061">
      <w:r>
        <w:t xml:space="preserve">Participants did not always agree on </w:t>
      </w:r>
      <w:r w:rsidR="00617010">
        <w:t xml:space="preserve">how best to address </w:t>
      </w:r>
      <w:r>
        <w:t>th</w:t>
      </w:r>
      <w:r w:rsidR="00382641">
        <w:t>e risks of abuse, neglect</w:t>
      </w:r>
      <w:r w:rsidR="00975CE1">
        <w:t>,</w:t>
      </w:r>
      <w:r w:rsidR="00382641">
        <w:t xml:space="preserve"> and financial exploitation in </w:t>
      </w:r>
      <w:r w:rsidR="001C3D11">
        <w:t xml:space="preserve">utilizing decision </w:t>
      </w:r>
      <w:r w:rsidR="00382641">
        <w:t>support</w:t>
      </w:r>
      <w:r w:rsidR="001C3D11">
        <w:t>s</w:t>
      </w:r>
      <w:r>
        <w:t xml:space="preserve">, reflecting </w:t>
      </w:r>
      <w:r w:rsidR="009B4B8C">
        <w:t>the</w:t>
      </w:r>
      <w:r>
        <w:t xml:space="preserve"> inherent tension </w:t>
      </w:r>
      <w:r w:rsidR="009B4B8C">
        <w:t xml:space="preserve">related to trust </w:t>
      </w:r>
      <w:r>
        <w:t xml:space="preserve">in the conversation about decision supports between the dignity of choice and </w:t>
      </w:r>
      <w:r w:rsidR="009B4B8C">
        <w:t>the potential for</w:t>
      </w:r>
      <w:r w:rsidR="00CC6AF5">
        <w:t xml:space="preserve"> </w:t>
      </w:r>
      <w:r>
        <w:t>abuse, neglect</w:t>
      </w:r>
      <w:r w:rsidR="00975CE1">
        <w:t>,</w:t>
      </w:r>
      <w:r>
        <w:t xml:space="preserve"> and exploitation.</w:t>
      </w:r>
      <w:r w:rsidR="009B4B8C">
        <w:t xml:space="preserve">  </w:t>
      </w:r>
    </w:p>
    <w:p w14:paraId="51E4E784" w14:textId="25B93D42" w:rsidR="00590061" w:rsidRPr="00416BBB" w:rsidRDefault="00590061"/>
    <w:p w14:paraId="5B3BFE91" w14:textId="03C18FCA" w:rsidR="00580207" w:rsidRDefault="00590061">
      <w:r w:rsidRPr="00416BBB">
        <w:t xml:space="preserve">While in theory the range of decision support mechanisms are neither a cause </w:t>
      </w:r>
      <w:r>
        <w:t>nor</w:t>
      </w:r>
      <w:r w:rsidRPr="00416BBB">
        <w:t xml:space="preserve"> a solution to abuse, neglect</w:t>
      </w:r>
      <w:r w:rsidR="008B6087">
        <w:t>,</w:t>
      </w:r>
      <w:r w:rsidRPr="00416BBB">
        <w:t xml:space="preserve"> </w:t>
      </w:r>
      <w:r>
        <w:t>or</w:t>
      </w:r>
      <w:r w:rsidRPr="00416BBB">
        <w:t xml:space="preserve"> financial exploitation</w:t>
      </w:r>
      <w:r>
        <w:t>, all</w:t>
      </w:r>
      <w:r w:rsidR="00A9211A" w:rsidRPr="00416BBB">
        <w:t xml:space="preserve"> </w:t>
      </w:r>
      <w:r>
        <w:t>agreed that</w:t>
      </w:r>
      <w:r w:rsidR="00FF2599">
        <w:t xml:space="preserve"> any decision support</w:t>
      </w:r>
      <w:r w:rsidR="00580207" w:rsidRPr="00416BBB">
        <w:t xml:space="preserve">, from a supported decision-making agreement to a power of attorney or joint bank account, </w:t>
      </w:r>
      <w:r w:rsidR="009B4B8C">
        <w:t xml:space="preserve">or guardianship, </w:t>
      </w:r>
      <w:r w:rsidR="00FF2599">
        <w:t>poses a risk of</w:t>
      </w:r>
      <w:r w:rsidR="00580207" w:rsidRPr="00416BBB">
        <w:t xml:space="preserve"> abuse, neglect</w:t>
      </w:r>
      <w:r w:rsidR="008B6087">
        <w:t>,</w:t>
      </w:r>
      <w:r w:rsidR="00580207" w:rsidRPr="00416BBB">
        <w:t xml:space="preserve"> and exploitation.</w:t>
      </w:r>
      <w:r w:rsidRPr="005F0E4F">
        <w:rPr>
          <w:rStyle w:val="FootnoteReference"/>
        </w:rPr>
        <w:footnoteReference w:id="10"/>
      </w:r>
      <w:r w:rsidRPr="005F0E4F">
        <w:t xml:space="preserve"> </w:t>
      </w:r>
      <w:r>
        <w:t>Some p</w:t>
      </w:r>
      <w:r w:rsidR="00580207" w:rsidRPr="00416BBB">
        <w:t>articipants expressed concern about the lack of accountability or reporting across decision support methods, from the most informal to the most formal.</w:t>
      </w:r>
      <w:r w:rsidR="00CC6AF5">
        <w:t xml:space="preserve"> </w:t>
      </w:r>
      <w:r w:rsidR="001C3D11">
        <w:t xml:space="preserve">Other </w:t>
      </w:r>
      <w:r w:rsidR="00580207" w:rsidRPr="00416BBB">
        <w:t xml:space="preserve">participants </w:t>
      </w:r>
      <w:r w:rsidR="001C3D11">
        <w:t>responded with a discussion about</w:t>
      </w:r>
      <w:r w:rsidR="00580207" w:rsidRPr="00416BBB">
        <w:t xml:space="preserve"> strategies for oversight and accountability to mitigate these risks. In some cases, participants </w:t>
      </w:r>
      <w:r w:rsidR="001C3D11">
        <w:t>suggested that</w:t>
      </w:r>
      <w:r w:rsidR="00580207" w:rsidRPr="00416BBB">
        <w:t xml:space="preserve"> decision supports themselves </w:t>
      </w:r>
      <w:r w:rsidR="001C3D11">
        <w:t>can</w:t>
      </w:r>
      <w:r w:rsidR="00580207" w:rsidRPr="00416BBB">
        <w:t xml:space="preserve"> deter abuse and neglect. For example, if decision supports encourage individuals to build relationships with more than one person, </w:t>
      </w:r>
      <w:r w:rsidR="008F2111" w:rsidRPr="00416BBB">
        <w:t>the</w:t>
      </w:r>
      <w:r w:rsidR="00580207" w:rsidRPr="00416BBB">
        <w:t xml:space="preserve"> supporter</w:t>
      </w:r>
      <w:r w:rsidR="008F2111" w:rsidRPr="00416BBB">
        <w:t>s</w:t>
      </w:r>
      <w:r w:rsidR="00580207" w:rsidRPr="00416BBB">
        <w:t xml:space="preserve"> or community member</w:t>
      </w:r>
      <w:r w:rsidR="008F2111" w:rsidRPr="00416BBB">
        <w:t>s</w:t>
      </w:r>
      <w:r w:rsidR="00580207" w:rsidRPr="00416BBB">
        <w:t xml:space="preserve"> may be more likely to notice and respond to abuse </w:t>
      </w:r>
      <w:r w:rsidR="007A26AD">
        <w:t>or</w:t>
      </w:r>
      <w:r w:rsidR="007A26AD" w:rsidRPr="00416BBB">
        <w:t xml:space="preserve"> </w:t>
      </w:r>
      <w:r w:rsidR="00580207" w:rsidRPr="00416BBB">
        <w:t xml:space="preserve">neglect. </w:t>
      </w:r>
      <w:r w:rsidR="00BC774A">
        <w:t xml:space="preserve"> </w:t>
      </w:r>
    </w:p>
    <w:p w14:paraId="4DDB4517" w14:textId="77777777" w:rsidR="00590061" w:rsidRDefault="00590061"/>
    <w:p w14:paraId="60855EE2" w14:textId="74DEAAB5" w:rsidR="00BC774A" w:rsidRDefault="00A75FB3" w:rsidP="00BC774A">
      <w:r>
        <w:t xml:space="preserve">The discussion about the risks of decisions supports turned to a more specific examination of the risk of SDM agreements. </w:t>
      </w:r>
      <w:r w:rsidR="00590061">
        <w:t xml:space="preserve">Some </w:t>
      </w:r>
      <w:r>
        <w:t xml:space="preserve">participants </w:t>
      </w:r>
      <w:r w:rsidR="00590061">
        <w:t xml:space="preserve">felt that the concerns were misplaced, </w:t>
      </w:r>
      <w:r w:rsidR="003E75A5">
        <w:t xml:space="preserve">since they have not proven to be </w:t>
      </w:r>
      <w:r w:rsidR="00B349B0">
        <w:t xml:space="preserve">of </w:t>
      </w:r>
      <w:r w:rsidR="003E75A5">
        <w:t xml:space="preserve">higher risk than </w:t>
      </w:r>
      <w:r w:rsidR="007D6F29">
        <w:t>conventional</w:t>
      </w:r>
      <w:r w:rsidR="003E75A5">
        <w:t xml:space="preserve"> forms of surrogate decision making or guardianship. Others </w:t>
      </w:r>
      <w:r>
        <w:t>expressed concerns that SDM</w:t>
      </w:r>
      <w:r w:rsidR="00BC774A">
        <w:t xml:space="preserve"> agreements</w:t>
      </w:r>
      <w:r w:rsidR="003E75A5">
        <w:t xml:space="preserve"> </w:t>
      </w:r>
      <w:r>
        <w:t>posed</w:t>
      </w:r>
      <w:r w:rsidR="003E75A5">
        <w:t xml:space="preserve"> </w:t>
      </w:r>
      <w:r w:rsidR="00FD5FEA">
        <w:t>a new risk for</w:t>
      </w:r>
      <w:r w:rsidR="003E75A5">
        <w:t xml:space="preserve"> undue influence</w:t>
      </w:r>
      <w:r w:rsidR="00FD5FEA">
        <w:t>.</w:t>
      </w:r>
      <w:r w:rsidR="00CC6AF5">
        <w:t xml:space="preserve"> </w:t>
      </w:r>
      <w:r w:rsidR="00B349B0">
        <w:t>Intentionally or unintentionally, a supporter</w:t>
      </w:r>
      <w:r w:rsidR="00FD5FEA">
        <w:t xml:space="preserve"> may guide the person making decisions towards</w:t>
      </w:r>
      <w:r w:rsidR="00B349B0">
        <w:t xml:space="preserve"> </w:t>
      </w:r>
      <w:r w:rsidR="00FD5FEA">
        <w:t>decision</w:t>
      </w:r>
      <w:r w:rsidR="00B349B0">
        <w:t>s</w:t>
      </w:r>
      <w:r w:rsidR="00FD5FEA">
        <w:t xml:space="preserve"> that are in the interests of the supporter rather than the person.</w:t>
      </w:r>
      <w:r w:rsidR="00CC6AF5">
        <w:t xml:space="preserve"> </w:t>
      </w:r>
      <w:r w:rsidR="003E75A5">
        <w:t xml:space="preserve">One participant raised the </w:t>
      </w:r>
      <w:r w:rsidR="00FD5FEA">
        <w:t xml:space="preserve">need to discuss how to create and teach </w:t>
      </w:r>
      <w:r w:rsidR="00551DE6">
        <w:t>the ethical duties of a supporter.</w:t>
      </w:r>
      <w:r w:rsidR="00CC6AF5">
        <w:t xml:space="preserve"> </w:t>
      </w:r>
      <w:r w:rsidR="009B4B8C">
        <w:t>Some participants expressed the view that t</w:t>
      </w:r>
      <w:r w:rsidR="00B349B0">
        <w:t xml:space="preserve">he supporter relationship to the decision-maker </w:t>
      </w:r>
      <w:r w:rsidR="009A1788">
        <w:t>may be</w:t>
      </w:r>
      <w:r w:rsidR="00B349B0">
        <w:t xml:space="preserve"> fundamentally different than that of a su</w:t>
      </w:r>
      <w:r w:rsidR="009A1788">
        <w:t>rrogate</w:t>
      </w:r>
      <w:r w:rsidR="00B349B0">
        <w:t xml:space="preserve"> decision-maker.</w:t>
      </w:r>
      <w:r w:rsidR="00CC6AF5">
        <w:t xml:space="preserve"> </w:t>
      </w:r>
      <w:r w:rsidR="00B349B0">
        <w:t xml:space="preserve">The latter’s power and opportunity to misuse their power is </w:t>
      </w:r>
      <w:r w:rsidR="00B031EB" w:rsidRPr="00B031EB">
        <w:t>ostensibly</w:t>
      </w:r>
      <w:r w:rsidR="00B349B0">
        <w:t xml:space="preserve"> greater than that of a supporter, so the risk </w:t>
      </w:r>
      <w:r w:rsidR="00B031EB">
        <w:t xml:space="preserve">to individuals </w:t>
      </w:r>
      <w:r w:rsidR="00B349B0">
        <w:t xml:space="preserve">may be greater in models relying on substitute decision-makers. </w:t>
      </w:r>
      <w:r w:rsidR="00EC7993">
        <w:t xml:space="preserve">However, participants recognized </w:t>
      </w:r>
      <w:r w:rsidR="009A1788">
        <w:t xml:space="preserve">that </w:t>
      </w:r>
      <w:r w:rsidR="00EC7993">
        <w:t xml:space="preserve">all forms of decision supports and surrogate decision-making options ultimately depend on </w:t>
      </w:r>
      <w:r w:rsidR="009A1788">
        <w:t>trusting relationship</w:t>
      </w:r>
      <w:r w:rsidR="00EC7993">
        <w:t>s that always carry at least some risk of violation.</w:t>
      </w:r>
      <w:r w:rsidR="00CC6AF5">
        <w:t xml:space="preserve"> </w:t>
      </w:r>
      <w:r w:rsidR="00B349B0">
        <w:t xml:space="preserve"> </w:t>
      </w:r>
      <w:r w:rsidR="00BC774A">
        <w:t>As noted above, effective decision supports across the who</w:t>
      </w:r>
      <w:r w:rsidR="00B349B0">
        <w:t>le</w:t>
      </w:r>
      <w:r w:rsidR="00BC774A">
        <w:t xml:space="preserve"> range of options ultimately depend on </w:t>
      </w:r>
      <w:r w:rsidR="009A1788">
        <w:t xml:space="preserve">careful assessment of </w:t>
      </w:r>
      <w:r w:rsidR="00BC774A">
        <w:t>trustworthy relationships.</w:t>
      </w:r>
    </w:p>
    <w:p w14:paraId="159BB14D" w14:textId="77777777" w:rsidR="00C05F61" w:rsidRPr="00416BBB" w:rsidRDefault="00C05F61">
      <w:pPr>
        <w:rPr>
          <w:b/>
        </w:rPr>
      </w:pPr>
    </w:p>
    <w:p w14:paraId="48679E74" w14:textId="7D48035C" w:rsidR="00EB0AB0" w:rsidRPr="005F0E4F" w:rsidRDefault="00EB0AB0">
      <w:pPr>
        <w:pStyle w:val="Heading2"/>
      </w:pPr>
      <w:bookmarkStart w:id="6" w:name="_Toc31213095"/>
      <w:r w:rsidRPr="005F0E4F">
        <w:t>Decision Supports and Guardianship/Conservatorship</w:t>
      </w:r>
      <w:bookmarkEnd w:id="6"/>
      <w:r w:rsidRPr="005F0E4F">
        <w:t xml:space="preserve"> </w:t>
      </w:r>
    </w:p>
    <w:p w14:paraId="5B4A43AD" w14:textId="77777777" w:rsidR="00416BBB" w:rsidRPr="00416BBB" w:rsidRDefault="00416BBB"/>
    <w:p w14:paraId="16FCCA27" w14:textId="1ED5E0DF" w:rsidR="00EB0AB0" w:rsidRPr="00416BBB" w:rsidRDefault="00C7231C">
      <w:r>
        <w:t xml:space="preserve">Participants also discussed the role of guardians in encouraging decision supports. At least one state statute (Alaska) </w:t>
      </w:r>
      <w:r w:rsidR="00551DE6">
        <w:t>allows</w:t>
      </w:r>
      <w:r>
        <w:t xml:space="preserve"> individuals with guardians to complete supported decision</w:t>
      </w:r>
      <w:r w:rsidR="00127372">
        <w:t>-</w:t>
      </w:r>
      <w:r>
        <w:t xml:space="preserve">making </w:t>
      </w:r>
      <w:r>
        <w:lastRenderedPageBreak/>
        <w:t>agreements. Furthermore, the</w:t>
      </w:r>
      <w:r w:rsidR="00EB0AB0" w:rsidRPr="00416BBB">
        <w:t xml:space="preserve"> National Guardianship Association’s Standards of Practice</w:t>
      </w:r>
      <w:r>
        <w:t xml:space="preserve"> direct guardians to involve individuals in decision</w:t>
      </w:r>
      <w:r w:rsidR="008B6087">
        <w:t>-</w:t>
      </w:r>
      <w:r>
        <w:t>making whenever possible.</w:t>
      </w:r>
      <w:r>
        <w:rPr>
          <w:rStyle w:val="FootnoteReference"/>
        </w:rPr>
        <w:footnoteReference w:id="11"/>
      </w:r>
      <w:r>
        <w:t xml:space="preserve"> </w:t>
      </w:r>
    </w:p>
    <w:p w14:paraId="5AB35E4F" w14:textId="77777777" w:rsidR="005F46A7" w:rsidRPr="00416BBB" w:rsidRDefault="005F46A7"/>
    <w:p w14:paraId="26C72C59" w14:textId="0E209BCA" w:rsidR="00436FEE" w:rsidRPr="00436FEE" w:rsidRDefault="00F239C6" w:rsidP="00436FEE">
      <w:pPr>
        <w:rPr>
          <w:rFonts w:ascii="Calibri" w:eastAsia="Calibri" w:hAnsi="Calibri" w:cs="Calibri"/>
          <w:sz w:val="22"/>
          <w:szCs w:val="22"/>
        </w:rPr>
      </w:pPr>
      <w:r w:rsidRPr="00416BBB">
        <w:t>Participants discussed the need for decision supports to address</w:t>
      </w:r>
      <w:r w:rsidR="00EB0AB0" w:rsidRPr="00416BBB">
        <w:t xml:space="preserve"> “guardianship pipelines” whe</w:t>
      </w:r>
      <w:r w:rsidR="005F46A7" w:rsidRPr="00416BBB">
        <w:t>re</w:t>
      </w:r>
      <w:r w:rsidR="00EB0AB0" w:rsidRPr="00416BBB">
        <w:t xml:space="preserve"> institutional frameworks </w:t>
      </w:r>
      <w:r w:rsidR="005F00CF" w:rsidRPr="00416BBB">
        <w:t>favor</w:t>
      </w:r>
      <w:r w:rsidR="00EB0AB0" w:rsidRPr="00416BBB">
        <w:t xml:space="preserve"> seeking guardianship in response to certain situations even when less restrictive options are available. Advocates for individuals with intellectual and developmental disabilities described</w:t>
      </w:r>
      <w:r w:rsidRPr="00416BBB">
        <w:t xml:space="preserve"> the</w:t>
      </w:r>
      <w:r w:rsidR="00DC65BE" w:rsidRPr="00416BBB">
        <w:t xml:space="preserve"> “school to guardianship pipeline,” </w:t>
      </w:r>
      <w:r w:rsidRPr="00416BBB">
        <w:t>when educational staff advise</w:t>
      </w:r>
      <w:r w:rsidR="00DC65BE" w:rsidRPr="00416BBB">
        <w:t xml:space="preserve"> </w:t>
      </w:r>
      <w:r w:rsidR="00B505FC" w:rsidRPr="00416BBB">
        <w:t xml:space="preserve">parents </w:t>
      </w:r>
      <w:r w:rsidRPr="00416BBB">
        <w:t>to seek guardianship as soon as their child turns eighteen.</w:t>
      </w:r>
      <w:r w:rsidR="00DC65BE" w:rsidRPr="00416BBB">
        <w:t xml:space="preserve"> </w:t>
      </w:r>
      <w:r w:rsidRPr="00416BBB">
        <w:t>Other participants expressed a similar concern about medical and social services institutions creating a similar pipeline to guardianship for</w:t>
      </w:r>
      <w:r w:rsidR="00DC65BE" w:rsidRPr="00416BBB">
        <w:t xml:space="preserve"> </w:t>
      </w:r>
      <w:r w:rsidRPr="00416BBB">
        <w:t xml:space="preserve">older </w:t>
      </w:r>
      <w:r w:rsidR="00DC65BE" w:rsidRPr="00416BBB">
        <w:t>adults</w:t>
      </w:r>
      <w:r w:rsidRPr="00416BBB">
        <w:t xml:space="preserve">. </w:t>
      </w:r>
      <w:r w:rsidR="009B4B8C">
        <w:t>F</w:t>
      </w:r>
      <w:r w:rsidRPr="00416BBB">
        <w:t>or example</w:t>
      </w:r>
      <w:r w:rsidR="009B4B8C">
        <w:t>,</w:t>
      </w:r>
      <w:r w:rsidRPr="00416BBB">
        <w:t xml:space="preserve"> when a hospital has difficulty discharging a patient, hospital staff may seek a guardian to consent to discharge and admission to a</w:t>
      </w:r>
      <w:r w:rsidR="00EB0AB0" w:rsidRPr="00416BBB">
        <w:t xml:space="preserve">nother facility. Or, service providers may </w:t>
      </w:r>
      <w:r w:rsidR="009B4B8C">
        <w:t>not be aware of lesser restrictive options to support decision</w:t>
      </w:r>
      <w:r w:rsidR="008B6087">
        <w:t>-</w:t>
      </w:r>
      <w:r w:rsidR="009B4B8C">
        <w:t xml:space="preserve">making for elders who demonstrate some cognitive decline and may </w:t>
      </w:r>
      <w:r w:rsidR="00EB0AB0" w:rsidRPr="00416BBB">
        <w:t xml:space="preserve">be quick to </w:t>
      </w:r>
      <w:r w:rsidR="00B505FC" w:rsidRPr="00416BBB">
        <w:t xml:space="preserve">advise families to </w:t>
      </w:r>
      <w:r w:rsidR="00EB0AB0" w:rsidRPr="00416BBB">
        <w:t xml:space="preserve">seek guardianship, even if a guardianship is not </w:t>
      </w:r>
      <w:r w:rsidR="005F00CF" w:rsidRPr="00416BBB">
        <w:t xml:space="preserve">necessarily </w:t>
      </w:r>
      <w:r w:rsidR="009B4B8C">
        <w:t>an optimal solution</w:t>
      </w:r>
      <w:r w:rsidR="00EB0AB0" w:rsidRPr="00416BBB">
        <w:t>. Finally, if an older adult is the victim of abuse, neglect, or exploitation</w:t>
      </w:r>
      <w:r w:rsidR="005876D9">
        <w:t>,</w:t>
      </w:r>
      <w:r w:rsidR="00EB0AB0" w:rsidRPr="00416BBB">
        <w:t xml:space="preserve"> social services agenc</w:t>
      </w:r>
      <w:r w:rsidR="007A26AD">
        <w:t xml:space="preserve">ies </w:t>
      </w:r>
      <w:r w:rsidR="00EB0AB0" w:rsidRPr="00416BBB">
        <w:t xml:space="preserve">may </w:t>
      </w:r>
      <w:r w:rsidR="00B505FC" w:rsidRPr="00416BBB">
        <w:t xml:space="preserve">recommend </w:t>
      </w:r>
      <w:r w:rsidR="00EB0AB0" w:rsidRPr="00416BBB">
        <w:t>seek</w:t>
      </w:r>
      <w:r w:rsidR="00B505FC" w:rsidRPr="00416BBB">
        <w:t xml:space="preserve">ing </w:t>
      </w:r>
      <w:r w:rsidR="00EB0AB0" w:rsidRPr="00416BBB">
        <w:t xml:space="preserve">guardianship even if less restrictive alternatives </w:t>
      </w:r>
      <w:r w:rsidR="00551DE6">
        <w:t>might suffice</w:t>
      </w:r>
      <w:r w:rsidR="009B4B8C">
        <w:t xml:space="preserve"> to mitigate the risk of re-victimization while restoring the elder’s </w:t>
      </w:r>
      <w:r w:rsidR="009D2D14">
        <w:t>self-determination.</w:t>
      </w:r>
    </w:p>
    <w:p w14:paraId="35FA4332" w14:textId="77777777" w:rsidR="00F239C6" w:rsidRPr="00416BBB" w:rsidRDefault="00F239C6"/>
    <w:p w14:paraId="3541179D" w14:textId="1397B6C4" w:rsidR="00DC65BE" w:rsidRDefault="00DC65BE">
      <w:r w:rsidRPr="00416BBB">
        <w:t xml:space="preserve">Participants </w:t>
      </w:r>
      <w:r w:rsidR="00EB0AB0" w:rsidRPr="00416BBB">
        <w:t xml:space="preserve">discussed the </w:t>
      </w:r>
      <w:r w:rsidR="005F00CF" w:rsidRPr="00416BBB">
        <w:t>need for</w:t>
      </w:r>
      <w:r w:rsidR="00EB0AB0" w:rsidRPr="00416BBB">
        <w:t xml:space="preserve"> </w:t>
      </w:r>
      <w:r w:rsidRPr="00416BBB">
        <w:t xml:space="preserve">education </w:t>
      </w:r>
      <w:r w:rsidR="00EB0AB0" w:rsidRPr="00416BBB">
        <w:t xml:space="preserve">and training </w:t>
      </w:r>
      <w:r w:rsidRPr="00416BBB">
        <w:t xml:space="preserve">of families, </w:t>
      </w:r>
      <w:r w:rsidR="00EB0AB0" w:rsidRPr="00416BBB">
        <w:t xml:space="preserve">school systems, </w:t>
      </w:r>
      <w:r w:rsidRPr="00416BBB">
        <w:t xml:space="preserve">courts, health care and social services providers, </w:t>
      </w:r>
      <w:r w:rsidR="00C7231C">
        <w:t xml:space="preserve">and adult protective services professionals </w:t>
      </w:r>
      <w:r w:rsidR="00EB0AB0" w:rsidRPr="00416BBB">
        <w:t>to divert individuals from these pipelines</w:t>
      </w:r>
      <w:r w:rsidRPr="00416BBB">
        <w:t xml:space="preserve">. </w:t>
      </w:r>
      <w:r w:rsidR="005F00CF" w:rsidRPr="00416BBB">
        <w:t>However, it was noted that education itself is not enough, and that institutional rules, processes, and resources need improve</w:t>
      </w:r>
      <w:r w:rsidR="004F376D" w:rsidRPr="00416BBB">
        <w:t>ment</w:t>
      </w:r>
      <w:r w:rsidR="005F00CF" w:rsidRPr="00416BBB">
        <w:t xml:space="preserve"> to </w:t>
      </w:r>
      <w:r w:rsidR="00551DE6">
        <w:t xml:space="preserve">promote less restrictive alternatives to guardianship. </w:t>
      </w:r>
    </w:p>
    <w:p w14:paraId="62241319" w14:textId="77777777" w:rsidR="00551DE6" w:rsidRPr="00416BBB" w:rsidRDefault="00551DE6"/>
    <w:p w14:paraId="3BFDF824" w14:textId="17106AB7" w:rsidR="009C6FC8" w:rsidRPr="005876D9" w:rsidRDefault="00526215">
      <w:pPr>
        <w:pStyle w:val="Heading2"/>
        <w:rPr>
          <w:sz w:val="24"/>
          <w:szCs w:val="24"/>
        </w:rPr>
      </w:pPr>
      <w:bookmarkStart w:id="7" w:name="_Toc31213096"/>
      <w:r w:rsidRPr="007A26AD">
        <w:t xml:space="preserve">Next </w:t>
      </w:r>
      <w:r w:rsidR="00416BBB" w:rsidRPr="007A26AD">
        <w:t>Steps:</w:t>
      </w:r>
      <w:r w:rsidR="00416BBB" w:rsidRPr="00416BBB">
        <w:t xml:space="preserve"> </w:t>
      </w:r>
      <w:bookmarkStart w:id="8" w:name="_Toc22150453"/>
      <w:r w:rsidRPr="00416BBB">
        <w:t>Ongoing Need for Research</w:t>
      </w:r>
      <w:bookmarkEnd w:id="7"/>
      <w:bookmarkEnd w:id="8"/>
      <w:r w:rsidRPr="005876D9">
        <w:rPr>
          <w:sz w:val="24"/>
          <w:szCs w:val="24"/>
        </w:rPr>
        <w:t xml:space="preserve"> </w:t>
      </w:r>
    </w:p>
    <w:p w14:paraId="39C678BD" w14:textId="77777777" w:rsidR="004F376D" w:rsidRPr="005F0E4F" w:rsidRDefault="004F376D"/>
    <w:p w14:paraId="19253F18" w14:textId="5944C32D" w:rsidR="009C6FC8" w:rsidRDefault="009C6FC8">
      <w:r w:rsidRPr="00416BBB">
        <w:t>Participants in both forums recognized that much more research is needed to determine the effectiveness of various approache</w:t>
      </w:r>
      <w:r w:rsidR="004F376D" w:rsidRPr="00416BBB">
        <w:t>s</w:t>
      </w:r>
      <w:r w:rsidRPr="00416BBB">
        <w:t xml:space="preserve"> </w:t>
      </w:r>
      <w:r w:rsidR="00551DE6">
        <w:t xml:space="preserve">to decision supports. </w:t>
      </w:r>
      <w:r w:rsidRPr="00416BBB">
        <w:t>A consensus research agenda would be a fruitful next step.</w:t>
      </w:r>
    </w:p>
    <w:p w14:paraId="3E007C00" w14:textId="77777777" w:rsidR="00551DE6" w:rsidRPr="00416BBB" w:rsidRDefault="00551DE6"/>
    <w:p w14:paraId="443F456C" w14:textId="2E26625F" w:rsidR="00FE5633" w:rsidRPr="00416BBB" w:rsidRDefault="00551DE6">
      <w:r>
        <w:t xml:space="preserve">At the first forum, participants </w:t>
      </w:r>
      <w:r w:rsidR="00127372">
        <w:t xml:space="preserve">were asked to </w:t>
      </w:r>
      <w:r>
        <w:t>identif</w:t>
      </w:r>
      <w:r w:rsidR="00127372">
        <w:t>y</w:t>
      </w:r>
      <w:r>
        <w:t xml:space="preserve"> areas of </w:t>
      </w:r>
      <w:r w:rsidR="00E20291" w:rsidRPr="00416BBB">
        <w:t>needed research.</w:t>
      </w:r>
      <w:r w:rsidR="00CC6AF5">
        <w:t xml:space="preserve"> </w:t>
      </w:r>
      <w:r w:rsidR="00127372">
        <w:t>All agreed that m</w:t>
      </w:r>
      <w:r>
        <w:t>ore data on the use of decision supports is essential</w:t>
      </w:r>
      <w:r w:rsidR="00B031EB">
        <w:t>, including the most basic data on the number and nature of guardianships/conservatorships in each state, as well as data on the use of SDM agreements</w:t>
      </w:r>
      <w:r w:rsidR="009A1788">
        <w:t>, Powers of Attorney,</w:t>
      </w:r>
      <w:r w:rsidR="00B031EB">
        <w:t xml:space="preserve"> and other decision supports and their outcomes.</w:t>
      </w:r>
      <w:r w:rsidR="00CC6AF5">
        <w:t xml:space="preserve"> </w:t>
      </w:r>
      <w:r w:rsidR="00B031EB">
        <w:t>P</w:t>
      </w:r>
      <w:r w:rsidR="00E20291" w:rsidRPr="00416BBB">
        <w:t xml:space="preserve">articipants </w:t>
      </w:r>
      <w:r>
        <w:t>described the challenges of developing and implementing best practices</w:t>
      </w:r>
      <w:r w:rsidR="00E20291" w:rsidRPr="00416BBB">
        <w:t xml:space="preserve"> with </w:t>
      </w:r>
      <w:r>
        <w:t xml:space="preserve">minimal </w:t>
      </w:r>
      <w:r w:rsidR="00E20291" w:rsidRPr="00416BBB">
        <w:t>data on which to base policy, research, training and practice directions.</w:t>
      </w:r>
      <w:r w:rsidR="00CC6AF5">
        <w:t xml:space="preserve"> </w:t>
      </w:r>
    </w:p>
    <w:p w14:paraId="36406C7D" w14:textId="1E0993BF" w:rsidR="00416BBB" w:rsidRDefault="00416BBB"/>
    <w:p w14:paraId="7075D895" w14:textId="1F35CE70" w:rsidR="00B031EB" w:rsidRDefault="00B031EB">
      <w:r>
        <w:t>Other salient research questions included</w:t>
      </w:r>
      <w:r w:rsidR="00617E9E">
        <w:t>, among others:</w:t>
      </w:r>
    </w:p>
    <w:p w14:paraId="1B222711" w14:textId="2888E145" w:rsidR="009A1788" w:rsidRDefault="009A1788" w:rsidP="005E2D2A">
      <w:pPr>
        <w:pStyle w:val="ListParagraph"/>
        <w:numPr>
          <w:ilvl w:val="0"/>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Understanding the community of isolated adults who do not have natural trusting relationships that could enable decision supports</w:t>
      </w:r>
      <w:r w:rsidR="009F3FC4">
        <w:rPr>
          <w:rFonts w:ascii="Times New Roman" w:hAnsi="Times New Roman" w:cs="Times New Roman"/>
          <w:sz w:val="24"/>
          <w:szCs w:val="24"/>
        </w:rPr>
        <w:t>.</w:t>
      </w:r>
    </w:p>
    <w:p w14:paraId="6B19464C" w14:textId="2636DB53" w:rsidR="00704E50" w:rsidRDefault="00704E50" w:rsidP="005E2D2A">
      <w:pPr>
        <w:pStyle w:val="ListParagraph"/>
        <w:numPr>
          <w:ilvl w:val="0"/>
          <w:numId w:val="39"/>
        </w:numPr>
        <w:spacing w:after="0" w:line="240" w:lineRule="auto"/>
        <w:rPr>
          <w:rFonts w:ascii="Times New Roman" w:hAnsi="Times New Roman" w:cs="Times New Roman"/>
          <w:sz w:val="24"/>
          <w:szCs w:val="24"/>
        </w:rPr>
      </w:pPr>
      <w:r w:rsidRPr="00C7231C">
        <w:rPr>
          <w:rFonts w:ascii="Times New Roman" w:hAnsi="Times New Roman" w:cs="Times New Roman"/>
          <w:sz w:val="24"/>
          <w:szCs w:val="24"/>
        </w:rPr>
        <w:t xml:space="preserve">Strategies for creating a robust and sustainable community of supporters, </w:t>
      </w:r>
      <w:r w:rsidR="009A1788">
        <w:rPr>
          <w:rFonts w:ascii="Times New Roman" w:hAnsi="Times New Roman" w:cs="Times New Roman"/>
          <w:sz w:val="24"/>
          <w:szCs w:val="24"/>
        </w:rPr>
        <w:t>with effective measures</w:t>
      </w:r>
      <w:r w:rsidR="005E6139">
        <w:rPr>
          <w:rFonts w:ascii="Times New Roman" w:hAnsi="Times New Roman" w:cs="Times New Roman"/>
          <w:sz w:val="24"/>
          <w:szCs w:val="24"/>
        </w:rPr>
        <w:t xml:space="preserve"> of success, including strategies to reduce social isolation</w:t>
      </w:r>
      <w:r w:rsidR="00CC6AF5">
        <w:rPr>
          <w:rFonts w:ascii="Times New Roman" w:hAnsi="Times New Roman" w:cs="Times New Roman"/>
          <w:sz w:val="24"/>
          <w:szCs w:val="24"/>
        </w:rPr>
        <w:t xml:space="preserve"> </w:t>
      </w:r>
      <w:r w:rsidR="005E6139">
        <w:rPr>
          <w:rFonts w:ascii="Times New Roman" w:hAnsi="Times New Roman" w:cs="Times New Roman"/>
          <w:sz w:val="24"/>
          <w:szCs w:val="24"/>
        </w:rPr>
        <w:t xml:space="preserve">and </w:t>
      </w:r>
      <w:r w:rsidR="009A1788">
        <w:rPr>
          <w:rFonts w:ascii="Times New Roman" w:hAnsi="Times New Roman" w:cs="Times New Roman"/>
          <w:sz w:val="24"/>
          <w:szCs w:val="24"/>
        </w:rPr>
        <w:t>mitigate risks of abuse or exploitation</w:t>
      </w:r>
      <w:r w:rsidR="009F3FC4">
        <w:rPr>
          <w:rFonts w:ascii="Times New Roman" w:hAnsi="Times New Roman" w:cs="Times New Roman"/>
          <w:sz w:val="24"/>
          <w:szCs w:val="24"/>
        </w:rPr>
        <w:t>.</w:t>
      </w:r>
      <w:r w:rsidR="009A1788">
        <w:rPr>
          <w:rFonts w:ascii="Times New Roman" w:hAnsi="Times New Roman" w:cs="Times New Roman"/>
          <w:sz w:val="24"/>
          <w:szCs w:val="24"/>
        </w:rPr>
        <w:t xml:space="preserve"> </w:t>
      </w:r>
    </w:p>
    <w:p w14:paraId="29175E66" w14:textId="2188CF07" w:rsidR="009A1788" w:rsidRPr="00C7231C" w:rsidRDefault="009A1788" w:rsidP="005E2D2A">
      <w:pPr>
        <w:pStyle w:val="ListParagraph"/>
        <w:numPr>
          <w:ilvl w:val="0"/>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Strategies and practices that could effectively infuse all decision supports with a self-determination philosophical framework.</w:t>
      </w:r>
      <w:r w:rsidR="00CC6AF5">
        <w:rPr>
          <w:rFonts w:ascii="Times New Roman" w:hAnsi="Times New Roman" w:cs="Times New Roman"/>
          <w:sz w:val="24"/>
          <w:szCs w:val="24"/>
        </w:rPr>
        <w:t xml:space="preserve"> </w:t>
      </w:r>
      <w:r>
        <w:rPr>
          <w:rFonts w:ascii="Times New Roman" w:hAnsi="Times New Roman" w:cs="Times New Roman"/>
          <w:sz w:val="24"/>
          <w:szCs w:val="24"/>
        </w:rPr>
        <w:t>This could include more study of the standards of decision making imposed by state law on guardians</w:t>
      </w:r>
      <w:r w:rsidR="009F3FC4">
        <w:rPr>
          <w:rFonts w:ascii="Times New Roman" w:hAnsi="Times New Roman" w:cs="Times New Roman"/>
          <w:sz w:val="24"/>
          <w:szCs w:val="24"/>
        </w:rPr>
        <w:t>.</w:t>
      </w:r>
    </w:p>
    <w:p w14:paraId="557D9BF9" w14:textId="43676ED8" w:rsidR="00704E50" w:rsidRPr="00C7231C" w:rsidRDefault="00617E9E" w:rsidP="005E2D2A">
      <w:pPr>
        <w:pStyle w:val="ListParagraph"/>
        <w:numPr>
          <w:ilvl w:val="0"/>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704E50" w:rsidRPr="00C7231C">
        <w:rPr>
          <w:rFonts w:ascii="Times New Roman" w:hAnsi="Times New Roman" w:cs="Times New Roman"/>
          <w:sz w:val="24"/>
          <w:szCs w:val="24"/>
        </w:rPr>
        <w:t xml:space="preserve">he costs of </w:t>
      </w:r>
      <w:r>
        <w:rPr>
          <w:rFonts w:ascii="Times New Roman" w:hAnsi="Times New Roman" w:cs="Times New Roman"/>
          <w:sz w:val="24"/>
          <w:szCs w:val="24"/>
        </w:rPr>
        <w:t xml:space="preserve">the differing types </w:t>
      </w:r>
      <w:r w:rsidR="00704E50" w:rsidRPr="00C7231C">
        <w:rPr>
          <w:rFonts w:ascii="Times New Roman" w:hAnsi="Times New Roman" w:cs="Times New Roman"/>
          <w:sz w:val="24"/>
          <w:szCs w:val="24"/>
        </w:rPr>
        <w:t>of decision</w:t>
      </w:r>
      <w:r w:rsidR="00222E4F">
        <w:rPr>
          <w:rFonts w:ascii="Times New Roman" w:hAnsi="Times New Roman" w:cs="Times New Roman"/>
          <w:sz w:val="24"/>
          <w:szCs w:val="24"/>
        </w:rPr>
        <w:t xml:space="preserve"> </w:t>
      </w:r>
      <w:r w:rsidR="00704E50" w:rsidRPr="00C7231C">
        <w:rPr>
          <w:rFonts w:ascii="Times New Roman" w:hAnsi="Times New Roman" w:cs="Times New Roman"/>
          <w:sz w:val="24"/>
          <w:szCs w:val="24"/>
        </w:rPr>
        <w:t>supports</w:t>
      </w:r>
      <w:r w:rsidR="009F3FC4">
        <w:rPr>
          <w:rFonts w:ascii="Times New Roman" w:hAnsi="Times New Roman" w:cs="Times New Roman"/>
          <w:sz w:val="24"/>
          <w:szCs w:val="24"/>
        </w:rPr>
        <w:t>.</w:t>
      </w:r>
    </w:p>
    <w:p w14:paraId="4ED590F9" w14:textId="72143D97" w:rsidR="00704E50" w:rsidRDefault="00A75FB3" w:rsidP="005E2D2A">
      <w:pPr>
        <w:pStyle w:val="ListParagraph"/>
        <w:numPr>
          <w:ilvl w:val="0"/>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What t</w:t>
      </w:r>
      <w:r w:rsidR="00704E50" w:rsidRPr="00C7231C">
        <w:rPr>
          <w:rFonts w:ascii="Times New Roman" w:hAnsi="Times New Roman" w:cs="Times New Roman"/>
          <w:sz w:val="24"/>
          <w:szCs w:val="24"/>
        </w:rPr>
        <w:t xml:space="preserve">raining </w:t>
      </w:r>
      <w:r w:rsidR="009A1788">
        <w:rPr>
          <w:rFonts w:ascii="Times New Roman" w:hAnsi="Times New Roman" w:cs="Times New Roman"/>
          <w:sz w:val="24"/>
          <w:szCs w:val="24"/>
        </w:rPr>
        <w:t>ab</w:t>
      </w:r>
      <w:r w:rsidR="005E6139">
        <w:rPr>
          <w:rFonts w:ascii="Times New Roman" w:hAnsi="Times New Roman" w:cs="Times New Roman"/>
          <w:sz w:val="24"/>
          <w:szCs w:val="24"/>
        </w:rPr>
        <w:t>o</w:t>
      </w:r>
      <w:r w:rsidR="009A1788">
        <w:rPr>
          <w:rFonts w:ascii="Times New Roman" w:hAnsi="Times New Roman" w:cs="Times New Roman"/>
          <w:sz w:val="24"/>
          <w:szCs w:val="24"/>
        </w:rPr>
        <w:t>ut decision</w:t>
      </w:r>
      <w:r>
        <w:rPr>
          <w:rFonts w:ascii="Times New Roman" w:hAnsi="Times New Roman" w:cs="Times New Roman"/>
          <w:sz w:val="24"/>
          <w:szCs w:val="24"/>
        </w:rPr>
        <w:t xml:space="preserve"> supports</w:t>
      </w:r>
      <w:r w:rsidR="006748EB">
        <w:rPr>
          <w:rFonts w:ascii="Times New Roman" w:hAnsi="Times New Roman" w:cs="Times New Roman"/>
          <w:sz w:val="24"/>
          <w:szCs w:val="24"/>
        </w:rPr>
        <w:t xml:space="preserve"> would assist</w:t>
      </w:r>
      <w:r w:rsidR="00704E50" w:rsidRPr="00C7231C">
        <w:rPr>
          <w:rFonts w:ascii="Times New Roman" w:hAnsi="Times New Roman" w:cs="Times New Roman"/>
          <w:sz w:val="24"/>
          <w:szCs w:val="24"/>
        </w:rPr>
        <w:t xml:space="preserve"> professionals in different disciplines</w:t>
      </w:r>
      <w:r w:rsidR="00617E9E">
        <w:rPr>
          <w:rFonts w:ascii="Times New Roman" w:hAnsi="Times New Roman" w:cs="Times New Roman"/>
          <w:sz w:val="24"/>
          <w:szCs w:val="24"/>
        </w:rPr>
        <w:t>:</w:t>
      </w:r>
      <w:r w:rsidR="00CC6AF5">
        <w:rPr>
          <w:rFonts w:ascii="Times New Roman" w:hAnsi="Times New Roman" w:cs="Times New Roman"/>
          <w:sz w:val="24"/>
          <w:szCs w:val="24"/>
        </w:rPr>
        <w:t xml:space="preserve"> </w:t>
      </w:r>
      <w:r w:rsidR="00704E50" w:rsidRPr="00C7231C">
        <w:rPr>
          <w:rFonts w:ascii="Times New Roman" w:hAnsi="Times New Roman" w:cs="Times New Roman"/>
          <w:sz w:val="24"/>
          <w:szCs w:val="24"/>
        </w:rPr>
        <w:t>education professionals, lawyers, clinicians, social workers, long-term care staff</w:t>
      </w:r>
      <w:r w:rsidR="00617E9E">
        <w:rPr>
          <w:rFonts w:ascii="Times New Roman" w:hAnsi="Times New Roman" w:cs="Times New Roman"/>
          <w:sz w:val="24"/>
          <w:szCs w:val="24"/>
        </w:rPr>
        <w:t>, etc.</w:t>
      </w:r>
      <w:r w:rsidR="006748EB">
        <w:rPr>
          <w:rFonts w:ascii="Times New Roman" w:hAnsi="Times New Roman" w:cs="Times New Roman"/>
          <w:sz w:val="24"/>
          <w:szCs w:val="24"/>
        </w:rPr>
        <w:t xml:space="preserve"> in promoting decision supports and promoting the agency of the adults they </w:t>
      </w:r>
      <w:proofErr w:type="gramStart"/>
      <w:r w:rsidR="006748EB">
        <w:rPr>
          <w:rFonts w:ascii="Times New Roman" w:hAnsi="Times New Roman" w:cs="Times New Roman"/>
          <w:sz w:val="24"/>
          <w:szCs w:val="24"/>
        </w:rPr>
        <w:t>serve</w:t>
      </w:r>
      <w:r w:rsidR="009F3FC4">
        <w:rPr>
          <w:rFonts w:ascii="Times New Roman" w:hAnsi="Times New Roman" w:cs="Times New Roman"/>
          <w:sz w:val="24"/>
          <w:szCs w:val="24"/>
        </w:rPr>
        <w:t>.</w:t>
      </w:r>
      <w:proofErr w:type="gramEnd"/>
    </w:p>
    <w:p w14:paraId="2B08B66A" w14:textId="0D8BC3FE" w:rsidR="009D2D14" w:rsidRPr="00C7231C" w:rsidRDefault="009D2D14" w:rsidP="005E2D2A">
      <w:pPr>
        <w:pStyle w:val="ListParagraph"/>
        <w:numPr>
          <w:ilvl w:val="0"/>
          <w:numId w:val="39"/>
        </w:numPr>
        <w:spacing w:after="0" w:line="240" w:lineRule="auto"/>
        <w:rPr>
          <w:rFonts w:ascii="Times New Roman" w:hAnsi="Times New Roman" w:cs="Times New Roman"/>
          <w:sz w:val="24"/>
          <w:szCs w:val="24"/>
        </w:rPr>
      </w:pPr>
      <w:bookmarkStart w:id="9" w:name="_Hlk31969016"/>
      <w:r>
        <w:rPr>
          <w:rFonts w:ascii="Times New Roman" w:hAnsi="Times New Roman" w:cs="Times New Roman"/>
          <w:sz w:val="24"/>
          <w:szCs w:val="24"/>
        </w:rPr>
        <w:t>What are the benefits and risks of SDM agreements</w:t>
      </w:r>
      <w:r w:rsidR="00222E4F">
        <w:rPr>
          <w:rFonts w:ascii="Times New Roman" w:hAnsi="Times New Roman" w:cs="Times New Roman"/>
          <w:sz w:val="24"/>
          <w:szCs w:val="24"/>
        </w:rPr>
        <w:t>,</w:t>
      </w:r>
      <w:r w:rsidR="00CF173D">
        <w:rPr>
          <w:rFonts w:ascii="Times New Roman" w:hAnsi="Times New Roman" w:cs="Times New Roman"/>
          <w:sz w:val="24"/>
          <w:szCs w:val="24"/>
        </w:rPr>
        <w:t xml:space="preserve"> </w:t>
      </w:r>
      <w:r>
        <w:rPr>
          <w:rFonts w:ascii="Times New Roman" w:hAnsi="Times New Roman" w:cs="Times New Roman"/>
          <w:sz w:val="24"/>
          <w:szCs w:val="24"/>
        </w:rPr>
        <w:t xml:space="preserve">which are a relatively new </w:t>
      </w:r>
      <w:proofErr w:type="gramStart"/>
      <w:r>
        <w:rPr>
          <w:rFonts w:ascii="Times New Roman" w:hAnsi="Times New Roman" w:cs="Times New Roman"/>
          <w:sz w:val="24"/>
          <w:szCs w:val="24"/>
        </w:rPr>
        <w:t>tool</w:t>
      </w:r>
      <w:r w:rsidR="00BC2854">
        <w:rPr>
          <w:rFonts w:ascii="Times New Roman" w:hAnsi="Times New Roman" w:cs="Times New Roman"/>
          <w:sz w:val="24"/>
          <w:szCs w:val="24"/>
        </w:rPr>
        <w:t>.</w:t>
      </w:r>
      <w:proofErr w:type="gramEnd"/>
    </w:p>
    <w:bookmarkEnd w:id="9"/>
    <w:p w14:paraId="0EB20975" w14:textId="5312E0A3" w:rsidR="00704E50" w:rsidRDefault="009A1788" w:rsidP="005E2D2A">
      <w:pPr>
        <w:pStyle w:val="ListParagraph"/>
        <w:numPr>
          <w:ilvl w:val="0"/>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Objective, evidence-driven c</w:t>
      </w:r>
      <w:r w:rsidR="00BC1D48" w:rsidRPr="00C7231C">
        <w:rPr>
          <w:rFonts w:ascii="Times New Roman" w:hAnsi="Times New Roman" w:cs="Times New Roman"/>
          <w:sz w:val="24"/>
          <w:szCs w:val="24"/>
        </w:rPr>
        <w:t>omparative e</w:t>
      </w:r>
      <w:r w:rsidR="00704E50" w:rsidRPr="00C7231C">
        <w:rPr>
          <w:rFonts w:ascii="Times New Roman" w:hAnsi="Times New Roman" w:cs="Times New Roman"/>
          <w:sz w:val="24"/>
          <w:szCs w:val="24"/>
        </w:rPr>
        <w:t>valuation</w:t>
      </w:r>
      <w:r w:rsidR="00617E9E">
        <w:rPr>
          <w:rFonts w:ascii="Times New Roman" w:hAnsi="Times New Roman" w:cs="Times New Roman"/>
          <w:sz w:val="24"/>
          <w:szCs w:val="24"/>
        </w:rPr>
        <w:t>s</w:t>
      </w:r>
      <w:r w:rsidR="00704E50" w:rsidRPr="00C7231C">
        <w:rPr>
          <w:rFonts w:ascii="Times New Roman" w:hAnsi="Times New Roman" w:cs="Times New Roman"/>
          <w:sz w:val="24"/>
          <w:szCs w:val="24"/>
        </w:rPr>
        <w:t xml:space="preserve"> of decision-making </w:t>
      </w:r>
      <w:r>
        <w:rPr>
          <w:rFonts w:ascii="Times New Roman" w:hAnsi="Times New Roman" w:cs="Times New Roman"/>
          <w:sz w:val="24"/>
          <w:szCs w:val="24"/>
        </w:rPr>
        <w:t xml:space="preserve">support projects and </w:t>
      </w:r>
      <w:r w:rsidR="00704E50" w:rsidRPr="00C7231C">
        <w:rPr>
          <w:rFonts w:ascii="Times New Roman" w:hAnsi="Times New Roman" w:cs="Times New Roman"/>
          <w:sz w:val="24"/>
          <w:szCs w:val="24"/>
        </w:rPr>
        <w:t>pilots</w:t>
      </w:r>
      <w:r>
        <w:rPr>
          <w:rFonts w:ascii="Times New Roman" w:hAnsi="Times New Roman" w:cs="Times New Roman"/>
          <w:sz w:val="24"/>
          <w:szCs w:val="24"/>
        </w:rPr>
        <w:t>, including but not limited to those involving SDM</w:t>
      </w:r>
      <w:r w:rsidR="00090A5F">
        <w:rPr>
          <w:rFonts w:ascii="Times New Roman" w:hAnsi="Times New Roman" w:cs="Times New Roman"/>
          <w:sz w:val="24"/>
          <w:szCs w:val="24"/>
        </w:rPr>
        <w:t>.</w:t>
      </w:r>
    </w:p>
    <w:p w14:paraId="1640A2F0" w14:textId="77777777" w:rsidR="003C5376" w:rsidRPr="00C7231C" w:rsidRDefault="003C5376" w:rsidP="003C5376">
      <w:pPr>
        <w:pStyle w:val="ListParagraph"/>
        <w:spacing w:after="0" w:line="240" w:lineRule="auto"/>
        <w:rPr>
          <w:rFonts w:ascii="Times New Roman" w:hAnsi="Times New Roman" w:cs="Times New Roman"/>
          <w:sz w:val="24"/>
          <w:szCs w:val="24"/>
        </w:rPr>
      </w:pPr>
    </w:p>
    <w:p w14:paraId="180BBCD2" w14:textId="07039C09" w:rsidR="009D2D14" w:rsidRDefault="003C5376" w:rsidP="003C5376">
      <w:pPr>
        <w:jc w:val="center"/>
        <w:rPr>
          <w:b/>
          <w:smallCaps/>
        </w:rPr>
      </w:pPr>
      <w:r>
        <w:rPr>
          <w:b/>
          <w:smallCaps/>
        </w:rPr>
        <w:t>______________________</w:t>
      </w:r>
    </w:p>
    <w:p w14:paraId="3085B347" w14:textId="09C93088" w:rsidR="003C5376" w:rsidRDefault="003C5376" w:rsidP="003C5376">
      <w:pPr>
        <w:rPr>
          <w:b/>
          <w:smallCaps/>
        </w:rPr>
      </w:pPr>
    </w:p>
    <w:p w14:paraId="065791B3" w14:textId="77777777" w:rsidR="003C5376" w:rsidRDefault="003C5376" w:rsidP="003C5376">
      <w:pPr>
        <w:rPr>
          <w:b/>
          <w:smallCaps/>
        </w:rPr>
      </w:pPr>
    </w:p>
    <w:sectPr w:rsidR="003C537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5AFA7" w14:textId="77777777" w:rsidR="001625A2" w:rsidRDefault="001625A2" w:rsidP="00CB7650">
      <w:r>
        <w:separator/>
      </w:r>
    </w:p>
  </w:endnote>
  <w:endnote w:type="continuationSeparator" w:id="0">
    <w:p w14:paraId="7189DB00" w14:textId="77777777" w:rsidR="001625A2" w:rsidRDefault="001625A2" w:rsidP="00CB7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940968"/>
      <w:docPartObj>
        <w:docPartGallery w:val="Page Numbers (Bottom of Page)"/>
        <w:docPartUnique/>
      </w:docPartObj>
    </w:sdtPr>
    <w:sdtEndPr>
      <w:rPr>
        <w:noProof/>
      </w:rPr>
    </w:sdtEndPr>
    <w:sdtContent>
      <w:p w14:paraId="5CEB5A67" w14:textId="7A885F25" w:rsidR="00730E7F" w:rsidRDefault="00730E7F">
        <w:pPr>
          <w:pStyle w:val="Footer"/>
          <w:jc w:val="center"/>
        </w:pPr>
        <w:r>
          <w:fldChar w:fldCharType="begin"/>
        </w:r>
        <w:r>
          <w:instrText xml:space="preserve"> PAGE   \* MERGEFORMAT </w:instrText>
        </w:r>
        <w:r>
          <w:fldChar w:fldCharType="separate"/>
        </w:r>
        <w:r w:rsidR="002B1BCA">
          <w:rPr>
            <w:noProof/>
          </w:rPr>
          <w:t>1</w:t>
        </w:r>
        <w:r>
          <w:rPr>
            <w:noProof/>
          </w:rPr>
          <w:fldChar w:fldCharType="end"/>
        </w:r>
      </w:p>
    </w:sdtContent>
  </w:sdt>
  <w:p w14:paraId="0D12319B" w14:textId="77777777" w:rsidR="00730E7F" w:rsidRDefault="00730E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E28DB" w14:textId="77777777" w:rsidR="001625A2" w:rsidRDefault="001625A2" w:rsidP="00CB7650">
      <w:r>
        <w:separator/>
      </w:r>
    </w:p>
  </w:footnote>
  <w:footnote w:type="continuationSeparator" w:id="0">
    <w:p w14:paraId="2463F809" w14:textId="77777777" w:rsidR="001625A2" w:rsidRDefault="001625A2" w:rsidP="00CB7650">
      <w:r>
        <w:continuationSeparator/>
      </w:r>
    </w:p>
  </w:footnote>
  <w:footnote w:id="1">
    <w:p w14:paraId="5B46AF97" w14:textId="455E9D5A" w:rsidR="003C5376" w:rsidRDefault="003C5376">
      <w:pPr>
        <w:pStyle w:val="FootnoteText"/>
      </w:pPr>
      <w:r>
        <w:rPr>
          <w:rStyle w:val="FootnoteReference"/>
        </w:rPr>
        <w:footnoteRef/>
      </w:r>
      <w:r>
        <w:t xml:space="preserve"> </w:t>
      </w:r>
      <w:r w:rsidRPr="003C5376">
        <w:t>This report was supported by a subcontract with the National Center on Law and Elder Rights, pursuant to contract number HHSP233201650076A, from the U.S. Administration on Community Living, Department of Health and Human Services, Washington, D.C. 20201. Grantees carrying out projects under government sponsorship are encouraged to express freely their findings and conclusions. Therefore, points of view or opinions do not necessarily represent official Administration for Community Living or DHHS policy. In addition, the views expressed in this report have not been approved by the ABA House of Delegates or the Board of Governors and should not be construed as representing the policy of the American Bar Association.</w:t>
      </w:r>
    </w:p>
    <w:p w14:paraId="59C76FA5" w14:textId="77777777" w:rsidR="003C5376" w:rsidRDefault="003C5376">
      <w:pPr>
        <w:pStyle w:val="FootnoteText"/>
      </w:pPr>
    </w:p>
  </w:footnote>
  <w:footnote w:id="2">
    <w:p w14:paraId="6E43F46E" w14:textId="14B51F0B" w:rsidR="00C711C2" w:rsidRDefault="00C711C2">
      <w:pPr>
        <w:pStyle w:val="FootnoteText"/>
      </w:pPr>
      <w:r>
        <w:rPr>
          <w:rStyle w:val="FootnoteReference"/>
        </w:rPr>
        <w:footnoteRef/>
      </w:r>
      <w:r>
        <w:t xml:space="preserve"> </w:t>
      </w:r>
      <w:r w:rsidRPr="00C711C2">
        <w:t>Participants in the forums have n</w:t>
      </w:r>
      <w:r w:rsidR="006944BA">
        <w:t>ot</w:t>
      </w:r>
      <w:r w:rsidRPr="00C711C2">
        <w:t xml:space="preserve"> reviewed nor endorsed this report, so its contents </w:t>
      </w:r>
      <w:r w:rsidR="006944BA">
        <w:t xml:space="preserve">do not necessarily represent the views </w:t>
      </w:r>
      <w:r w:rsidR="008721B0">
        <w:t xml:space="preserve">of </w:t>
      </w:r>
      <w:r w:rsidR="008721B0" w:rsidRPr="00C711C2">
        <w:t>participants</w:t>
      </w:r>
      <w:r w:rsidRPr="00C711C2">
        <w:t xml:space="preserve"> or their affiliate organizations.</w:t>
      </w:r>
      <w:r w:rsidR="00AA64F4">
        <w:t xml:space="preserve">  Supplemental material available at </w:t>
      </w:r>
      <w:hyperlink r:id="rId1" w:history="1">
        <w:r w:rsidR="00AA64F4" w:rsidRPr="009749B9">
          <w:rPr>
            <w:rStyle w:val="Hyperlink"/>
          </w:rPr>
          <w:t>www.americanbar.org/groups/law_aging/resources/guardianship_law_practice</w:t>
        </w:r>
      </w:hyperlink>
      <w:r w:rsidR="00AA64F4">
        <w:t xml:space="preserve">. </w:t>
      </w:r>
    </w:p>
  </w:footnote>
  <w:footnote w:id="3">
    <w:p w14:paraId="14F51A66" w14:textId="74CC71FF" w:rsidR="00730E7F" w:rsidRDefault="00730E7F">
      <w:pPr>
        <w:pStyle w:val="FootnoteText"/>
      </w:pPr>
      <w:r>
        <w:rPr>
          <w:rStyle w:val="FootnoteReference"/>
        </w:rPr>
        <w:footnoteRef/>
      </w:r>
      <w:r>
        <w:t xml:space="preserve"> The term “guardianship” is used in this report interchangeably with “conservatorship” and any other term for the judicial process of appointing a fiduciary to manage all or part of the financial and/or personal affairs of an individual.</w:t>
      </w:r>
    </w:p>
  </w:footnote>
  <w:footnote w:id="4">
    <w:p w14:paraId="4C61D7F1" w14:textId="66A9AA15" w:rsidR="00CC1F4D" w:rsidRDefault="00CC1F4D" w:rsidP="00CC1F4D">
      <w:pPr>
        <w:pStyle w:val="FootnoteText"/>
      </w:pPr>
      <w:r>
        <w:rPr>
          <w:rStyle w:val="FootnoteReference"/>
        </w:rPr>
        <w:footnoteRef/>
      </w:r>
      <w:r>
        <w:t xml:space="preserve"> </w:t>
      </w:r>
      <w:proofErr w:type="spellStart"/>
      <w:r>
        <w:t>Dinerstein</w:t>
      </w:r>
      <w:proofErr w:type="spellEnd"/>
      <w:r>
        <w:t xml:space="preserve">, Robert D. </w:t>
      </w:r>
      <w:r w:rsidR="00695A44">
        <w:t>“</w:t>
      </w:r>
      <w:r>
        <w:t>Implementing Legal Capacity Under Article 12 of the UN Convention on the Rights of Person with Disabilities: The Difficult Road from Guardianship to Supported Decision-Making.” Human Rights Brief 19, no 2</w:t>
      </w:r>
      <w:r w:rsidR="00695A44">
        <w:t xml:space="preserve"> </w:t>
      </w:r>
      <w:r>
        <w:t>(2012): 8-12</w:t>
      </w:r>
      <w:r w:rsidR="00695A44">
        <w:t xml:space="preserve">; </w:t>
      </w:r>
      <w:r w:rsidR="00695A44" w:rsidRPr="00695A44">
        <w:t xml:space="preserve">Glen, Kristin Booth, </w:t>
      </w:r>
      <w:r w:rsidR="00695A44">
        <w:t>“</w:t>
      </w:r>
      <w:r w:rsidR="00695A44" w:rsidRPr="00695A44">
        <w:t xml:space="preserve">Introducing a </w:t>
      </w:r>
      <w:r w:rsidR="00695A44">
        <w:t>‘</w:t>
      </w:r>
      <w:r w:rsidR="00695A44" w:rsidRPr="00695A44">
        <w:t>New</w:t>
      </w:r>
      <w:r w:rsidR="00695A44">
        <w:t>’</w:t>
      </w:r>
      <w:r w:rsidR="00695A44" w:rsidRPr="00695A44">
        <w:t xml:space="preserve"> Human Right: Learning from Others, Bringing Legal Capacity Home,</w:t>
      </w:r>
      <w:r w:rsidR="00695A44">
        <w:t>”</w:t>
      </w:r>
      <w:r w:rsidR="00695A44" w:rsidRPr="00695A44">
        <w:t xml:space="preserve"> 49 Colum. Hum. </w:t>
      </w:r>
      <w:proofErr w:type="spellStart"/>
      <w:r w:rsidR="00695A44" w:rsidRPr="00695A44">
        <w:t>Rts</w:t>
      </w:r>
      <w:proofErr w:type="spellEnd"/>
      <w:r w:rsidR="00695A44" w:rsidRPr="00695A44">
        <w:t>. L. Rev. 1</w:t>
      </w:r>
      <w:r w:rsidR="00695A44">
        <w:t xml:space="preserve"> </w:t>
      </w:r>
      <w:proofErr w:type="gramStart"/>
      <w:r w:rsidR="00695A44">
        <w:t>(</w:t>
      </w:r>
      <w:r w:rsidR="00695A44" w:rsidRPr="00695A44">
        <w:t xml:space="preserve"> 2018</w:t>
      </w:r>
      <w:proofErr w:type="gramEnd"/>
      <w:r w:rsidR="00695A44">
        <w:t>)</w:t>
      </w:r>
      <w:r w:rsidR="00695A44" w:rsidRPr="00695A44">
        <w:t>.</w:t>
      </w:r>
    </w:p>
    <w:p w14:paraId="15EEDD53" w14:textId="77777777" w:rsidR="009F3FC4" w:rsidRDefault="009F3FC4" w:rsidP="00CC1F4D">
      <w:pPr>
        <w:pStyle w:val="FootnoteText"/>
      </w:pPr>
    </w:p>
  </w:footnote>
  <w:footnote w:id="5">
    <w:p w14:paraId="60A605CD" w14:textId="77777777" w:rsidR="00CC1F4D" w:rsidRDefault="00CC1F4D" w:rsidP="00CC1F4D">
      <w:pPr>
        <w:pStyle w:val="FootnoteText"/>
      </w:pPr>
      <w:r>
        <w:rPr>
          <w:rStyle w:val="FootnoteReference"/>
        </w:rPr>
        <w:footnoteRef/>
      </w:r>
      <w:r>
        <w:t xml:space="preserve"> United Nations Convention on the Rights of People with Disabilities (CRPD), Article 12. The CRPD has been ratified by 181 countries. It has not been ratified by the United States.  </w:t>
      </w:r>
    </w:p>
  </w:footnote>
  <w:footnote w:id="6">
    <w:p w14:paraId="439E731B" w14:textId="483D44DD" w:rsidR="00730E7F" w:rsidRDefault="00730E7F" w:rsidP="00780E76">
      <w:pPr>
        <w:pStyle w:val="FootnoteText"/>
      </w:pPr>
      <w:r>
        <w:rPr>
          <w:rStyle w:val="FootnoteReference"/>
        </w:rPr>
        <w:footnoteRef/>
      </w:r>
      <w:r>
        <w:t xml:space="preserve"> Sinclair, C., Field, S., &amp; Blake, M. (2018). </w:t>
      </w:r>
      <w:r w:rsidRPr="00DF3F86">
        <w:rPr>
          <w:smallCaps/>
        </w:rPr>
        <w:t>Supported Decision-Making in Aged Care: A Policy Development Guideline for Aged Care Providers in Australia</w:t>
      </w:r>
      <w:r>
        <w:t xml:space="preserve">. (2nd Edition) Sydney: Cognitive Decline Partnership Centre, pg. 5, available at </w:t>
      </w:r>
      <w:hyperlink r:id="rId2" w:history="1">
        <w:r w:rsidRPr="00416BBB">
          <w:rPr>
            <w:rStyle w:val="Hyperlink"/>
          </w:rPr>
          <w:t>https://cdpc.sydney.edu.au/wp-content/uploads/2019/06/SDM-Policy-Guidelines.pdf</w:t>
        </w:r>
      </w:hyperlink>
      <w:r>
        <w:t xml:space="preserve">. </w:t>
      </w:r>
    </w:p>
  </w:footnote>
  <w:footnote w:id="7">
    <w:p w14:paraId="477ECEE2" w14:textId="0528DC42" w:rsidR="006944BA" w:rsidRDefault="006944BA">
      <w:pPr>
        <w:pStyle w:val="FootnoteText"/>
      </w:pPr>
      <w:r>
        <w:rPr>
          <w:rStyle w:val="FootnoteReference"/>
        </w:rPr>
        <w:footnoteRef/>
      </w:r>
      <w:r>
        <w:t xml:space="preserve"> The Commission on Law and Aging publishes an annual summary of state legislation at </w:t>
      </w:r>
      <w:hyperlink r:id="rId3" w:history="1">
        <w:r w:rsidRPr="006944BA">
          <w:rPr>
            <w:rStyle w:val="Hyperlink"/>
          </w:rPr>
          <w:t>www.americanbar.org/groups/law_aging/resources/guardianship_law_practice</w:t>
        </w:r>
      </w:hyperlink>
      <w:r>
        <w:t>.</w:t>
      </w:r>
    </w:p>
  </w:footnote>
  <w:footnote w:id="8">
    <w:p w14:paraId="0B512429" w14:textId="4263AF60" w:rsidR="00730E7F" w:rsidRDefault="00730E7F" w:rsidP="009D3662">
      <w:pPr>
        <w:pStyle w:val="FootnoteText"/>
      </w:pPr>
      <w:r>
        <w:rPr>
          <w:rStyle w:val="FootnoteReference"/>
        </w:rPr>
        <w:footnoteRef/>
      </w:r>
      <w:r>
        <w:t xml:space="preserve"> See UGCOPAA §§ 301(a)(1)(B), 102(13); American Bar Association and Sally </w:t>
      </w:r>
      <w:proofErr w:type="spellStart"/>
      <w:r>
        <w:t>Hurme</w:t>
      </w:r>
      <w:proofErr w:type="spellEnd"/>
      <w:r>
        <w:t xml:space="preserve">, </w:t>
      </w:r>
      <w:r w:rsidRPr="00DF3F86">
        <w:rPr>
          <w:smallCaps/>
        </w:rPr>
        <w:t>Conduct and Findings of Guardianship Proceedings</w:t>
      </w:r>
      <w:r>
        <w:t xml:space="preserve"> (Statutory revisions as of December 31. 2018) as retrieved on October 7, 2019, </w:t>
      </w:r>
      <w:r w:rsidRPr="009D3662">
        <w:t>https://www.americanbar.org/content/dam/aba/administrative/law_aging/chartconduct.pdf</w:t>
      </w:r>
      <w:r>
        <w:t xml:space="preserve">; American Bar Association, </w:t>
      </w:r>
      <w:r w:rsidRPr="00DF3F86">
        <w:rPr>
          <w:smallCaps/>
        </w:rPr>
        <w:t>Least Restrictive Alternative References in State Guardianship Statutes</w:t>
      </w:r>
      <w:r>
        <w:t xml:space="preserve">, as retrieved on October 7, 2019, </w:t>
      </w:r>
      <w:r w:rsidRPr="007B2059">
        <w:cr/>
      </w:r>
      <w:hyperlink r:id="rId4" w:history="1">
        <w:r w:rsidRPr="00F343DB">
          <w:rPr>
            <w:rStyle w:val="Hyperlink"/>
          </w:rPr>
          <w:t>www.americanbar.org/content/dam/aba/administrative/law_aging/06-23-2018-lra-chart-final.pdf</w:t>
        </w:r>
      </w:hyperlink>
      <w:r>
        <w:t xml:space="preserve"> . </w:t>
      </w:r>
    </w:p>
    <w:p w14:paraId="7EDFE267" w14:textId="77777777" w:rsidR="00730E7F" w:rsidRDefault="00730E7F" w:rsidP="009D3662">
      <w:pPr>
        <w:pStyle w:val="FootnoteText"/>
      </w:pPr>
    </w:p>
  </w:footnote>
  <w:footnote w:id="9">
    <w:p w14:paraId="726CBF52" w14:textId="75DCC3AF" w:rsidR="001C3D11" w:rsidRDefault="001C3D11">
      <w:pPr>
        <w:pStyle w:val="FootnoteText"/>
      </w:pPr>
      <w:r>
        <w:rPr>
          <w:rStyle w:val="FootnoteReference"/>
        </w:rPr>
        <w:footnoteRef/>
      </w:r>
      <w:r>
        <w:t xml:space="preserve"> </w:t>
      </w:r>
      <w:r w:rsidR="00CD48B2">
        <w:t xml:space="preserve">E.g., see </w:t>
      </w:r>
      <w:r w:rsidR="00CD48B2" w:rsidRPr="00CD48B2">
        <w:t xml:space="preserve">Matter of </w:t>
      </w:r>
      <w:proofErr w:type="spellStart"/>
      <w:r w:rsidR="00CD48B2" w:rsidRPr="00CD48B2">
        <w:t>Capurso</w:t>
      </w:r>
      <w:proofErr w:type="spellEnd"/>
      <w:r w:rsidR="00CD48B2" w:rsidRPr="00CD48B2">
        <w:t xml:space="preserve"> 63 Misc.3d 725 (</w:t>
      </w:r>
      <w:proofErr w:type="spellStart"/>
      <w:r w:rsidR="00CD48B2" w:rsidRPr="00CD48B2">
        <w:t>Surr.Ct</w:t>
      </w:r>
      <w:proofErr w:type="spellEnd"/>
      <w:r w:rsidR="00CD48B2" w:rsidRPr="00CD48B2">
        <w:t xml:space="preserve">., Westchester County, N.Y., 2019); In re Guardianship of Sands, 301 P.3d 128 (Wyo., 2013); In re Guardianship of </w:t>
      </w:r>
      <w:proofErr w:type="spellStart"/>
      <w:r w:rsidR="00CD48B2" w:rsidRPr="00CD48B2">
        <w:t>Dameris</w:t>
      </w:r>
      <w:proofErr w:type="spellEnd"/>
      <w:r w:rsidR="00CD48B2" w:rsidRPr="00CD48B2">
        <w:t xml:space="preserve"> L., 956 N.Y.S.2d 848 (Sur. 2012); In re Penson, etc., 289 A.D.2d 155, 735 N.Y.S.2d 51 (N.Y.S. 2001).</w:t>
      </w:r>
    </w:p>
  </w:footnote>
  <w:footnote w:id="10">
    <w:p w14:paraId="1C41C69B" w14:textId="07AD8236" w:rsidR="00730E7F" w:rsidRDefault="00730E7F" w:rsidP="00590061">
      <w:pPr>
        <w:pStyle w:val="FootnoteText"/>
      </w:pPr>
      <w:r>
        <w:rPr>
          <w:rStyle w:val="FootnoteReference"/>
        </w:rPr>
        <w:footnoteRef/>
      </w:r>
      <w:r>
        <w:t xml:space="preserve"> AARP Public Policy Institute, </w:t>
      </w:r>
      <w:r w:rsidRPr="00DF3F86">
        <w:rPr>
          <w:smallCaps/>
        </w:rPr>
        <w:t>Power of Attorney Abuse: What States Can Do About It</w:t>
      </w:r>
      <w:r>
        <w:t>, L. Stiegel and E. Klem, 2008, available at.</w:t>
      </w:r>
      <w:r w:rsidRPr="00077002">
        <w:t xml:space="preserve"> </w:t>
      </w:r>
      <w:hyperlink r:id="rId5" w:history="1">
        <w:r w:rsidRPr="00845A82">
          <w:rPr>
            <w:rStyle w:val="Hyperlink"/>
          </w:rPr>
          <w:t>https://assets.aarp.org/rgcenter/consume/2008_17_poa.pdf</w:t>
        </w:r>
      </w:hyperlink>
      <w:r>
        <w:t xml:space="preserve">; Hook Law Center, </w:t>
      </w:r>
      <w:r w:rsidRPr="00DF3F86">
        <w:rPr>
          <w:smallCaps/>
        </w:rPr>
        <w:t>Breach of Fiduciary Duties under a Power of Attorney</w:t>
      </w:r>
      <w:r>
        <w:t>,</w:t>
      </w:r>
      <w:r w:rsidRPr="0004741F">
        <w:t xml:space="preserve"> Shannon </w:t>
      </w:r>
      <w:proofErr w:type="spellStart"/>
      <w:r w:rsidRPr="0004741F">
        <w:t>Laymon</w:t>
      </w:r>
      <w:proofErr w:type="spellEnd"/>
      <w:r w:rsidRPr="0004741F">
        <w:t>-Pecoraro, CELA</w:t>
      </w:r>
      <w:r>
        <w:t xml:space="preserve">, available at </w:t>
      </w:r>
      <w:hyperlink r:id="rId6" w:history="1">
        <w:r w:rsidRPr="00310683">
          <w:rPr>
            <w:rStyle w:val="Hyperlink"/>
          </w:rPr>
          <w:t>https://www.hooklawcenter.com/2017/06/09/breach-of-fiduciary-duties-under-a-power-of-attorney</w:t>
        </w:r>
      </w:hyperlink>
      <w:r>
        <w:t xml:space="preserve"> . </w:t>
      </w:r>
    </w:p>
    <w:p w14:paraId="266908EB" w14:textId="77777777" w:rsidR="009F3FC4" w:rsidRDefault="009F3FC4" w:rsidP="00590061">
      <w:pPr>
        <w:pStyle w:val="FootnoteText"/>
      </w:pPr>
    </w:p>
  </w:footnote>
  <w:footnote w:id="11">
    <w:p w14:paraId="1CA90221" w14:textId="28F898A0" w:rsidR="00730E7F" w:rsidRDefault="00730E7F">
      <w:pPr>
        <w:pStyle w:val="FootnoteText"/>
      </w:pPr>
      <w:r>
        <w:rPr>
          <w:rStyle w:val="FootnoteReference"/>
        </w:rPr>
        <w:footnoteRef/>
      </w:r>
      <w:r>
        <w:t xml:space="preserve"> See National Guardianship Association, </w:t>
      </w:r>
      <w:r w:rsidRPr="00DF3F86">
        <w:rPr>
          <w:smallCaps/>
        </w:rPr>
        <w:t>Standards of Practice</w:t>
      </w:r>
      <w:r>
        <w:t xml:space="preserve">, Standards 6, 7, 8, 9, available at  </w:t>
      </w:r>
      <w:hyperlink r:id="rId7" w:history="1">
        <w:r w:rsidRPr="00840529">
          <w:rPr>
            <w:rStyle w:val="Hyperlink"/>
          </w:rPr>
          <w:t>https://www.guardianship.org/wp-content/uploads/2017/07/NGA-Standards-with-Summit-Revisions-2017.pdf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3368B"/>
    <w:multiLevelType w:val="hybridMultilevel"/>
    <w:tmpl w:val="5E5A1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C40F4"/>
    <w:multiLevelType w:val="hybridMultilevel"/>
    <w:tmpl w:val="F25A2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01B6E"/>
    <w:multiLevelType w:val="multilevel"/>
    <w:tmpl w:val="251C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75428A"/>
    <w:multiLevelType w:val="hybridMultilevel"/>
    <w:tmpl w:val="CAF6F1C0"/>
    <w:lvl w:ilvl="0" w:tplc="E526715C">
      <w:start w:val="1"/>
      <w:numFmt w:val="bullet"/>
      <w:lvlText w:val=""/>
      <w:lvlJc w:val="left"/>
      <w:pPr>
        <w:ind w:left="720" w:hanging="360"/>
      </w:pPr>
      <w:rPr>
        <w:rFonts w:ascii="Symbol" w:hAnsi="Symbol" w:hint="default"/>
      </w:rPr>
    </w:lvl>
    <w:lvl w:ilvl="1" w:tplc="6018D642">
      <w:start w:val="1"/>
      <w:numFmt w:val="bullet"/>
      <w:lvlText w:val=""/>
      <w:lvlJc w:val="left"/>
      <w:pPr>
        <w:ind w:left="1440" w:hanging="360"/>
      </w:pPr>
      <w:rPr>
        <w:rFonts w:ascii="Symbol" w:hAnsi="Symbol" w:hint="default"/>
      </w:rPr>
    </w:lvl>
    <w:lvl w:ilvl="2" w:tplc="5E9E2730">
      <w:start w:val="1"/>
      <w:numFmt w:val="bullet"/>
      <w:lvlText w:val=""/>
      <w:lvlJc w:val="left"/>
      <w:pPr>
        <w:ind w:left="2160" w:hanging="360"/>
      </w:pPr>
      <w:rPr>
        <w:rFonts w:ascii="Wingdings" w:hAnsi="Wingdings" w:hint="default"/>
      </w:rPr>
    </w:lvl>
    <w:lvl w:ilvl="3" w:tplc="ABD82784">
      <w:start w:val="1"/>
      <w:numFmt w:val="bullet"/>
      <w:lvlText w:val=""/>
      <w:lvlJc w:val="left"/>
      <w:pPr>
        <w:ind w:left="2880" w:hanging="360"/>
      </w:pPr>
      <w:rPr>
        <w:rFonts w:ascii="Symbol" w:hAnsi="Symbol" w:hint="default"/>
      </w:rPr>
    </w:lvl>
    <w:lvl w:ilvl="4" w:tplc="4644F806">
      <w:start w:val="1"/>
      <w:numFmt w:val="bullet"/>
      <w:lvlText w:val="o"/>
      <w:lvlJc w:val="left"/>
      <w:pPr>
        <w:ind w:left="3600" w:hanging="360"/>
      </w:pPr>
      <w:rPr>
        <w:rFonts w:ascii="Courier New" w:hAnsi="Courier New" w:hint="default"/>
      </w:rPr>
    </w:lvl>
    <w:lvl w:ilvl="5" w:tplc="C9CC2A3A">
      <w:start w:val="1"/>
      <w:numFmt w:val="bullet"/>
      <w:lvlText w:val=""/>
      <w:lvlJc w:val="left"/>
      <w:pPr>
        <w:ind w:left="4320" w:hanging="360"/>
      </w:pPr>
      <w:rPr>
        <w:rFonts w:ascii="Wingdings" w:hAnsi="Wingdings" w:hint="default"/>
      </w:rPr>
    </w:lvl>
    <w:lvl w:ilvl="6" w:tplc="665090BA">
      <w:start w:val="1"/>
      <w:numFmt w:val="bullet"/>
      <w:lvlText w:val=""/>
      <w:lvlJc w:val="left"/>
      <w:pPr>
        <w:ind w:left="5040" w:hanging="360"/>
      </w:pPr>
      <w:rPr>
        <w:rFonts w:ascii="Symbol" w:hAnsi="Symbol" w:hint="default"/>
      </w:rPr>
    </w:lvl>
    <w:lvl w:ilvl="7" w:tplc="CA104FDC">
      <w:start w:val="1"/>
      <w:numFmt w:val="bullet"/>
      <w:lvlText w:val="o"/>
      <w:lvlJc w:val="left"/>
      <w:pPr>
        <w:ind w:left="5760" w:hanging="360"/>
      </w:pPr>
      <w:rPr>
        <w:rFonts w:ascii="Courier New" w:hAnsi="Courier New" w:hint="default"/>
      </w:rPr>
    </w:lvl>
    <w:lvl w:ilvl="8" w:tplc="0F686D42">
      <w:start w:val="1"/>
      <w:numFmt w:val="bullet"/>
      <w:lvlText w:val=""/>
      <w:lvlJc w:val="left"/>
      <w:pPr>
        <w:ind w:left="6480" w:hanging="360"/>
      </w:pPr>
      <w:rPr>
        <w:rFonts w:ascii="Wingdings" w:hAnsi="Wingdings" w:hint="default"/>
      </w:rPr>
    </w:lvl>
  </w:abstractNum>
  <w:abstractNum w:abstractNumId="4" w15:restartNumberingAfterBreak="0">
    <w:nsid w:val="0E3D71A5"/>
    <w:multiLevelType w:val="hybridMultilevel"/>
    <w:tmpl w:val="F5EE5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6457D"/>
    <w:multiLevelType w:val="hybridMultilevel"/>
    <w:tmpl w:val="5EA8E992"/>
    <w:lvl w:ilvl="0" w:tplc="1304F3C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410D6"/>
    <w:multiLevelType w:val="hybridMultilevel"/>
    <w:tmpl w:val="91FE3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996889"/>
    <w:multiLevelType w:val="hybridMultilevel"/>
    <w:tmpl w:val="0C0C62E2"/>
    <w:lvl w:ilvl="0" w:tplc="4C7249C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1D3FEF"/>
    <w:multiLevelType w:val="hybridMultilevel"/>
    <w:tmpl w:val="039AA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45671C"/>
    <w:multiLevelType w:val="hybridMultilevel"/>
    <w:tmpl w:val="F30A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9A2492"/>
    <w:multiLevelType w:val="hybridMultilevel"/>
    <w:tmpl w:val="5A48E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6F7334"/>
    <w:multiLevelType w:val="hybridMultilevel"/>
    <w:tmpl w:val="AF5292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77021D7"/>
    <w:multiLevelType w:val="hybridMultilevel"/>
    <w:tmpl w:val="22B6EF4C"/>
    <w:lvl w:ilvl="0" w:tplc="FFFFFFFF">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9A267BA"/>
    <w:multiLevelType w:val="hybridMultilevel"/>
    <w:tmpl w:val="4C523C26"/>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AC627D8"/>
    <w:multiLevelType w:val="hybridMultilevel"/>
    <w:tmpl w:val="BEF2C0BE"/>
    <w:lvl w:ilvl="0" w:tplc="6F36C642">
      <w:start w:val="20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B00CA0"/>
    <w:multiLevelType w:val="hybridMultilevel"/>
    <w:tmpl w:val="0F9A0E20"/>
    <w:lvl w:ilvl="0" w:tplc="FFFFFFFF">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F6D1448"/>
    <w:multiLevelType w:val="hybridMultilevel"/>
    <w:tmpl w:val="9528A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F47370"/>
    <w:multiLevelType w:val="hybridMultilevel"/>
    <w:tmpl w:val="CF601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726024"/>
    <w:multiLevelType w:val="hybridMultilevel"/>
    <w:tmpl w:val="01D47BDC"/>
    <w:lvl w:ilvl="0" w:tplc="2C0C273E">
      <w:start w:val="1"/>
      <w:numFmt w:val="bullet"/>
      <w:lvlText w:val=""/>
      <w:lvlJc w:val="left"/>
      <w:pPr>
        <w:ind w:left="360" w:hanging="360"/>
      </w:pPr>
      <w:rPr>
        <w:rFonts w:ascii="Symbol" w:hAnsi="Symbol" w:hint="default"/>
      </w:rPr>
    </w:lvl>
    <w:lvl w:ilvl="1" w:tplc="D5A0155C">
      <w:start w:val="1"/>
      <w:numFmt w:val="bullet"/>
      <w:lvlText w:val="o"/>
      <w:lvlJc w:val="left"/>
      <w:pPr>
        <w:ind w:left="1080" w:hanging="360"/>
      </w:pPr>
      <w:rPr>
        <w:rFonts w:ascii="Courier New" w:hAnsi="Courier New" w:hint="default"/>
      </w:rPr>
    </w:lvl>
    <w:lvl w:ilvl="2" w:tplc="F230C5EE">
      <w:start w:val="1"/>
      <w:numFmt w:val="bullet"/>
      <w:lvlText w:val=""/>
      <w:lvlJc w:val="left"/>
      <w:pPr>
        <w:ind w:left="1800" w:hanging="360"/>
      </w:pPr>
      <w:rPr>
        <w:rFonts w:ascii="Wingdings" w:hAnsi="Wingdings" w:hint="default"/>
      </w:rPr>
    </w:lvl>
    <w:lvl w:ilvl="3" w:tplc="CAF829AE">
      <w:start w:val="1"/>
      <w:numFmt w:val="bullet"/>
      <w:lvlText w:val=""/>
      <w:lvlJc w:val="left"/>
      <w:pPr>
        <w:ind w:left="2520" w:hanging="360"/>
      </w:pPr>
      <w:rPr>
        <w:rFonts w:ascii="Symbol" w:hAnsi="Symbol" w:hint="default"/>
      </w:rPr>
    </w:lvl>
    <w:lvl w:ilvl="4" w:tplc="54406C3C">
      <w:start w:val="1"/>
      <w:numFmt w:val="bullet"/>
      <w:lvlText w:val="o"/>
      <w:lvlJc w:val="left"/>
      <w:pPr>
        <w:ind w:left="3240" w:hanging="360"/>
      </w:pPr>
      <w:rPr>
        <w:rFonts w:ascii="Courier New" w:hAnsi="Courier New" w:hint="default"/>
      </w:rPr>
    </w:lvl>
    <w:lvl w:ilvl="5" w:tplc="AF2CA73E">
      <w:start w:val="1"/>
      <w:numFmt w:val="bullet"/>
      <w:lvlText w:val=""/>
      <w:lvlJc w:val="left"/>
      <w:pPr>
        <w:ind w:left="3960" w:hanging="360"/>
      </w:pPr>
      <w:rPr>
        <w:rFonts w:ascii="Wingdings" w:hAnsi="Wingdings" w:hint="default"/>
      </w:rPr>
    </w:lvl>
    <w:lvl w:ilvl="6" w:tplc="87925A42">
      <w:start w:val="1"/>
      <w:numFmt w:val="bullet"/>
      <w:lvlText w:val=""/>
      <w:lvlJc w:val="left"/>
      <w:pPr>
        <w:ind w:left="4680" w:hanging="360"/>
      </w:pPr>
      <w:rPr>
        <w:rFonts w:ascii="Symbol" w:hAnsi="Symbol" w:hint="default"/>
      </w:rPr>
    </w:lvl>
    <w:lvl w:ilvl="7" w:tplc="0E2C17FE">
      <w:start w:val="1"/>
      <w:numFmt w:val="bullet"/>
      <w:lvlText w:val="o"/>
      <w:lvlJc w:val="left"/>
      <w:pPr>
        <w:ind w:left="5400" w:hanging="360"/>
      </w:pPr>
      <w:rPr>
        <w:rFonts w:ascii="Courier New" w:hAnsi="Courier New" w:hint="default"/>
      </w:rPr>
    </w:lvl>
    <w:lvl w:ilvl="8" w:tplc="EFFC3C64">
      <w:start w:val="1"/>
      <w:numFmt w:val="bullet"/>
      <w:lvlText w:val=""/>
      <w:lvlJc w:val="left"/>
      <w:pPr>
        <w:ind w:left="6120" w:hanging="360"/>
      </w:pPr>
      <w:rPr>
        <w:rFonts w:ascii="Wingdings" w:hAnsi="Wingdings" w:hint="default"/>
      </w:rPr>
    </w:lvl>
  </w:abstractNum>
  <w:abstractNum w:abstractNumId="19" w15:restartNumberingAfterBreak="0">
    <w:nsid w:val="3BF15075"/>
    <w:multiLevelType w:val="multilevel"/>
    <w:tmpl w:val="9C1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C024E18"/>
    <w:multiLevelType w:val="hybridMultilevel"/>
    <w:tmpl w:val="892A8E3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3CEC7907"/>
    <w:multiLevelType w:val="hybridMultilevel"/>
    <w:tmpl w:val="8ABCD6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D9F4CDD"/>
    <w:multiLevelType w:val="hybridMultilevel"/>
    <w:tmpl w:val="134228CC"/>
    <w:lvl w:ilvl="0" w:tplc="14F68D9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312982"/>
    <w:multiLevelType w:val="hybridMultilevel"/>
    <w:tmpl w:val="4C62E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A24D69"/>
    <w:multiLevelType w:val="hybridMultilevel"/>
    <w:tmpl w:val="BA94645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CA34493"/>
    <w:multiLevelType w:val="hybridMultilevel"/>
    <w:tmpl w:val="DDEC53F8"/>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20547BB"/>
    <w:multiLevelType w:val="hybridMultilevel"/>
    <w:tmpl w:val="453A46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731894"/>
    <w:multiLevelType w:val="hybridMultilevel"/>
    <w:tmpl w:val="2D206990"/>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DE446FA"/>
    <w:multiLevelType w:val="hybridMultilevel"/>
    <w:tmpl w:val="3C2CB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137016"/>
    <w:multiLevelType w:val="hybridMultilevel"/>
    <w:tmpl w:val="7BAE5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EB285F"/>
    <w:multiLevelType w:val="hybridMultilevel"/>
    <w:tmpl w:val="91ECA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127FD1"/>
    <w:multiLevelType w:val="hybridMultilevel"/>
    <w:tmpl w:val="131207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75D2B65"/>
    <w:multiLevelType w:val="hybridMultilevel"/>
    <w:tmpl w:val="DD746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8653DD"/>
    <w:multiLevelType w:val="hybridMultilevel"/>
    <w:tmpl w:val="1B98088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690F4520"/>
    <w:multiLevelType w:val="hybridMultilevel"/>
    <w:tmpl w:val="7078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0418AF"/>
    <w:multiLevelType w:val="hybridMultilevel"/>
    <w:tmpl w:val="3C5ADD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29354ED"/>
    <w:multiLevelType w:val="multilevel"/>
    <w:tmpl w:val="AF106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3CB0C4E"/>
    <w:multiLevelType w:val="hybridMultilevel"/>
    <w:tmpl w:val="E77AB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6F4C38"/>
    <w:multiLevelType w:val="hybridMultilevel"/>
    <w:tmpl w:val="93768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601B10"/>
    <w:multiLevelType w:val="hybridMultilevel"/>
    <w:tmpl w:val="08B09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A4351B"/>
    <w:multiLevelType w:val="hybridMultilevel"/>
    <w:tmpl w:val="21729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F02667"/>
    <w:multiLevelType w:val="hybridMultilevel"/>
    <w:tmpl w:val="D86E8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7A546A"/>
    <w:multiLevelType w:val="hybridMultilevel"/>
    <w:tmpl w:val="3EE8AF96"/>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6071D9"/>
    <w:multiLevelType w:val="hybridMultilevel"/>
    <w:tmpl w:val="E2C40DB0"/>
    <w:lvl w:ilvl="0" w:tplc="707EF6C0">
      <w:start w:val="1"/>
      <w:numFmt w:val="bullet"/>
      <w:lvlText w:val=""/>
      <w:lvlJc w:val="left"/>
      <w:pPr>
        <w:ind w:left="720" w:hanging="360"/>
      </w:pPr>
      <w:rPr>
        <w:rFonts w:ascii="Symbol" w:hAnsi="Symbol" w:hint="default"/>
      </w:rPr>
    </w:lvl>
    <w:lvl w:ilvl="1" w:tplc="E77E55B2">
      <w:start w:val="1"/>
      <w:numFmt w:val="bullet"/>
      <w:lvlText w:val=""/>
      <w:lvlJc w:val="left"/>
      <w:pPr>
        <w:ind w:left="1440" w:hanging="360"/>
      </w:pPr>
      <w:rPr>
        <w:rFonts w:ascii="Symbol" w:hAnsi="Symbol" w:hint="default"/>
      </w:rPr>
    </w:lvl>
    <w:lvl w:ilvl="2" w:tplc="2034C7E8">
      <w:start w:val="1"/>
      <w:numFmt w:val="bullet"/>
      <w:lvlText w:val=""/>
      <w:lvlJc w:val="left"/>
      <w:pPr>
        <w:ind w:left="2160" w:hanging="360"/>
      </w:pPr>
      <w:rPr>
        <w:rFonts w:ascii="Wingdings" w:hAnsi="Wingdings" w:hint="default"/>
      </w:rPr>
    </w:lvl>
    <w:lvl w:ilvl="3" w:tplc="B9489128">
      <w:start w:val="1"/>
      <w:numFmt w:val="bullet"/>
      <w:lvlText w:val=""/>
      <w:lvlJc w:val="left"/>
      <w:pPr>
        <w:ind w:left="2880" w:hanging="360"/>
      </w:pPr>
      <w:rPr>
        <w:rFonts w:ascii="Symbol" w:hAnsi="Symbol" w:hint="default"/>
      </w:rPr>
    </w:lvl>
    <w:lvl w:ilvl="4" w:tplc="2710DD64">
      <w:start w:val="1"/>
      <w:numFmt w:val="bullet"/>
      <w:lvlText w:val="o"/>
      <w:lvlJc w:val="left"/>
      <w:pPr>
        <w:ind w:left="3600" w:hanging="360"/>
      </w:pPr>
      <w:rPr>
        <w:rFonts w:ascii="Courier New" w:hAnsi="Courier New" w:hint="default"/>
      </w:rPr>
    </w:lvl>
    <w:lvl w:ilvl="5" w:tplc="E9A620A8">
      <w:start w:val="1"/>
      <w:numFmt w:val="bullet"/>
      <w:lvlText w:val=""/>
      <w:lvlJc w:val="left"/>
      <w:pPr>
        <w:ind w:left="4320" w:hanging="360"/>
      </w:pPr>
      <w:rPr>
        <w:rFonts w:ascii="Wingdings" w:hAnsi="Wingdings" w:hint="default"/>
      </w:rPr>
    </w:lvl>
    <w:lvl w:ilvl="6" w:tplc="4F5A8C18">
      <w:start w:val="1"/>
      <w:numFmt w:val="bullet"/>
      <w:lvlText w:val=""/>
      <w:lvlJc w:val="left"/>
      <w:pPr>
        <w:ind w:left="5040" w:hanging="360"/>
      </w:pPr>
      <w:rPr>
        <w:rFonts w:ascii="Symbol" w:hAnsi="Symbol" w:hint="default"/>
      </w:rPr>
    </w:lvl>
    <w:lvl w:ilvl="7" w:tplc="F300060A">
      <w:start w:val="1"/>
      <w:numFmt w:val="bullet"/>
      <w:lvlText w:val="o"/>
      <w:lvlJc w:val="left"/>
      <w:pPr>
        <w:ind w:left="5760" w:hanging="360"/>
      </w:pPr>
      <w:rPr>
        <w:rFonts w:ascii="Courier New" w:hAnsi="Courier New" w:hint="default"/>
      </w:rPr>
    </w:lvl>
    <w:lvl w:ilvl="8" w:tplc="2200AA46">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13"/>
  </w:num>
  <w:num w:numId="4">
    <w:abstractNumId w:val="37"/>
  </w:num>
  <w:num w:numId="5">
    <w:abstractNumId w:val="0"/>
  </w:num>
  <w:num w:numId="6">
    <w:abstractNumId w:val="28"/>
  </w:num>
  <w:num w:numId="7">
    <w:abstractNumId w:val="4"/>
  </w:num>
  <w:num w:numId="8">
    <w:abstractNumId w:val="30"/>
  </w:num>
  <w:num w:numId="9">
    <w:abstractNumId w:val="39"/>
  </w:num>
  <w:num w:numId="10">
    <w:abstractNumId w:val="17"/>
  </w:num>
  <w:num w:numId="11">
    <w:abstractNumId w:val="1"/>
  </w:num>
  <w:num w:numId="12">
    <w:abstractNumId w:val="8"/>
  </w:num>
  <w:num w:numId="13">
    <w:abstractNumId w:val="16"/>
  </w:num>
  <w:num w:numId="14">
    <w:abstractNumId w:val="26"/>
  </w:num>
  <w:num w:numId="15">
    <w:abstractNumId w:val="40"/>
  </w:num>
  <w:num w:numId="16">
    <w:abstractNumId w:val="35"/>
  </w:num>
  <w:num w:numId="17">
    <w:abstractNumId w:val="11"/>
  </w:num>
  <w:num w:numId="18">
    <w:abstractNumId w:val="6"/>
  </w:num>
  <w:num w:numId="19">
    <w:abstractNumId w:val="19"/>
  </w:num>
  <w:num w:numId="20">
    <w:abstractNumId w:val="36"/>
  </w:num>
  <w:num w:numId="21">
    <w:abstractNumId w:val="18"/>
  </w:num>
  <w:num w:numId="22">
    <w:abstractNumId w:val="31"/>
  </w:num>
  <w:num w:numId="23">
    <w:abstractNumId w:val="32"/>
  </w:num>
  <w:num w:numId="24">
    <w:abstractNumId w:val="33"/>
  </w:num>
  <w:num w:numId="25">
    <w:abstractNumId w:val="3"/>
  </w:num>
  <w:num w:numId="26">
    <w:abstractNumId w:val="43"/>
  </w:num>
  <w:num w:numId="27">
    <w:abstractNumId w:val="42"/>
  </w:num>
  <w:num w:numId="28">
    <w:abstractNumId w:val="12"/>
  </w:num>
  <w:num w:numId="29">
    <w:abstractNumId w:val="25"/>
  </w:num>
  <w:num w:numId="30">
    <w:abstractNumId w:val="27"/>
  </w:num>
  <w:num w:numId="31">
    <w:abstractNumId w:val="15"/>
  </w:num>
  <w:num w:numId="32">
    <w:abstractNumId w:val="2"/>
  </w:num>
  <w:num w:numId="33">
    <w:abstractNumId w:val="38"/>
  </w:num>
  <w:num w:numId="34">
    <w:abstractNumId w:val="5"/>
  </w:num>
  <w:num w:numId="35">
    <w:abstractNumId w:val="14"/>
  </w:num>
  <w:num w:numId="36">
    <w:abstractNumId w:val="24"/>
  </w:num>
  <w:num w:numId="37">
    <w:abstractNumId w:val="9"/>
  </w:num>
  <w:num w:numId="38">
    <w:abstractNumId w:val="21"/>
  </w:num>
  <w:num w:numId="39">
    <w:abstractNumId w:val="41"/>
  </w:num>
  <w:num w:numId="40">
    <w:abstractNumId w:val="22"/>
  </w:num>
  <w:num w:numId="41">
    <w:abstractNumId w:val="34"/>
  </w:num>
  <w:num w:numId="42">
    <w:abstractNumId w:val="10"/>
  </w:num>
  <w:num w:numId="43">
    <w:abstractNumId w:val="7"/>
  </w:num>
  <w:num w:numId="44">
    <w:abstractNumId w:val="2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5B5"/>
    <w:rsid w:val="00011B71"/>
    <w:rsid w:val="00015EA0"/>
    <w:rsid w:val="000203F4"/>
    <w:rsid w:val="00045F9B"/>
    <w:rsid w:val="0004741F"/>
    <w:rsid w:val="00061684"/>
    <w:rsid w:val="00067DFE"/>
    <w:rsid w:val="00077002"/>
    <w:rsid w:val="00080F57"/>
    <w:rsid w:val="00090A5F"/>
    <w:rsid w:val="000948B5"/>
    <w:rsid w:val="000A089A"/>
    <w:rsid w:val="000A7583"/>
    <w:rsid w:val="000B00E1"/>
    <w:rsid w:val="000D700A"/>
    <w:rsid w:val="000F274A"/>
    <w:rsid w:val="00101C0A"/>
    <w:rsid w:val="00104A6A"/>
    <w:rsid w:val="00110213"/>
    <w:rsid w:val="00116D12"/>
    <w:rsid w:val="001272C7"/>
    <w:rsid w:val="00127372"/>
    <w:rsid w:val="00127CF2"/>
    <w:rsid w:val="00131976"/>
    <w:rsid w:val="0013500E"/>
    <w:rsid w:val="00136B97"/>
    <w:rsid w:val="00145233"/>
    <w:rsid w:val="001625A2"/>
    <w:rsid w:val="00172D29"/>
    <w:rsid w:val="00176D3A"/>
    <w:rsid w:val="00184F11"/>
    <w:rsid w:val="0019235F"/>
    <w:rsid w:val="00195978"/>
    <w:rsid w:val="00197013"/>
    <w:rsid w:val="001A2A64"/>
    <w:rsid w:val="001C3D11"/>
    <w:rsid w:val="001D0AB0"/>
    <w:rsid w:val="001E20F2"/>
    <w:rsid w:val="001F4979"/>
    <w:rsid w:val="001F5CED"/>
    <w:rsid w:val="0020312E"/>
    <w:rsid w:val="00211696"/>
    <w:rsid w:val="002149B1"/>
    <w:rsid w:val="00221B65"/>
    <w:rsid w:val="00222E4F"/>
    <w:rsid w:val="002247B4"/>
    <w:rsid w:val="002339AB"/>
    <w:rsid w:val="002379EB"/>
    <w:rsid w:val="00243E4D"/>
    <w:rsid w:val="0024562D"/>
    <w:rsid w:val="00250202"/>
    <w:rsid w:val="00251A8F"/>
    <w:rsid w:val="00264BB4"/>
    <w:rsid w:val="00274213"/>
    <w:rsid w:val="00276D45"/>
    <w:rsid w:val="0028216B"/>
    <w:rsid w:val="0028341D"/>
    <w:rsid w:val="002861B8"/>
    <w:rsid w:val="002957C6"/>
    <w:rsid w:val="002A7B0D"/>
    <w:rsid w:val="002B0D20"/>
    <w:rsid w:val="002B1BCA"/>
    <w:rsid w:val="002B2152"/>
    <w:rsid w:val="002B2DB3"/>
    <w:rsid w:val="002B366C"/>
    <w:rsid w:val="002B383D"/>
    <w:rsid w:val="002C2970"/>
    <w:rsid w:val="002F0DCF"/>
    <w:rsid w:val="002F131F"/>
    <w:rsid w:val="002F369B"/>
    <w:rsid w:val="0030482F"/>
    <w:rsid w:val="00306626"/>
    <w:rsid w:val="003177B9"/>
    <w:rsid w:val="0032027A"/>
    <w:rsid w:val="003254B2"/>
    <w:rsid w:val="003406AD"/>
    <w:rsid w:val="00342E7C"/>
    <w:rsid w:val="003433E1"/>
    <w:rsid w:val="003435CF"/>
    <w:rsid w:val="0034490C"/>
    <w:rsid w:val="00352106"/>
    <w:rsid w:val="00354EAA"/>
    <w:rsid w:val="00365662"/>
    <w:rsid w:val="00377C1A"/>
    <w:rsid w:val="00380D36"/>
    <w:rsid w:val="00382641"/>
    <w:rsid w:val="003A083B"/>
    <w:rsid w:val="003A65C0"/>
    <w:rsid w:val="003B1420"/>
    <w:rsid w:val="003C5376"/>
    <w:rsid w:val="003D0060"/>
    <w:rsid w:val="003D2079"/>
    <w:rsid w:val="003D6388"/>
    <w:rsid w:val="003E1362"/>
    <w:rsid w:val="003E43DE"/>
    <w:rsid w:val="003E75A5"/>
    <w:rsid w:val="003F447D"/>
    <w:rsid w:val="003F6482"/>
    <w:rsid w:val="00416BBB"/>
    <w:rsid w:val="00421A41"/>
    <w:rsid w:val="004255C6"/>
    <w:rsid w:val="00430FFD"/>
    <w:rsid w:val="00436FEE"/>
    <w:rsid w:val="00441076"/>
    <w:rsid w:val="00447774"/>
    <w:rsid w:val="004541EA"/>
    <w:rsid w:val="00464DB0"/>
    <w:rsid w:val="00465F52"/>
    <w:rsid w:val="00486461"/>
    <w:rsid w:val="0049080E"/>
    <w:rsid w:val="004953B6"/>
    <w:rsid w:val="004A2A56"/>
    <w:rsid w:val="004C55D4"/>
    <w:rsid w:val="004C78E2"/>
    <w:rsid w:val="004D7BFD"/>
    <w:rsid w:val="004F376D"/>
    <w:rsid w:val="004F4DFE"/>
    <w:rsid w:val="00500825"/>
    <w:rsid w:val="00506462"/>
    <w:rsid w:val="005071B1"/>
    <w:rsid w:val="00512112"/>
    <w:rsid w:val="00512EE1"/>
    <w:rsid w:val="0051397A"/>
    <w:rsid w:val="005201B8"/>
    <w:rsid w:val="00526215"/>
    <w:rsid w:val="0053480B"/>
    <w:rsid w:val="00535A09"/>
    <w:rsid w:val="005414F0"/>
    <w:rsid w:val="00543E50"/>
    <w:rsid w:val="00544320"/>
    <w:rsid w:val="00544FA5"/>
    <w:rsid w:val="00551DE6"/>
    <w:rsid w:val="0057303B"/>
    <w:rsid w:val="00580207"/>
    <w:rsid w:val="00586FF9"/>
    <w:rsid w:val="005876D9"/>
    <w:rsid w:val="00590061"/>
    <w:rsid w:val="00591992"/>
    <w:rsid w:val="005931B8"/>
    <w:rsid w:val="005A330A"/>
    <w:rsid w:val="005A4857"/>
    <w:rsid w:val="005B5764"/>
    <w:rsid w:val="005C1813"/>
    <w:rsid w:val="005C52BD"/>
    <w:rsid w:val="005C6ADE"/>
    <w:rsid w:val="005D06B1"/>
    <w:rsid w:val="005D264C"/>
    <w:rsid w:val="005D77FA"/>
    <w:rsid w:val="005E2D2A"/>
    <w:rsid w:val="005E6139"/>
    <w:rsid w:val="005F00CF"/>
    <w:rsid w:val="005F0E4F"/>
    <w:rsid w:val="005F1313"/>
    <w:rsid w:val="005F46A7"/>
    <w:rsid w:val="00617010"/>
    <w:rsid w:val="00617E9E"/>
    <w:rsid w:val="00637389"/>
    <w:rsid w:val="00643C73"/>
    <w:rsid w:val="00655516"/>
    <w:rsid w:val="00655699"/>
    <w:rsid w:val="006709F7"/>
    <w:rsid w:val="00672F80"/>
    <w:rsid w:val="006742E0"/>
    <w:rsid w:val="006748EB"/>
    <w:rsid w:val="00684599"/>
    <w:rsid w:val="0068679F"/>
    <w:rsid w:val="00692659"/>
    <w:rsid w:val="006944BA"/>
    <w:rsid w:val="006959E5"/>
    <w:rsid w:val="00695A44"/>
    <w:rsid w:val="00697268"/>
    <w:rsid w:val="006B1119"/>
    <w:rsid w:val="006C0474"/>
    <w:rsid w:val="006D3C2C"/>
    <w:rsid w:val="006D4942"/>
    <w:rsid w:val="006D58F6"/>
    <w:rsid w:val="006E20A8"/>
    <w:rsid w:val="006F517C"/>
    <w:rsid w:val="00702658"/>
    <w:rsid w:val="00704E50"/>
    <w:rsid w:val="00713CC4"/>
    <w:rsid w:val="00716F97"/>
    <w:rsid w:val="00721FDF"/>
    <w:rsid w:val="00730E7F"/>
    <w:rsid w:val="00733343"/>
    <w:rsid w:val="00737278"/>
    <w:rsid w:val="007379C5"/>
    <w:rsid w:val="007717BD"/>
    <w:rsid w:val="00776F1F"/>
    <w:rsid w:val="00777056"/>
    <w:rsid w:val="00780E76"/>
    <w:rsid w:val="00791D04"/>
    <w:rsid w:val="007A26AD"/>
    <w:rsid w:val="007B0A46"/>
    <w:rsid w:val="007B2059"/>
    <w:rsid w:val="007C5034"/>
    <w:rsid w:val="007D6F29"/>
    <w:rsid w:val="007E0393"/>
    <w:rsid w:val="007E0724"/>
    <w:rsid w:val="007E0CFE"/>
    <w:rsid w:val="007E161C"/>
    <w:rsid w:val="007E1B75"/>
    <w:rsid w:val="007E7835"/>
    <w:rsid w:val="007F51DF"/>
    <w:rsid w:val="00810D4D"/>
    <w:rsid w:val="00812146"/>
    <w:rsid w:val="0081390A"/>
    <w:rsid w:val="008261DB"/>
    <w:rsid w:val="00843FF2"/>
    <w:rsid w:val="00864AD6"/>
    <w:rsid w:val="008721B0"/>
    <w:rsid w:val="00875D1C"/>
    <w:rsid w:val="008923CB"/>
    <w:rsid w:val="008B311C"/>
    <w:rsid w:val="008B6087"/>
    <w:rsid w:val="008D5935"/>
    <w:rsid w:val="008E58CF"/>
    <w:rsid w:val="008E6AF0"/>
    <w:rsid w:val="008F2111"/>
    <w:rsid w:val="009048A4"/>
    <w:rsid w:val="00917C0D"/>
    <w:rsid w:val="0092323B"/>
    <w:rsid w:val="00925429"/>
    <w:rsid w:val="00944E28"/>
    <w:rsid w:val="00951827"/>
    <w:rsid w:val="00960F87"/>
    <w:rsid w:val="009667F4"/>
    <w:rsid w:val="00967B8E"/>
    <w:rsid w:val="00967FFD"/>
    <w:rsid w:val="00975CE1"/>
    <w:rsid w:val="009773A3"/>
    <w:rsid w:val="00982502"/>
    <w:rsid w:val="00986672"/>
    <w:rsid w:val="009A1788"/>
    <w:rsid w:val="009A24FA"/>
    <w:rsid w:val="009A2AD2"/>
    <w:rsid w:val="009A61E5"/>
    <w:rsid w:val="009B34C6"/>
    <w:rsid w:val="009B4B8C"/>
    <w:rsid w:val="009B5B68"/>
    <w:rsid w:val="009C6FC8"/>
    <w:rsid w:val="009C76DA"/>
    <w:rsid w:val="009D2D14"/>
    <w:rsid w:val="009D3662"/>
    <w:rsid w:val="009F3FC4"/>
    <w:rsid w:val="009F67B8"/>
    <w:rsid w:val="009F6851"/>
    <w:rsid w:val="00A1185A"/>
    <w:rsid w:val="00A16542"/>
    <w:rsid w:val="00A1696B"/>
    <w:rsid w:val="00A2698F"/>
    <w:rsid w:val="00A3102F"/>
    <w:rsid w:val="00A530D9"/>
    <w:rsid w:val="00A56650"/>
    <w:rsid w:val="00A75FB3"/>
    <w:rsid w:val="00A770D9"/>
    <w:rsid w:val="00A80EB2"/>
    <w:rsid w:val="00A9211A"/>
    <w:rsid w:val="00AA3381"/>
    <w:rsid w:val="00AA64F4"/>
    <w:rsid w:val="00AA7F05"/>
    <w:rsid w:val="00AB6450"/>
    <w:rsid w:val="00AB71D1"/>
    <w:rsid w:val="00AD470D"/>
    <w:rsid w:val="00AD4A4F"/>
    <w:rsid w:val="00AF43D7"/>
    <w:rsid w:val="00AF7B7F"/>
    <w:rsid w:val="00B020D0"/>
    <w:rsid w:val="00B031EB"/>
    <w:rsid w:val="00B07135"/>
    <w:rsid w:val="00B07606"/>
    <w:rsid w:val="00B23901"/>
    <w:rsid w:val="00B305B5"/>
    <w:rsid w:val="00B349B0"/>
    <w:rsid w:val="00B36F8B"/>
    <w:rsid w:val="00B40EEC"/>
    <w:rsid w:val="00B4119E"/>
    <w:rsid w:val="00B44169"/>
    <w:rsid w:val="00B505FC"/>
    <w:rsid w:val="00B50A9A"/>
    <w:rsid w:val="00B621B3"/>
    <w:rsid w:val="00B65B49"/>
    <w:rsid w:val="00B75A7A"/>
    <w:rsid w:val="00B87A19"/>
    <w:rsid w:val="00B979EC"/>
    <w:rsid w:val="00BA4D11"/>
    <w:rsid w:val="00BB039E"/>
    <w:rsid w:val="00BC1D48"/>
    <w:rsid w:val="00BC2854"/>
    <w:rsid w:val="00BC774A"/>
    <w:rsid w:val="00BE4683"/>
    <w:rsid w:val="00BE6ACA"/>
    <w:rsid w:val="00BE6B4B"/>
    <w:rsid w:val="00BE6DD0"/>
    <w:rsid w:val="00BF0EE2"/>
    <w:rsid w:val="00BF36AA"/>
    <w:rsid w:val="00BF5511"/>
    <w:rsid w:val="00C05F61"/>
    <w:rsid w:val="00C40892"/>
    <w:rsid w:val="00C42EA5"/>
    <w:rsid w:val="00C63E9F"/>
    <w:rsid w:val="00C711C2"/>
    <w:rsid w:val="00C7231C"/>
    <w:rsid w:val="00C727A4"/>
    <w:rsid w:val="00C74DFC"/>
    <w:rsid w:val="00C864AE"/>
    <w:rsid w:val="00C963D5"/>
    <w:rsid w:val="00C972A3"/>
    <w:rsid w:val="00CA3860"/>
    <w:rsid w:val="00CA457C"/>
    <w:rsid w:val="00CB2EC8"/>
    <w:rsid w:val="00CB7650"/>
    <w:rsid w:val="00CC1F4D"/>
    <w:rsid w:val="00CC6AF5"/>
    <w:rsid w:val="00CD17BC"/>
    <w:rsid w:val="00CD48B2"/>
    <w:rsid w:val="00CD5C63"/>
    <w:rsid w:val="00CE370A"/>
    <w:rsid w:val="00CF05BC"/>
    <w:rsid w:val="00CF173D"/>
    <w:rsid w:val="00D00589"/>
    <w:rsid w:val="00D04287"/>
    <w:rsid w:val="00D14810"/>
    <w:rsid w:val="00D25F0E"/>
    <w:rsid w:val="00D3317E"/>
    <w:rsid w:val="00D419EF"/>
    <w:rsid w:val="00D423C1"/>
    <w:rsid w:val="00D57392"/>
    <w:rsid w:val="00D65F41"/>
    <w:rsid w:val="00D72525"/>
    <w:rsid w:val="00D907DF"/>
    <w:rsid w:val="00DC1CB7"/>
    <w:rsid w:val="00DC65BE"/>
    <w:rsid w:val="00DC6F76"/>
    <w:rsid w:val="00DD25FD"/>
    <w:rsid w:val="00DD263B"/>
    <w:rsid w:val="00DF3F86"/>
    <w:rsid w:val="00E010E2"/>
    <w:rsid w:val="00E025B0"/>
    <w:rsid w:val="00E20291"/>
    <w:rsid w:val="00E21EF3"/>
    <w:rsid w:val="00E434E9"/>
    <w:rsid w:val="00E47377"/>
    <w:rsid w:val="00E5378E"/>
    <w:rsid w:val="00E54E41"/>
    <w:rsid w:val="00E63B4E"/>
    <w:rsid w:val="00E74441"/>
    <w:rsid w:val="00E7778B"/>
    <w:rsid w:val="00E91E76"/>
    <w:rsid w:val="00E97E48"/>
    <w:rsid w:val="00EA3652"/>
    <w:rsid w:val="00EA72A7"/>
    <w:rsid w:val="00EA7390"/>
    <w:rsid w:val="00EB0AB0"/>
    <w:rsid w:val="00EB3F42"/>
    <w:rsid w:val="00EC7993"/>
    <w:rsid w:val="00ED7819"/>
    <w:rsid w:val="00EF2302"/>
    <w:rsid w:val="00F05767"/>
    <w:rsid w:val="00F14710"/>
    <w:rsid w:val="00F16DFD"/>
    <w:rsid w:val="00F2129D"/>
    <w:rsid w:val="00F239C6"/>
    <w:rsid w:val="00F266D4"/>
    <w:rsid w:val="00F33B75"/>
    <w:rsid w:val="00F343DB"/>
    <w:rsid w:val="00F52868"/>
    <w:rsid w:val="00F640AF"/>
    <w:rsid w:val="00F67097"/>
    <w:rsid w:val="00F744C0"/>
    <w:rsid w:val="00F86944"/>
    <w:rsid w:val="00F96964"/>
    <w:rsid w:val="00FA1EB3"/>
    <w:rsid w:val="00FD3785"/>
    <w:rsid w:val="00FD5482"/>
    <w:rsid w:val="00FD5FEA"/>
    <w:rsid w:val="00FE5633"/>
    <w:rsid w:val="00FE6FCB"/>
    <w:rsid w:val="00FF2599"/>
    <w:rsid w:val="00FF6F2C"/>
    <w:rsid w:val="08085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CD5F1"/>
  <w15:chartTrackingRefBased/>
  <w15:docId w15:val="{ADA147AC-35FF-472A-8D82-7AF4C7196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4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621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F0E4F"/>
    <w:pPr>
      <w:keepNext/>
      <w:keepLines/>
      <w:spacing w:before="40"/>
      <w:outlineLvl w:val="1"/>
    </w:pPr>
    <w:rPr>
      <w:rFonts w:asciiTheme="majorHAnsi" w:eastAsiaTheme="majorEastAsia" w:hAnsiTheme="majorHAnsi" w:cstheme="majorBidi"/>
      <w:color w:val="2F5496" w:themeColor="accent1" w:themeShade="BF"/>
      <w:sz w:val="28"/>
      <w:szCs w:val="26"/>
    </w:rPr>
  </w:style>
  <w:style w:type="paragraph" w:styleId="Heading3">
    <w:name w:val="heading 3"/>
    <w:basedOn w:val="Normal"/>
    <w:link w:val="Heading3Char"/>
    <w:uiPriority w:val="9"/>
    <w:qFormat/>
    <w:rsid w:val="0073727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542"/>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067DFE"/>
    <w:rPr>
      <w:color w:val="0563C1"/>
      <w:u w:val="single"/>
    </w:rPr>
  </w:style>
  <w:style w:type="paragraph" w:customStyle="1" w:styleId="paragraph">
    <w:name w:val="paragraph"/>
    <w:basedOn w:val="Normal"/>
    <w:rsid w:val="00486461"/>
  </w:style>
  <w:style w:type="character" w:customStyle="1" w:styleId="normaltextrun1">
    <w:name w:val="normaltextrun1"/>
    <w:basedOn w:val="DefaultParagraphFont"/>
    <w:rsid w:val="00486461"/>
  </w:style>
  <w:style w:type="character" w:customStyle="1" w:styleId="eop">
    <w:name w:val="eop"/>
    <w:basedOn w:val="DefaultParagraphFont"/>
    <w:rsid w:val="00486461"/>
  </w:style>
  <w:style w:type="table" w:styleId="TableGrid">
    <w:name w:val="Table Grid"/>
    <w:basedOn w:val="TableNormal"/>
    <w:uiPriority w:val="39"/>
    <w:rsid w:val="00486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0482F"/>
    <w:rPr>
      <w:sz w:val="16"/>
      <w:szCs w:val="16"/>
    </w:rPr>
  </w:style>
  <w:style w:type="paragraph" w:styleId="CommentText">
    <w:name w:val="annotation text"/>
    <w:basedOn w:val="Normal"/>
    <w:link w:val="CommentTextChar"/>
    <w:uiPriority w:val="99"/>
    <w:unhideWhenUsed/>
    <w:rsid w:val="0030482F"/>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0482F"/>
    <w:rPr>
      <w:sz w:val="20"/>
      <w:szCs w:val="20"/>
    </w:rPr>
  </w:style>
  <w:style w:type="paragraph" w:styleId="CommentSubject">
    <w:name w:val="annotation subject"/>
    <w:basedOn w:val="CommentText"/>
    <w:next w:val="CommentText"/>
    <w:link w:val="CommentSubjectChar"/>
    <w:uiPriority w:val="99"/>
    <w:semiHidden/>
    <w:unhideWhenUsed/>
    <w:rsid w:val="0030482F"/>
    <w:rPr>
      <w:b/>
      <w:bCs/>
    </w:rPr>
  </w:style>
  <w:style w:type="character" w:customStyle="1" w:styleId="CommentSubjectChar">
    <w:name w:val="Comment Subject Char"/>
    <w:basedOn w:val="CommentTextChar"/>
    <w:link w:val="CommentSubject"/>
    <w:uiPriority w:val="99"/>
    <w:semiHidden/>
    <w:rsid w:val="0030482F"/>
    <w:rPr>
      <w:b/>
      <w:bCs/>
      <w:sz w:val="20"/>
      <w:szCs w:val="20"/>
    </w:rPr>
  </w:style>
  <w:style w:type="paragraph" w:styleId="BalloonText">
    <w:name w:val="Balloon Text"/>
    <w:basedOn w:val="Normal"/>
    <w:link w:val="BalloonTextChar"/>
    <w:uiPriority w:val="99"/>
    <w:semiHidden/>
    <w:unhideWhenUsed/>
    <w:rsid w:val="0030482F"/>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30482F"/>
    <w:rPr>
      <w:rFonts w:ascii="Segoe UI" w:hAnsi="Segoe UI" w:cs="Segoe UI"/>
      <w:sz w:val="18"/>
      <w:szCs w:val="18"/>
    </w:rPr>
  </w:style>
  <w:style w:type="character" w:styleId="FollowedHyperlink">
    <w:name w:val="FollowedHyperlink"/>
    <w:basedOn w:val="DefaultParagraphFont"/>
    <w:uiPriority w:val="99"/>
    <w:semiHidden/>
    <w:unhideWhenUsed/>
    <w:rsid w:val="00737278"/>
    <w:rPr>
      <w:color w:val="954F72" w:themeColor="followedHyperlink"/>
      <w:u w:val="single"/>
    </w:rPr>
  </w:style>
  <w:style w:type="character" w:customStyle="1" w:styleId="Heading3Char">
    <w:name w:val="Heading 3 Char"/>
    <w:basedOn w:val="DefaultParagraphFont"/>
    <w:link w:val="Heading3"/>
    <w:uiPriority w:val="9"/>
    <w:rsid w:val="0073727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37278"/>
    <w:pPr>
      <w:spacing w:before="100" w:beforeAutospacing="1" w:after="100" w:afterAutospacing="1"/>
    </w:pPr>
  </w:style>
  <w:style w:type="paragraph" w:styleId="Subtitle">
    <w:name w:val="Subtitle"/>
    <w:basedOn w:val="Normal"/>
    <w:next w:val="Normal"/>
    <w:link w:val="SubtitleChar"/>
    <w:uiPriority w:val="11"/>
    <w:qFormat/>
    <w:rsid w:val="005931B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931B8"/>
    <w:rPr>
      <w:rFonts w:eastAsiaTheme="minorEastAsia"/>
      <w:color w:val="5A5A5A" w:themeColor="text1" w:themeTint="A5"/>
      <w:spacing w:val="15"/>
    </w:rPr>
  </w:style>
  <w:style w:type="character" w:customStyle="1" w:styleId="UnresolvedMention1">
    <w:name w:val="Unresolved Mention1"/>
    <w:basedOn w:val="DefaultParagraphFont"/>
    <w:uiPriority w:val="99"/>
    <w:semiHidden/>
    <w:unhideWhenUsed/>
    <w:rsid w:val="000A7583"/>
    <w:rPr>
      <w:color w:val="605E5C"/>
      <w:shd w:val="clear" w:color="auto" w:fill="E1DFDD"/>
    </w:rPr>
  </w:style>
  <w:style w:type="paragraph" w:styleId="FootnoteText">
    <w:name w:val="footnote text"/>
    <w:basedOn w:val="Normal"/>
    <w:link w:val="FootnoteTextChar"/>
    <w:uiPriority w:val="99"/>
    <w:semiHidden/>
    <w:unhideWhenUsed/>
    <w:rsid w:val="00CB7650"/>
    <w:rPr>
      <w:sz w:val="20"/>
      <w:szCs w:val="20"/>
    </w:rPr>
  </w:style>
  <w:style w:type="character" w:customStyle="1" w:styleId="FootnoteTextChar">
    <w:name w:val="Footnote Text Char"/>
    <w:basedOn w:val="DefaultParagraphFont"/>
    <w:link w:val="FootnoteText"/>
    <w:uiPriority w:val="99"/>
    <w:semiHidden/>
    <w:rsid w:val="00CB765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B7650"/>
    <w:rPr>
      <w:vertAlign w:val="superscript"/>
    </w:rPr>
  </w:style>
  <w:style w:type="character" w:customStyle="1" w:styleId="Heading1Char">
    <w:name w:val="Heading 1 Char"/>
    <w:basedOn w:val="DefaultParagraphFont"/>
    <w:link w:val="Heading1"/>
    <w:uiPriority w:val="9"/>
    <w:rsid w:val="0052621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26215"/>
    <w:pPr>
      <w:spacing w:line="259" w:lineRule="auto"/>
      <w:outlineLvl w:val="9"/>
    </w:pPr>
  </w:style>
  <w:style w:type="character" w:customStyle="1" w:styleId="Heading2Char">
    <w:name w:val="Heading 2 Char"/>
    <w:basedOn w:val="DefaultParagraphFont"/>
    <w:link w:val="Heading2"/>
    <w:uiPriority w:val="9"/>
    <w:rsid w:val="005F0E4F"/>
    <w:rPr>
      <w:rFonts w:asciiTheme="majorHAnsi" w:eastAsiaTheme="majorEastAsia" w:hAnsiTheme="majorHAnsi" w:cstheme="majorBidi"/>
      <w:color w:val="2F5496" w:themeColor="accent1" w:themeShade="BF"/>
      <w:sz w:val="28"/>
      <w:szCs w:val="26"/>
    </w:rPr>
  </w:style>
  <w:style w:type="paragraph" w:styleId="TOC1">
    <w:name w:val="toc 1"/>
    <w:basedOn w:val="Normal"/>
    <w:next w:val="Normal"/>
    <w:autoRedefine/>
    <w:uiPriority w:val="39"/>
    <w:unhideWhenUsed/>
    <w:rsid w:val="00526215"/>
    <w:pPr>
      <w:spacing w:after="100"/>
    </w:pPr>
  </w:style>
  <w:style w:type="paragraph" w:styleId="TOC2">
    <w:name w:val="toc 2"/>
    <w:basedOn w:val="Normal"/>
    <w:next w:val="Normal"/>
    <w:autoRedefine/>
    <w:uiPriority w:val="39"/>
    <w:unhideWhenUsed/>
    <w:rsid w:val="00526215"/>
    <w:pPr>
      <w:spacing w:after="100"/>
      <w:ind w:left="240"/>
    </w:pPr>
  </w:style>
  <w:style w:type="character" w:customStyle="1" w:styleId="UnresolvedMention2">
    <w:name w:val="Unresolved Mention2"/>
    <w:basedOn w:val="DefaultParagraphFont"/>
    <w:uiPriority w:val="99"/>
    <w:semiHidden/>
    <w:unhideWhenUsed/>
    <w:rsid w:val="009D3662"/>
    <w:rPr>
      <w:color w:val="605E5C"/>
      <w:shd w:val="clear" w:color="auto" w:fill="E1DFDD"/>
    </w:rPr>
  </w:style>
  <w:style w:type="paragraph" w:styleId="Header">
    <w:name w:val="header"/>
    <w:basedOn w:val="Normal"/>
    <w:link w:val="HeaderChar"/>
    <w:uiPriority w:val="99"/>
    <w:unhideWhenUsed/>
    <w:rsid w:val="005F0E4F"/>
    <w:pPr>
      <w:tabs>
        <w:tab w:val="center" w:pos="4680"/>
        <w:tab w:val="right" w:pos="9360"/>
      </w:tabs>
    </w:pPr>
  </w:style>
  <w:style w:type="character" w:customStyle="1" w:styleId="HeaderChar">
    <w:name w:val="Header Char"/>
    <w:basedOn w:val="DefaultParagraphFont"/>
    <w:link w:val="Header"/>
    <w:uiPriority w:val="99"/>
    <w:rsid w:val="005F0E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0E4F"/>
    <w:pPr>
      <w:tabs>
        <w:tab w:val="center" w:pos="4680"/>
        <w:tab w:val="right" w:pos="9360"/>
      </w:tabs>
    </w:pPr>
  </w:style>
  <w:style w:type="character" w:customStyle="1" w:styleId="FooterChar">
    <w:name w:val="Footer Char"/>
    <w:basedOn w:val="DefaultParagraphFont"/>
    <w:link w:val="Footer"/>
    <w:uiPriority w:val="99"/>
    <w:rsid w:val="005F0E4F"/>
    <w:rPr>
      <w:rFonts w:ascii="Times New Roman" w:eastAsia="Times New Roman" w:hAnsi="Times New Roman" w:cs="Times New Roman"/>
      <w:sz w:val="24"/>
      <w:szCs w:val="24"/>
    </w:rPr>
  </w:style>
  <w:style w:type="paragraph" w:styleId="Revision">
    <w:name w:val="Revision"/>
    <w:hidden/>
    <w:uiPriority w:val="99"/>
    <w:semiHidden/>
    <w:rsid w:val="00A770D9"/>
    <w:pPr>
      <w:spacing w:after="0" w:line="240" w:lineRule="auto"/>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9A61E5"/>
    <w:pPr>
      <w:spacing w:after="100"/>
      <w:ind w:left="480"/>
    </w:pPr>
  </w:style>
  <w:style w:type="character" w:customStyle="1" w:styleId="UnresolvedMention3">
    <w:name w:val="Unresolved Mention3"/>
    <w:basedOn w:val="DefaultParagraphFont"/>
    <w:uiPriority w:val="99"/>
    <w:semiHidden/>
    <w:unhideWhenUsed/>
    <w:rsid w:val="00090A5F"/>
    <w:rPr>
      <w:color w:val="605E5C"/>
      <w:shd w:val="clear" w:color="auto" w:fill="E1DFDD"/>
    </w:rPr>
  </w:style>
  <w:style w:type="character" w:customStyle="1" w:styleId="UnresolvedMention4">
    <w:name w:val="Unresolved Mention4"/>
    <w:basedOn w:val="DefaultParagraphFont"/>
    <w:uiPriority w:val="99"/>
    <w:semiHidden/>
    <w:unhideWhenUsed/>
    <w:rsid w:val="006944BA"/>
    <w:rPr>
      <w:color w:val="605E5C"/>
      <w:shd w:val="clear" w:color="auto" w:fill="E1DFDD"/>
    </w:rPr>
  </w:style>
  <w:style w:type="character" w:customStyle="1" w:styleId="UnresolvedMention5">
    <w:name w:val="Unresolved Mention5"/>
    <w:basedOn w:val="DefaultParagraphFont"/>
    <w:uiPriority w:val="99"/>
    <w:semiHidden/>
    <w:unhideWhenUsed/>
    <w:rsid w:val="00AA64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619705">
      <w:bodyDiv w:val="1"/>
      <w:marLeft w:val="0"/>
      <w:marRight w:val="0"/>
      <w:marTop w:val="0"/>
      <w:marBottom w:val="0"/>
      <w:divBdr>
        <w:top w:val="none" w:sz="0" w:space="0" w:color="auto"/>
        <w:left w:val="none" w:sz="0" w:space="0" w:color="auto"/>
        <w:bottom w:val="none" w:sz="0" w:space="0" w:color="auto"/>
        <w:right w:val="none" w:sz="0" w:space="0" w:color="auto"/>
      </w:divBdr>
    </w:div>
    <w:div w:id="507646460">
      <w:bodyDiv w:val="1"/>
      <w:marLeft w:val="0"/>
      <w:marRight w:val="0"/>
      <w:marTop w:val="0"/>
      <w:marBottom w:val="0"/>
      <w:divBdr>
        <w:top w:val="none" w:sz="0" w:space="0" w:color="auto"/>
        <w:left w:val="none" w:sz="0" w:space="0" w:color="auto"/>
        <w:bottom w:val="none" w:sz="0" w:space="0" w:color="auto"/>
        <w:right w:val="none" w:sz="0" w:space="0" w:color="auto"/>
      </w:divBdr>
    </w:div>
    <w:div w:id="554395256">
      <w:bodyDiv w:val="1"/>
      <w:marLeft w:val="0"/>
      <w:marRight w:val="0"/>
      <w:marTop w:val="0"/>
      <w:marBottom w:val="0"/>
      <w:divBdr>
        <w:top w:val="none" w:sz="0" w:space="0" w:color="auto"/>
        <w:left w:val="none" w:sz="0" w:space="0" w:color="auto"/>
        <w:bottom w:val="none" w:sz="0" w:space="0" w:color="auto"/>
        <w:right w:val="none" w:sz="0" w:space="0" w:color="auto"/>
      </w:divBdr>
    </w:div>
    <w:div w:id="734158330">
      <w:bodyDiv w:val="1"/>
      <w:marLeft w:val="0"/>
      <w:marRight w:val="0"/>
      <w:marTop w:val="0"/>
      <w:marBottom w:val="0"/>
      <w:divBdr>
        <w:top w:val="none" w:sz="0" w:space="0" w:color="auto"/>
        <w:left w:val="none" w:sz="0" w:space="0" w:color="auto"/>
        <w:bottom w:val="none" w:sz="0" w:space="0" w:color="auto"/>
        <w:right w:val="none" w:sz="0" w:space="0" w:color="auto"/>
      </w:divBdr>
    </w:div>
    <w:div w:id="766268136">
      <w:bodyDiv w:val="1"/>
      <w:marLeft w:val="0"/>
      <w:marRight w:val="0"/>
      <w:marTop w:val="0"/>
      <w:marBottom w:val="0"/>
      <w:divBdr>
        <w:top w:val="none" w:sz="0" w:space="0" w:color="auto"/>
        <w:left w:val="none" w:sz="0" w:space="0" w:color="auto"/>
        <w:bottom w:val="none" w:sz="0" w:space="0" w:color="auto"/>
        <w:right w:val="none" w:sz="0" w:space="0" w:color="auto"/>
      </w:divBdr>
    </w:div>
    <w:div w:id="1011293762">
      <w:bodyDiv w:val="1"/>
      <w:marLeft w:val="0"/>
      <w:marRight w:val="0"/>
      <w:marTop w:val="0"/>
      <w:marBottom w:val="0"/>
      <w:divBdr>
        <w:top w:val="none" w:sz="0" w:space="0" w:color="auto"/>
        <w:left w:val="none" w:sz="0" w:space="0" w:color="auto"/>
        <w:bottom w:val="none" w:sz="0" w:space="0" w:color="auto"/>
        <w:right w:val="none" w:sz="0" w:space="0" w:color="auto"/>
      </w:divBdr>
    </w:div>
    <w:div w:id="1167481155">
      <w:bodyDiv w:val="1"/>
      <w:marLeft w:val="0"/>
      <w:marRight w:val="0"/>
      <w:marTop w:val="0"/>
      <w:marBottom w:val="0"/>
      <w:divBdr>
        <w:top w:val="none" w:sz="0" w:space="0" w:color="auto"/>
        <w:left w:val="none" w:sz="0" w:space="0" w:color="auto"/>
        <w:bottom w:val="none" w:sz="0" w:space="0" w:color="auto"/>
        <w:right w:val="none" w:sz="0" w:space="0" w:color="auto"/>
      </w:divBdr>
    </w:div>
    <w:div w:id="1212964404">
      <w:bodyDiv w:val="1"/>
      <w:marLeft w:val="0"/>
      <w:marRight w:val="0"/>
      <w:marTop w:val="0"/>
      <w:marBottom w:val="0"/>
      <w:divBdr>
        <w:top w:val="none" w:sz="0" w:space="0" w:color="auto"/>
        <w:left w:val="none" w:sz="0" w:space="0" w:color="auto"/>
        <w:bottom w:val="none" w:sz="0" w:space="0" w:color="auto"/>
        <w:right w:val="none" w:sz="0" w:space="0" w:color="auto"/>
      </w:divBdr>
    </w:div>
    <w:div w:id="1412124056">
      <w:bodyDiv w:val="1"/>
      <w:marLeft w:val="0"/>
      <w:marRight w:val="0"/>
      <w:marTop w:val="0"/>
      <w:marBottom w:val="0"/>
      <w:divBdr>
        <w:top w:val="none" w:sz="0" w:space="0" w:color="auto"/>
        <w:left w:val="none" w:sz="0" w:space="0" w:color="auto"/>
        <w:bottom w:val="none" w:sz="0" w:space="0" w:color="auto"/>
        <w:right w:val="none" w:sz="0" w:space="0" w:color="auto"/>
      </w:divBdr>
    </w:div>
    <w:div w:id="1581673868">
      <w:bodyDiv w:val="1"/>
      <w:marLeft w:val="0"/>
      <w:marRight w:val="0"/>
      <w:marTop w:val="0"/>
      <w:marBottom w:val="0"/>
      <w:divBdr>
        <w:top w:val="none" w:sz="0" w:space="0" w:color="auto"/>
        <w:left w:val="none" w:sz="0" w:space="0" w:color="auto"/>
        <w:bottom w:val="none" w:sz="0" w:space="0" w:color="auto"/>
        <w:right w:val="none" w:sz="0" w:space="0" w:color="auto"/>
      </w:divBdr>
    </w:div>
    <w:div w:id="1779526399">
      <w:bodyDiv w:val="1"/>
      <w:marLeft w:val="0"/>
      <w:marRight w:val="0"/>
      <w:marTop w:val="0"/>
      <w:marBottom w:val="0"/>
      <w:divBdr>
        <w:top w:val="none" w:sz="0" w:space="0" w:color="auto"/>
        <w:left w:val="none" w:sz="0" w:space="0" w:color="auto"/>
        <w:bottom w:val="none" w:sz="0" w:space="0" w:color="auto"/>
        <w:right w:val="none" w:sz="0" w:space="0" w:color="auto"/>
      </w:divBdr>
    </w:div>
    <w:div w:id="205010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www.americanbar.org/groups/law_aging/resources/guardianship_law_practice/" TargetMode="External"/><Relationship Id="rId7" Type="http://schemas.openxmlformats.org/officeDocument/2006/relationships/hyperlink" Target="https://www.guardianship.org/wp-content/uploads/2017/07/NGA-Standards-with-Summit-Revisions-2017.pdf" TargetMode="External"/><Relationship Id="rId2" Type="http://schemas.openxmlformats.org/officeDocument/2006/relationships/hyperlink" Target="https://cdpc.sydney.edu.au/wp-content/uploads/2019/06/SDM-Policy-Guidelines.pdf" TargetMode="External"/><Relationship Id="rId1" Type="http://schemas.openxmlformats.org/officeDocument/2006/relationships/hyperlink" Target="http://www.americanbar.org/groups/law_aging/resources/guardianship_law_practice" TargetMode="External"/><Relationship Id="rId6" Type="http://schemas.openxmlformats.org/officeDocument/2006/relationships/hyperlink" Target="https://www.hooklawcenter.com/2017/06/09/breach-of-fiduciary-duties-under-a-power-of-attorney" TargetMode="External"/><Relationship Id="rId5" Type="http://schemas.openxmlformats.org/officeDocument/2006/relationships/hyperlink" Target="https://assets.aarp.org/rgcenter/consume/2008_17_poa.pdf" TargetMode="External"/><Relationship Id="rId4" Type="http://schemas.openxmlformats.org/officeDocument/2006/relationships/hyperlink" Target="file:///C:\Users\Jennifer.Johnson\AppData\Local\Microsoft\Windows\INetCache\Content.Outlook\65HF6S3F\www.americanbar.org\content\dam\aba\administrative\law_aging\06-23-2018-lra-chart-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F1F7FA03D74A428EDE6F116CCC04C4" ma:contentTypeVersion="14" ma:contentTypeDescription="Create a new document." ma:contentTypeScope="" ma:versionID="bd0370ad9338564b0d103e2c94425d87">
  <xsd:schema xmlns:xsd="http://www.w3.org/2001/XMLSchema" xmlns:xs="http://www.w3.org/2001/XMLSchema" xmlns:p="http://schemas.microsoft.com/office/2006/metadata/properties" xmlns:ns1="http://schemas.microsoft.com/sharepoint/v3" xmlns:ns3="b9c0a601-a364-4f73-8153-2fa102404aa9" xmlns:ns4="f6c5ff81-275e-4b19-a279-425e61c487a5" targetNamespace="http://schemas.microsoft.com/office/2006/metadata/properties" ma:root="true" ma:fieldsID="0dcc6fa25c5cd4927dc0ea32444a1407" ns1:_="" ns3:_="" ns4:_="">
    <xsd:import namespace="http://schemas.microsoft.com/sharepoint/v3"/>
    <xsd:import namespace="b9c0a601-a364-4f73-8153-2fa102404aa9"/>
    <xsd:import namespace="f6c5ff81-275e-4b19-a279-425e61c487a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1:_ip_UnifiedCompliancePolicyProperties" minOccurs="0"/>
                <xsd:element ref="ns1:_ip_UnifiedCompliancePolicyUIAc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c0a601-a364-4f73-8153-2fa102404aa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c5ff81-275e-4b19-a279-425e61c487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AD2568-0493-4FE2-A5DD-7D2803D1FB58}">
  <ds:schemaRefs>
    <ds:schemaRef ds:uri="http://schemas.openxmlformats.org/officeDocument/2006/bibliography"/>
  </ds:schemaRefs>
</ds:datastoreItem>
</file>

<file path=customXml/itemProps2.xml><?xml version="1.0" encoding="utf-8"?>
<ds:datastoreItem xmlns:ds="http://schemas.openxmlformats.org/officeDocument/2006/customXml" ds:itemID="{3CFB39EA-53A4-40F3-92E8-62B902E02F8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9E9F0C1-7D9F-4EED-900F-9EC6CB051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c0a601-a364-4f73-8153-2fa102404aa9"/>
    <ds:schemaRef ds:uri="f6c5ff81-275e-4b19-a279-425e61c48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204001-7FD8-44EC-A17F-A3084295A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3069</Words>
  <Characters>17499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Godfrey, David</dc:creator>
  <cp:keywords/>
  <dc:description/>
  <cp:lastModifiedBy>Microsoft Office User</cp:lastModifiedBy>
  <cp:revision>2</cp:revision>
  <cp:lastPrinted>2020-02-19T15:41:00Z</cp:lastPrinted>
  <dcterms:created xsi:type="dcterms:W3CDTF">2020-08-10T19:55:00Z</dcterms:created>
  <dcterms:modified xsi:type="dcterms:W3CDTF">2020-08-10T19:55:00Z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0x010100D6F1F7FA03D74A428EDE6F116CCC04C4</vt:lpwstr>
  </property>
</Properties>
</file>